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D63526">
      <w:pPr>
        <w:rPr>
          <w:rFonts w:hint="default" w:ascii="Times New Roman" w:hAnsi="Times New Roman" w:eastAsia="仿宋_GB2312" w:cs="Times New Roman"/>
          <w:color w:val="auto"/>
          <w:sz w:val="36"/>
          <w:szCs w:val="36"/>
        </w:rPr>
      </w:pPr>
      <w:r>
        <w:rPr>
          <w:rFonts w:hint="eastAsia" w:ascii="Times New Roman" w:hAnsi="Times New Roman" w:eastAsia="仿宋_GB2312" w:cs="Times New Roman"/>
          <w:color w:val="auto"/>
          <w:sz w:val="36"/>
          <w:szCs w:val="36"/>
          <w:lang w:eastAsia="zh-CN"/>
        </w:rPr>
        <w:drawing>
          <wp:anchor distT="0" distB="0" distL="114300" distR="114300" simplePos="0" relativeHeight="251670528" behindDoc="0" locked="0" layoutInCell="1" allowOverlap="1">
            <wp:simplePos x="0" y="0"/>
            <wp:positionH relativeFrom="column">
              <wp:posOffset>67945</wp:posOffset>
            </wp:positionH>
            <wp:positionV relativeFrom="paragraph">
              <wp:posOffset>262255</wp:posOffset>
            </wp:positionV>
            <wp:extent cx="5725160" cy="7936230"/>
            <wp:effectExtent l="0" t="0" r="2540" b="1270"/>
            <wp:wrapNone/>
            <wp:docPr id="5" name="图片 2" descr="资质页资料-中福鑫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资质页资料-中福鑫_00"/>
                    <pic:cNvPicPr>
                      <a:picLocks noChangeAspect="1"/>
                    </pic:cNvPicPr>
                  </pic:nvPicPr>
                  <pic:blipFill>
                    <a:blip r:embed="rId9"/>
                    <a:stretch>
                      <a:fillRect/>
                    </a:stretch>
                  </pic:blipFill>
                  <pic:spPr>
                    <a:xfrm>
                      <a:off x="0" y="0"/>
                      <a:ext cx="5725160" cy="7936230"/>
                    </a:xfrm>
                    <a:prstGeom prst="rect">
                      <a:avLst/>
                    </a:prstGeom>
                    <a:noFill/>
                    <a:ln>
                      <a:noFill/>
                    </a:ln>
                  </pic:spPr>
                </pic:pic>
              </a:graphicData>
            </a:graphic>
          </wp:anchor>
        </w:drawing>
      </w:r>
      <w:r>
        <w:rPr>
          <w:rFonts w:ascii="Times New Roman" w:hAnsi="Times New Roman"/>
          <w:color w:val="auto"/>
          <w:sz w:val="36"/>
        </w:rPr>
        <w:drawing>
          <wp:anchor distT="0" distB="0" distL="114300" distR="114300" simplePos="0" relativeHeight="251659264" behindDoc="0" locked="0" layoutInCell="1" allowOverlap="1">
            <wp:simplePos x="0" y="0"/>
            <wp:positionH relativeFrom="column">
              <wp:posOffset>-3980180</wp:posOffset>
            </wp:positionH>
            <wp:positionV relativeFrom="paragraph">
              <wp:posOffset>-157894655</wp:posOffset>
            </wp:positionV>
            <wp:extent cx="635" cy="0"/>
            <wp:effectExtent l="0" t="0" r="0" b="0"/>
            <wp:wrapNone/>
            <wp:docPr id="3" name="图片 3309" descr="闽侯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309" descr="闽侯风玫瑰图"/>
                    <pic:cNvPicPr>
                      <a:picLocks noChangeAspect="1"/>
                    </pic:cNvPicPr>
                  </pic:nvPicPr>
                  <pic:blipFill>
                    <a:blip r:embed="rId10"/>
                    <a:stretch>
                      <a:fillRect/>
                    </a:stretch>
                  </pic:blipFill>
                  <pic:spPr>
                    <a:xfrm>
                      <a:off x="0" y="0"/>
                      <a:ext cx="635" cy="0"/>
                    </a:xfrm>
                    <a:prstGeom prst="rect">
                      <a:avLst/>
                    </a:prstGeom>
                    <a:noFill/>
                    <a:ln>
                      <a:noFill/>
                    </a:ln>
                  </pic:spPr>
                </pic:pic>
              </a:graphicData>
            </a:graphic>
          </wp:anchor>
        </w:drawing>
      </w:r>
    </w:p>
    <w:p w14:paraId="5BACF0BD">
      <w:pPr>
        <w:rPr>
          <w:rFonts w:hint="eastAsia" w:ascii="Times New Roman" w:hAnsi="Times New Roman" w:eastAsia="仿宋_GB2312" w:cs="Times New Roman"/>
          <w:color w:val="auto"/>
          <w:sz w:val="36"/>
          <w:szCs w:val="36"/>
          <w:lang w:eastAsia="zh-CN"/>
        </w:rPr>
      </w:pPr>
    </w:p>
    <w:p w14:paraId="40A4107E">
      <w:pPr>
        <w:rPr>
          <w:rFonts w:hint="eastAsia" w:ascii="Times New Roman" w:hAnsi="Times New Roman" w:eastAsia="仿宋_GB2312" w:cs="Times New Roman"/>
          <w:color w:val="auto"/>
          <w:sz w:val="36"/>
          <w:szCs w:val="36"/>
          <w:lang w:eastAsia="zh-CN"/>
        </w:rPr>
      </w:pPr>
    </w:p>
    <w:p w14:paraId="4F26E149">
      <w:pPr>
        <w:rPr>
          <w:rFonts w:hint="default" w:ascii="Times New Roman" w:hAnsi="Times New Roman" w:eastAsia="仿宋_GB2312" w:cs="Times New Roman"/>
          <w:color w:val="auto"/>
          <w:sz w:val="36"/>
          <w:szCs w:val="36"/>
        </w:rPr>
      </w:pPr>
    </w:p>
    <w:p w14:paraId="78479EA7">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方正小标宋_GBK" w:cs="Times New Roman"/>
          <w:bCs/>
          <w:color w:val="auto"/>
          <w:sz w:val="72"/>
          <w:szCs w:val="72"/>
        </w:rPr>
      </w:pPr>
    </w:p>
    <w:p w14:paraId="5EA561F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19EBAE88">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0FB1C161">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14:paraId="070B7B19">
      <w:pPr>
        <w:jc w:val="center"/>
        <w:rPr>
          <w:rFonts w:hint="default" w:ascii="Times New Roman" w:hAnsi="Times New Roman" w:eastAsia="仿宋" w:cs="Times New Roman"/>
          <w:color w:val="auto"/>
          <w:sz w:val="52"/>
          <w:szCs w:val="52"/>
        </w:rPr>
      </w:pPr>
    </w:p>
    <w:p w14:paraId="435D065D">
      <w:pPr>
        <w:ind w:firstLine="1040"/>
        <w:rPr>
          <w:rFonts w:hint="default" w:ascii="Times New Roman" w:hAnsi="Times New Roman" w:eastAsia="仿宋" w:cs="Times New Roman"/>
          <w:color w:val="auto"/>
          <w:sz w:val="44"/>
          <w:szCs w:val="44"/>
        </w:rPr>
      </w:pPr>
    </w:p>
    <w:p w14:paraId="6E80F85D">
      <w:pPr>
        <w:ind w:firstLine="1040"/>
        <w:rPr>
          <w:rFonts w:hint="default" w:ascii="Times New Roman" w:hAnsi="Times New Roman" w:eastAsia="仿宋" w:cs="Times New Roman"/>
          <w:color w:val="auto"/>
          <w:sz w:val="44"/>
          <w:szCs w:val="44"/>
        </w:rPr>
      </w:pPr>
    </w:p>
    <w:p w14:paraId="213590DB">
      <w:pPr>
        <w:ind w:firstLine="1040"/>
        <w:rPr>
          <w:rFonts w:hint="default" w:ascii="Times New Roman" w:hAnsi="Times New Roman" w:eastAsia="仿宋" w:cs="Times New Roman"/>
          <w:color w:val="auto"/>
          <w:sz w:val="44"/>
          <w:szCs w:val="44"/>
        </w:rPr>
      </w:pPr>
    </w:p>
    <w:p w14:paraId="40247DA5">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仿宋_GB2312" w:cs="Times New Roman"/>
          <w:color w:val="auto"/>
          <w:sz w:val="36"/>
          <w:szCs w:val="36"/>
          <w:u w:val="none"/>
          <w:lang w:eastAsia="zh-CN"/>
        </w:rPr>
      </w:pPr>
    </w:p>
    <w:p w14:paraId="24C75DFC">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textAlignment w:val="auto"/>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u w:val="none"/>
          <w:lang w:eastAsia="zh-CN"/>
        </w:rPr>
        <w:t>项目名称：</w:t>
      </w:r>
      <w:r>
        <w:rPr>
          <w:rFonts w:hint="eastAsia" w:ascii="Times New Roman" w:hAnsi="Times New Roman" w:eastAsia="仿宋_GB2312" w:cs="Times New Roman"/>
          <w:color w:val="auto"/>
          <w:sz w:val="32"/>
          <w:szCs w:val="32"/>
          <w:u w:val="single"/>
          <w:lang w:val="en-US" w:eastAsia="zh-CN"/>
        </w:rPr>
        <w:t xml:space="preserve"> 中福鑫废旧机动车拆解及资源回收项目（一期）</w:t>
      </w:r>
      <w:r>
        <w:rPr>
          <w:rFonts w:hint="default" w:ascii="Times New Roman" w:hAnsi="Times New Roman" w:eastAsia="仿宋_GB2312" w:cs="Times New Roman"/>
          <w:color w:val="auto"/>
          <w:sz w:val="32"/>
          <w:szCs w:val="32"/>
          <w:u w:val="single"/>
          <w:lang w:val="en-US" w:eastAsia="zh-CN"/>
        </w:rPr>
        <w:t xml:space="preserve">       </w:t>
      </w:r>
      <w:r>
        <w:rPr>
          <w:rFonts w:hint="eastAsia"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lang w:val="en-US" w:eastAsia="zh-CN"/>
        </w:rPr>
        <w:t xml:space="preserve">  </w:t>
      </w:r>
    </w:p>
    <w:p w14:paraId="4CC142C2">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textAlignment w:val="auto"/>
        <w:rPr>
          <w:rFonts w:hint="default" w:ascii="Times New Roman" w:hAnsi="Times New Roman" w:eastAsia="仿宋_GB2312" w:cs="Times New Roman"/>
          <w:color w:val="auto"/>
          <w:sz w:val="32"/>
          <w:szCs w:val="32"/>
          <w:u w:val="single"/>
          <w:lang w:val="en-US"/>
        </w:rPr>
      </w:pPr>
      <w:r>
        <w:rPr>
          <w:rFonts w:hint="default" w:ascii="Times New Roman" w:hAnsi="Times New Roman" w:eastAsia="仿宋_GB2312" w:cs="Times New Roman"/>
          <w:color w:val="auto"/>
          <w:sz w:val="32"/>
          <w:szCs w:val="32"/>
        </w:rPr>
        <w:t>建设单位（盖章）：</w:t>
      </w:r>
      <w:r>
        <w:rPr>
          <w:rFonts w:hint="eastAsia" w:ascii="Times New Roman" w:hAnsi="Times New Roman" w:eastAsia="仿宋_GB2312" w:cs="Times New Roman"/>
          <w:color w:val="auto"/>
          <w:sz w:val="32"/>
          <w:szCs w:val="32"/>
          <w:u w:val="single"/>
          <w:lang w:val="en-US" w:eastAsia="zh-CN"/>
        </w:rPr>
        <w:t xml:space="preserve">   </w:t>
      </w:r>
      <w:r>
        <w:rPr>
          <w:rFonts w:hint="eastAsia" w:ascii="Times New Roman" w:hAnsi="Times New Roman" w:eastAsia="仿宋_GB2312" w:cs="Times New Roman"/>
          <w:color w:val="auto"/>
          <w:sz w:val="32"/>
          <w:szCs w:val="32"/>
          <w:u w:val="single"/>
          <w:lang w:eastAsia="zh-CN"/>
        </w:rPr>
        <w:t>福建中福鑫再生资源有限公司</w:t>
      </w:r>
      <w:r>
        <w:rPr>
          <w:rFonts w:hint="default" w:ascii="Times New Roman" w:hAnsi="Times New Roman" w:eastAsia="仿宋_GB2312" w:cs="Times New Roman"/>
          <w:color w:val="auto"/>
          <w:sz w:val="32"/>
          <w:szCs w:val="32"/>
          <w:u w:val="single"/>
          <w:lang w:val="en-US" w:eastAsia="zh-CN"/>
        </w:rPr>
        <w:t xml:space="preserve">  </w:t>
      </w:r>
      <w:r>
        <w:rPr>
          <w:rFonts w:hint="eastAsia"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lang w:val="en-US" w:eastAsia="zh-CN"/>
        </w:rPr>
        <w:t xml:space="preserve"> </w:t>
      </w:r>
    </w:p>
    <w:p w14:paraId="67F9C57D">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jc w:val="both"/>
        <w:textAlignment w:val="auto"/>
        <w:rPr>
          <w:rFonts w:hint="default" w:ascii="Times New Roman" w:hAnsi="Times New Roman" w:eastAsia="仿宋_GB2312" w:cs="Times New Roman"/>
          <w:color w:val="auto"/>
          <w:sz w:val="32"/>
          <w:szCs w:val="32"/>
          <w:u w:val="single"/>
          <w:lang w:val="en-US"/>
        </w:rPr>
      </w:pPr>
      <w:r>
        <w:rPr>
          <w:rFonts w:hint="default" w:ascii="Times New Roman" w:hAnsi="Times New Roman" w:eastAsia="仿宋_GB2312" w:cs="Times New Roman"/>
          <w:color w:val="auto"/>
          <w:sz w:val="32"/>
          <w:szCs w:val="32"/>
        </w:rPr>
        <w:t>编制日期：</w:t>
      </w:r>
      <w:r>
        <w:rPr>
          <w:rFonts w:hint="eastAsia" w:ascii="Times New Roman" w:hAnsi="Times New Roman" w:eastAsia="仿宋_GB2312" w:cs="Times New Roman"/>
          <w:color w:val="auto"/>
          <w:sz w:val="32"/>
          <w:szCs w:val="32"/>
          <w:u w:val="single"/>
          <w:lang w:val="en-US" w:eastAsia="zh-CN"/>
        </w:rPr>
        <w:t xml:space="preserve">               2</w:t>
      </w:r>
      <w:r>
        <w:rPr>
          <w:rFonts w:hint="default" w:ascii="Times New Roman" w:hAnsi="Times New Roman" w:eastAsia="仿宋_GB2312" w:cs="Times New Roman"/>
          <w:color w:val="auto"/>
          <w:sz w:val="32"/>
          <w:szCs w:val="32"/>
          <w:u w:val="single"/>
          <w:lang w:val="en-US" w:eastAsia="zh-CN"/>
        </w:rPr>
        <w:t>02</w:t>
      </w:r>
      <w:r>
        <w:rPr>
          <w:rFonts w:hint="eastAsia" w:ascii="Times New Roman" w:hAnsi="Times New Roman" w:eastAsia="仿宋_GB2312" w:cs="Times New Roman"/>
          <w:color w:val="auto"/>
          <w:sz w:val="32"/>
          <w:szCs w:val="32"/>
          <w:u w:val="single"/>
          <w:lang w:val="en-US" w:eastAsia="zh-CN"/>
        </w:rPr>
        <w:t>5</w:t>
      </w:r>
      <w:r>
        <w:rPr>
          <w:rFonts w:hint="default" w:ascii="Times New Roman" w:hAnsi="Times New Roman" w:eastAsia="仿宋_GB2312" w:cs="Times New Roman"/>
          <w:color w:val="auto"/>
          <w:sz w:val="32"/>
          <w:szCs w:val="32"/>
          <w:u w:val="single"/>
          <w:lang w:val="en-US" w:eastAsia="zh-CN"/>
        </w:rPr>
        <w:t>年</w:t>
      </w:r>
      <w:r>
        <w:rPr>
          <w:rFonts w:hint="eastAsia" w:ascii="Times New Roman" w:hAnsi="Times New Roman" w:eastAsia="仿宋_GB2312" w:cs="Times New Roman"/>
          <w:color w:val="auto"/>
          <w:sz w:val="32"/>
          <w:szCs w:val="32"/>
          <w:u w:val="single"/>
          <w:lang w:val="en-US" w:eastAsia="zh-CN"/>
        </w:rPr>
        <w:t>03</w:t>
      </w:r>
      <w:r>
        <w:rPr>
          <w:rFonts w:hint="default" w:ascii="Times New Roman" w:hAnsi="Times New Roman" w:eastAsia="仿宋_GB2312" w:cs="Times New Roman"/>
          <w:color w:val="auto"/>
          <w:sz w:val="32"/>
          <w:szCs w:val="32"/>
          <w:u w:val="single"/>
          <w:lang w:val="en-US" w:eastAsia="zh-CN"/>
        </w:rPr>
        <w:t>月</w:t>
      </w:r>
      <w:r>
        <w:rPr>
          <w:rFonts w:hint="eastAsia" w:ascii="Times New Roman" w:hAnsi="Times New Roman" w:eastAsia="仿宋_GB2312" w:cs="Times New Roman"/>
          <w:color w:val="auto"/>
          <w:sz w:val="32"/>
          <w:szCs w:val="32"/>
          <w:u w:val="single"/>
          <w:lang w:val="en-US" w:eastAsia="zh-CN"/>
        </w:rPr>
        <w:t xml:space="preserve">                   </w:t>
      </w:r>
    </w:p>
    <w:p w14:paraId="7371B953">
      <w:pPr>
        <w:adjustRightInd w:val="0"/>
        <w:snapToGrid w:val="0"/>
        <w:spacing w:line="288" w:lineRule="auto"/>
        <w:ind w:firstLine="1040"/>
        <w:rPr>
          <w:rFonts w:hint="default" w:ascii="Times New Roman" w:hAnsi="Times New Roman" w:eastAsia="仿宋_GB2312" w:cs="Times New Roman"/>
          <w:color w:val="auto"/>
          <w:sz w:val="32"/>
          <w:szCs w:val="32"/>
          <w:u w:val="single"/>
        </w:rPr>
      </w:pPr>
      <w:bookmarkStart w:id="0" w:name="_Hlk57884087"/>
    </w:p>
    <w:p w14:paraId="4A44E046">
      <w:pPr>
        <w:adjustRightInd w:val="0"/>
        <w:snapToGrid w:val="0"/>
        <w:spacing w:line="288" w:lineRule="auto"/>
        <w:ind w:firstLine="1040"/>
        <w:rPr>
          <w:rFonts w:hint="default" w:ascii="Times New Roman" w:hAnsi="Times New Roman" w:eastAsia="仿宋_GB2312" w:cs="Times New Roman"/>
          <w:color w:val="auto"/>
          <w:sz w:val="36"/>
          <w:szCs w:val="36"/>
        </w:rPr>
      </w:pPr>
    </w:p>
    <w:p w14:paraId="6EA9949B">
      <w:pPr>
        <w:adjustRightInd w:val="0"/>
        <w:snapToGrid w:val="0"/>
        <w:spacing w:line="288" w:lineRule="auto"/>
        <w:ind w:firstLine="1040"/>
        <w:rPr>
          <w:rFonts w:hint="default" w:ascii="Times New Roman" w:hAnsi="Times New Roman" w:eastAsia="仿宋_GB2312" w:cs="Times New Roman"/>
          <w:color w:val="auto"/>
          <w:sz w:val="36"/>
          <w:szCs w:val="36"/>
        </w:rPr>
      </w:pPr>
    </w:p>
    <w:p w14:paraId="020F2088">
      <w:pPr>
        <w:adjustRightInd w:val="0"/>
        <w:snapToGrid w:val="0"/>
        <w:spacing w:line="288" w:lineRule="auto"/>
        <w:ind w:firstLine="1040"/>
        <w:rPr>
          <w:rFonts w:hint="default" w:ascii="Times New Roman" w:hAnsi="Times New Roman" w:eastAsia="仿宋_GB2312" w:cs="Times New Roman"/>
          <w:color w:val="auto"/>
          <w:sz w:val="36"/>
          <w:szCs w:val="36"/>
        </w:rPr>
      </w:pPr>
    </w:p>
    <w:bookmarkEnd w:id="0"/>
    <w:p w14:paraId="60434170">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339896E6">
      <w:pPr>
        <w:pStyle w:val="5"/>
        <w:rPr>
          <w:rFonts w:hint="default" w:ascii="Times New Roman" w:hAnsi="Times New Roman" w:eastAsia="楷体_GB2312" w:cs="Times New Roman"/>
          <w:color w:val="auto"/>
          <w:sz w:val="36"/>
          <w:szCs w:val="36"/>
        </w:rPr>
      </w:pPr>
    </w:p>
    <w:p w14:paraId="1FB8F576">
      <w:pPr>
        <w:rPr>
          <w:rFonts w:hint="default" w:ascii="Times New Roman" w:hAnsi="Times New Roman" w:eastAsia="楷体_GB2312" w:cs="Times New Roman"/>
          <w:color w:val="auto"/>
          <w:sz w:val="36"/>
          <w:szCs w:val="36"/>
        </w:rPr>
      </w:pPr>
    </w:p>
    <w:p w14:paraId="0E24C4F8">
      <w:pPr>
        <w:keepNext w:val="0"/>
        <w:keepLines w:val="0"/>
        <w:pageBreakBefore w:val="0"/>
        <w:widowControl w:val="0"/>
        <w:kinsoku/>
        <w:wordWrap/>
        <w:overflowPunct/>
        <w:topLinePunct w:val="0"/>
        <w:autoSpaceDE/>
        <w:autoSpaceDN/>
        <w:bidi w:val="0"/>
        <w:adjustRightInd w:val="0"/>
        <w:snapToGrid w:val="0"/>
        <w:spacing w:line="288" w:lineRule="auto"/>
        <w:ind w:firstLine="0"/>
        <w:jc w:val="both"/>
        <w:textAlignment w:val="auto"/>
        <w:rPr>
          <w:rFonts w:hint="eastAsia" w:ascii="Times New Roman" w:hAnsi="Times New Roman" w:eastAsia="黑体" w:cs="黑体"/>
          <w:b w:val="0"/>
          <w:bCs w:val="0"/>
          <w:color w:val="auto"/>
          <w:sz w:val="36"/>
          <w:szCs w:val="36"/>
          <w:lang w:val="en-US"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BA877A9">
      <w:pPr>
        <w:pStyle w:val="4"/>
        <w:rPr>
          <w:rFonts w:hint="eastAsia"/>
          <w:color w:val="auto"/>
          <w:lang w:val="en-US" w:eastAsia="zh-CN"/>
        </w:rPr>
      </w:pPr>
    </w:p>
    <w:p w14:paraId="2F719A0E">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eastAsia" w:ascii="Times New Roman" w:hAnsi="Times New Roman" w:eastAsia="黑体" w:cs="黑体"/>
          <w:b w:val="0"/>
          <w:bCs w:val="0"/>
          <w:color w:val="auto"/>
          <w:sz w:val="36"/>
          <w:szCs w:val="36"/>
          <w:lang w:val="en-US" w:eastAsia="zh-CN"/>
        </w:rPr>
      </w:pPr>
      <w:r>
        <w:rPr>
          <w:rFonts w:hint="eastAsia" w:ascii="Times New Roman" w:hAnsi="Times New Roman" w:eastAsia="黑体" w:cs="黑体"/>
          <w:b w:val="0"/>
          <w:bCs w:val="0"/>
          <w:color w:val="auto"/>
          <w:sz w:val="36"/>
          <w:szCs w:val="36"/>
          <w:lang w:val="en-US" w:eastAsia="zh-CN"/>
        </w:rPr>
        <w:t>目 录</w:t>
      </w:r>
    </w:p>
    <w:p w14:paraId="6BCE0BEF">
      <w:pPr>
        <w:pStyle w:val="16"/>
        <w:keepNext w:val="0"/>
        <w:keepLines w:val="0"/>
        <w:pageBreakBefore w:val="0"/>
        <w:widowControl w:val="0"/>
        <w:tabs>
          <w:tab w:val="right" w:leader="dot" w:pos="8844"/>
        </w:tabs>
        <w:kinsoku/>
        <w:wordWrap/>
        <w:overflowPunct/>
        <w:topLinePunct w:val="0"/>
        <w:autoSpaceDE/>
        <w:autoSpaceDN/>
        <w:bidi w:val="0"/>
        <w:spacing w:line="360" w:lineRule="auto"/>
        <w:textAlignment w:val="auto"/>
        <w:rPr>
          <w:color w:val="auto"/>
          <w:sz w:val="24"/>
          <w:szCs w:val="24"/>
        </w:rPr>
      </w:pPr>
      <w:r>
        <w:rPr>
          <w:rFonts w:hint="default" w:ascii="Times New Roman" w:hAnsi="Times New Roman" w:eastAsia="仿宋_GB2312" w:cs="Times New Roman"/>
          <w:b/>
          <w:bCs/>
          <w:color w:val="auto"/>
          <w:sz w:val="24"/>
          <w:szCs w:val="24"/>
          <w:lang w:val="en-US" w:eastAsia="zh-CN"/>
        </w:rPr>
        <w:fldChar w:fldCharType="begin"/>
      </w:r>
      <w:r>
        <w:rPr>
          <w:rFonts w:hint="default" w:ascii="Times New Roman" w:hAnsi="Times New Roman" w:eastAsia="仿宋_GB2312" w:cs="Times New Roman"/>
          <w:b/>
          <w:bCs/>
          <w:color w:val="auto"/>
          <w:sz w:val="24"/>
          <w:szCs w:val="24"/>
          <w:lang w:val="en-US" w:eastAsia="zh-CN"/>
        </w:rPr>
        <w:instrText xml:space="preserve">TOC \o "1-1" \h \u </w:instrText>
      </w:r>
      <w:r>
        <w:rPr>
          <w:rFonts w:hint="default" w:ascii="Times New Roman" w:hAnsi="Times New Roman" w:eastAsia="仿宋_GB2312" w:cs="Times New Roman"/>
          <w:b/>
          <w:bCs/>
          <w:color w:val="auto"/>
          <w:sz w:val="24"/>
          <w:szCs w:val="24"/>
          <w:lang w:val="en-US" w:eastAsia="zh-CN"/>
        </w:rPr>
        <w:fldChar w:fldCharType="separate"/>
      </w:r>
      <w:r>
        <w:rPr>
          <w:rFonts w:hint="default" w:ascii="Times New Roman" w:hAnsi="Times New Roman" w:eastAsia="仿宋_GB2312" w:cs="Times New Roman"/>
          <w:bCs/>
          <w:color w:val="auto"/>
          <w:sz w:val="24"/>
          <w:szCs w:val="24"/>
          <w:lang w:val="en-US" w:eastAsia="zh-CN"/>
        </w:rPr>
        <w:fldChar w:fldCharType="begin"/>
      </w:r>
      <w:r>
        <w:rPr>
          <w:rFonts w:hint="default" w:ascii="Times New Roman" w:hAnsi="Times New Roman" w:eastAsia="仿宋_GB2312" w:cs="Times New Roman"/>
          <w:bCs/>
          <w:color w:val="auto"/>
          <w:sz w:val="24"/>
          <w:szCs w:val="24"/>
          <w:lang w:val="en-US" w:eastAsia="zh-CN"/>
        </w:rPr>
        <w:instrText xml:space="preserve"> HYPERLINK \l _Toc28143 </w:instrText>
      </w:r>
      <w:r>
        <w:rPr>
          <w:rFonts w:hint="default" w:ascii="Times New Roman" w:hAnsi="Times New Roman" w:eastAsia="仿宋_GB2312" w:cs="Times New Roman"/>
          <w:bCs/>
          <w:color w:val="auto"/>
          <w:sz w:val="24"/>
          <w:szCs w:val="24"/>
          <w:lang w:val="en-US" w:eastAsia="zh-CN"/>
        </w:rPr>
        <w:fldChar w:fldCharType="separate"/>
      </w:r>
      <w:r>
        <w:rPr>
          <w:rFonts w:hint="default" w:ascii="Times New Roman" w:hAnsi="Times New Roman" w:eastAsia="黑体" w:cs="Times New Roman"/>
          <w:snapToGrid w:val="0"/>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_Toc28143 \h </w:instrText>
      </w:r>
      <w:r>
        <w:rPr>
          <w:color w:val="auto"/>
          <w:sz w:val="24"/>
          <w:szCs w:val="24"/>
        </w:rPr>
        <w:fldChar w:fldCharType="separate"/>
      </w:r>
      <w:r>
        <w:rPr>
          <w:color w:val="auto"/>
          <w:sz w:val="24"/>
          <w:szCs w:val="24"/>
        </w:rPr>
        <w:t>1</w:t>
      </w:r>
      <w:r>
        <w:rPr>
          <w:color w:val="auto"/>
          <w:sz w:val="24"/>
          <w:szCs w:val="24"/>
        </w:rPr>
        <w:fldChar w:fldCharType="end"/>
      </w:r>
      <w:r>
        <w:rPr>
          <w:rFonts w:hint="default" w:ascii="Times New Roman" w:hAnsi="Times New Roman" w:eastAsia="仿宋_GB2312" w:cs="Times New Roman"/>
          <w:bCs/>
          <w:color w:val="auto"/>
          <w:sz w:val="24"/>
          <w:szCs w:val="24"/>
          <w:lang w:val="en-US" w:eastAsia="zh-CN"/>
        </w:rPr>
        <w:fldChar w:fldCharType="end"/>
      </w:r>
    </w:p>
    <w:p w14:paraId="44BA774A">
      <w:pPr>
        <w:pStyle w:val="16"/>
        <w:keepNext w:val="0"/>
        <w:keepLines w:val="0"/>
        <w:pageBreakBefore w:val="0"/>
        <w:widowControl w:val="0"/>
        <w:tabs>
          <w:tab w:val="right" w:leader="dot" w:pos="8844"/>
        </w:tabs>
        <w:kinsoku/>
        <w:wordWrap/>
        <w:overflowPunct/>
        <w:topLinePunct w:val="0"/>
        <w:autoSpaceDE/>
        <w:autoSpaceDN/>
        <w:bidi w:val="0"/>
        <w:spacing w:line="360" w:lineRule="auto"/>
        <w:textAlignment w:val="auto"/>
        <w:rPr>
          <w:color w:val="auto"/>
          <w:sz w:val="24"/>
          <w:szCs w:val="24"/>
        </w:rPr>
      </w:pPr>
      <w:r>
        <w:rPr>
          <w:rFonts w:hint="default" w:ascii="Times New Roman" w:hAnsi="Times New Roman" w:eastAsia="仿宋_GB2312" w:cs="Times New Roman"/>
          <w:bCs/>
          <w:color w:val="auto"/>
          <w:sz w:val="24"/>
          <w:szCs w:val="24"/>
          <w:lang w:val="en-US" w:eastAsia="zh-CN"/>
        </w:rPr>
        <w:fldChar w:fldCharType="begin"/>
      </w:r>
      <w:r>
        <w:rPr>
          <w:rFonts w:hint="default" w:ascii="Times New Roman" w:hAnsi="Times New Roman" w:eastAsia="仿宋_GB2312" w:cs="Times New Roman"/>
          <w:bCs/>
          <w:color w:val="auto"/>
          <w:sz w:val="24"/>
          <w:szCs w:val="24"/>
          <w:lang w:val="en-US" w:eastAsia="zh-CN"/>
        </w:rPr>
        <w:instrText xml:space="preserve"> HYPERLINK \l _Toc9699 </w:instrText>
      </w:r>
      <w:r>
        <w:rPr>
          <w:rFonts w:hint="default" w:ascii="Times New Roman" w:hAnsi="Times New Roman" w:eastAsia="仿宋_GB2312" w:cs="Times New Roman"/>
          <w:bCs/>
          <w:color w:val="auto"/>
          <w:sz w:val="24"/>
          <w:szCs w:val="24"/>
          <w:lang w:val="en-US" w:eastAsia="zh-CN"/>
        </w:rPr>
        <w:fldChar w:fldCharType="separate"/>
      </w:r>
      <w:r>
        <w:rPr>
          <w:rFonts w:hint="default" w:ascii="Times New Roman" w:hAnsi="Times New Roman" w:eastAsia="黑体" w:cs="Times New Roman"/>
          <w:snapToGrid w:val="0"/>
          <w:color w:val="auto"/>
          <w:sz w:val="24"/>
          <w:szCs w:val="24"/>
        </w:rPr>
        <w:t>二、建设项目工程分析</w:t>
      </w:r>
      <w:r>
        <w:rPr>
          <w:color w:val="auto"/>
          <w:sz w:val="24"/>
          <w:szCs w:val="24"/>
        </w:rPr>
        <w:tab/>
      </w:r>
      <w:r>
        <w:rPr>
          <w:color w:val="auto"/>
          <w:sz w:val="24"/>
          <w:szCs w:val="24"/>
        </w:rPr>
        <w:fldChar w:fldCharType="begin"/>
      </w:r>
      <w:r>
        <w:rPr>
          <w:color w:val="auto"/>
          <w:sz w:val="24"/>
          <w:szCs w:val="24"/>
        </w:rPr>
        <w:instrText xml:space="preserve"> PAGEREF _Toc9699 \h </w:instrText>
      </w:r>
      <w:r>
        <w:rPr>
          <w:color w:val="auto"/>
          <w:sz w:val="24"/>
          <w:szCs w:val="24"/>
        </w:rPr>
        <w:fldChar w:fldCharType="separate"/>
      </w:r>
      <w:r>
        <w:rPr>
          <w:color w:val="auto"/>
          <w:sz w:val="24"/>
          <w:szCs w:val="24"/>
        </w:rPr>
        <w:t>41</w:t>
      </w:r>
      <w:r>
        <w:rPr>
          <w:color w:val="auto"/>
          <w:sz w:val="24"/>
          <w:szCs w:val="24"/>
        </w:rPr>
        <w:fldChar w:fldCharType="end"/>
      </w:r>
      <w:r>
        <w:rPr>
          <w:rFonts w:hint="default" w:ascii="Times New Roman" w:hAnsi="Times New Roman" w:eastAsia="仿宋_GB2312" w:cs="Times New Roman"/>
          <w:bCs/>
          <w:color w:val="auto"/>
          <w:sz w:val="24"/>
          <w:szCs w:val="24"/>
          <w:lang w:val="en-US" w:eastAsia="zh-CN"/>
        </w:rPr>
        <w:fldChar w:fldCharType="end"/>
      </w:r>
    </w:p>
    <w:p w14:paraId="7FD8B60D">
      <w:pPr>
        <w:pStyle w:val="16"/>
        <w:keepNext w:val="0"/>
        <w:keepLines w:val="0"/>
        <w:pageBreakBefore w:val="0"/>
        <w:widowControl w:val="0"/>
        <w:tabs>
          <w:tab w:val="right" w:leader="dot" w:pos="8844"/>
        </w:tabs>
        <w:kinsoku/>
        <w:wordWrap/>
        <w:overflowPunct/>
        <w:topLinePunct w:val="0"/>
        <w:autoSpaceDE/>
        <w:autoSpaceDN/>
        <w:bidi w:val="0"/>
        <w:spacing w:line="360" w:lineRule="auto"/>
        <w:textAlignment w:val="auto"/>
        <w:rPr>
          <w:color w:val="auto"/>
          <w:sz w:val="24"/>
          <w:szCs w:val="24"/>
        </w:rPr>
      </w:pPr>
      <w:r>
        <w:rPr>
          <w:rFonts w:hint="default" w:ascii="Times New Roman" w:hAnsi="Times New Roman" w:eastAsia="仿宋_GB2312" w:cs="Times New Roman"/>
          <w:bCs/>
          <w:color w:val="auto"/>
          <w:sz w:val="24"/>
          <w:szCs w:val="24"/>
          <w:lang w:val="en-US" w:eastAsia="zh-CN"/>
        </w:rPr>
        <w:fldChar w:fldCharType="begin"/>
      </w:r>
      <w:r>
        <w:rPr>
          <w:rFonts w:hint="default" w:ascii="Times New Roman" w:hAnsi="Times New Roman" w:eastAsia="仿宋_GB2312" w:cs="Times New Roman"/>
          <w:bCs/>
          <w:color w:val="auto"/>
          <w:sz w:val="24"/>
          <w:szCs w:val="24"/>
          <w:lang w:val="en-US" w:eastAsia="zh-CN"/>
        </w:rPr>
        <w:instrText xml:space="preserve"> HYPERLINK \l _Toc28410 </w:instrText>
      </w:r>
      <w:r>
        <w:rPr>
          <w:rFonts w:hint="default" w:ascii="Times New Roman" w:hAnsi="Times New Roman" w:eastAsia="仿宋_GB2312" w:cs="Times New Roman"/>
          <w:bCs/>
          <w:color w:val="auto"/>
          <w:sz w:val="24"/>
          <w:szCs w:val="24"/>
          <w:lang w:val="en-US" w:eastAsia="zh-CN"/>
        </w:rPr>
        <w:fldChar w:fldCharType="separate"/>
      </w:r>
      <w:r>
        <w:rPr>
          <w:rFonts w:hint="default" w:ascii="Times New Roman" w:hAnsi="Times New Roman" w:eastAsia="黑体" w:cs="Times New Roman"/>
          <w:snapToGrid w:val="0"/>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_Toc28410 \h </w:instrText>
      </w:r>
      <w:r>
        <w:rPr>
          <w:color w:val="auto"/>
          <w:sz w:val="24"/>
          <w:szCs w:val="24"/>
        </w:rPr>
        <w:fldChar w:fldCharType="separate"/>
      </w:r>
      <w:r>
        <w:rPr>
          <w:color w:val="auto"/>
          <w:sz w:val="24"/>
          <w:szCs w:val="24"/>
        </w:rPr>
        <w:t>69</w:t>
      </w:r>
      <w:r>
        <w:rPr>
          <w:color w:val="auto"/>
          <w:sz w:val="24"/>
          <w:szCs w:val="24"/>
        </w:rPr>
        <w:fldChar w:fldCharType="end"/>
      </w:r>
      <w:r>
        <w:rPr>
          <w:rFonts w:hint="default" w:ascii="Times New Roman" w:hAnsi="Times New Roman" w:eastAsia="仿宋_GB2312" w:cs="Times New Roman"/>
          <w:bCs/>
          <w:color w:val="auto"/>
          <w:sz w:val="24"/>
          <w:szCs w:val="24"/>
          <w:lang w:val="en-US" w:eastAsia="zh-CN"/>
        </w:rPr>
        <w:fldChar w:fldCharType="end"/>
      </w:r>
    </w:p>
    <w:p w14:paraId="6FB7DF32">
      <w:pPr>
        <w:pStyle w:val="16"/>
        <w:keepNext w:val="0"/>
        <w:keepLines w:val="0"/>
        <w:pageBreakBefore w:val="0"/>
        <w:widowControl w:val="0"/>
        <w:tabs>
          <w:tab w:val="right" w:leader="dot" w:pos="8844"/>
        </w:tabs>
        <w:kinsoku/>
        <w:wordWrap/>
        <w:overflowPunct/>
        <w:topLinePunct w:val="0"/>
        <w:autoSpaceDE/>
        <w:autoSpaceDN/>
        <w:bidi w:val="0"/>
        <w:spacing w:line="360" w:lineRule="auto"/>
        <w:textAlignment w:val="auto"/>
        <w:rPr>
          <w:color w:val="auto"/>
          <w:sz w:val="24"/>
          <w:szCs w:val="24"/>
        </w:rPr>
      </w:pPr>
      <w:r>
        <w:rPr>
          <w:rFonts w:hint="default" w:ascii="Times New Roman" w:hAnsi="Times New Roman" w:eastAsia="仿宋_GB2312" w:cs="Times New Roman"/>
          <w:bCs/>
          <w:color w:val="auto"/>
          <w:sz w:val="24"/>
          <w:szCs w:val="24"/>
          <w:lang w:val="en-US" w:eastAsia="zh-CN"/>
        </w:rPr>
        <w:fldChar w:fldCharType="begin"/>
      </w:r>
      <w:r>
        <w:rPr>
          <w:rFonts w:hint="default" w:ascii="Times New Roman" w:hAnsi="Times New Roman" w:eastAsia="仿宋_GB2312" w:cs="Times New Roman"/>
          <w:bCs/>
          <w:color w:val="auto"/>
          <w:sz w:val="24"/>
          <w:szCs w:val="24"/>
          <w:lang w:val="en-US" w:eastAsia="zh-CN"/>
        </w:rPr>
        <w:instrText xml:space="preserve"> HYPERLINK \l _Toc10316 </w:instrText>
      </w:r>
      <w:r>
        <w:rPr>
          <w:rFonts w:hint="default" w:ascii="Times New Roman" w:hAnsi="Times New Roman" w:eastAsia="仿宋_GB2312" w:cs="Times New Roman"/>
          <w:bCs/>
          <w:color w:val="auto"/>
          <w:sz w:val="24"/>
          <w:szCs w:val="24"/>
          <w:lang w:val="en-US" w:eastAsia="zh-CN"/>
        </w:rPr>
        <w:fldChar w:fldCharType="separate"/>
      </w:r>
      <w:r>
        <w:rPr>
          <w:rFonts w:hint="eastAsia" w:ascii="Times New Roman" w:hAnsi="Times New Roman" w:eastAsia="黑体" w:cs="Times New Roman"/>
          <w:snapToGrid w:val="0"/>
          <w:color w:val="auto"/>
          <w:sz w:val="24"/>
          <w:szCs w:val="24"/>
        </w:rPr>
        <w:t xml:space="preserve">四、 </w:t>
      </w:r>
      <w:r>
        <w:rPr>
          <w:rFonts w:hint="default" w:ascii="Times New Roman" w:hAnsi="Times New Roman" w:eastAsia="黑体" w:cs="Times New Roman"/>
          <w:snapToGrid w:val="0"/>
          <w:color w:val="auto"/>
          <w:sz w:val="24"/>
          <w:szCs w:val="24"/>
        </w:rPr>
        <w:t>主要环境影响和保护措施</w:t>
      </w:r>
      <w:r>
        <w:rPr>
          <w:color w:val="auto"/>
          <w:sz w:val="24"/>
          <w:szCs w:val="24"/>
        </w:rPr>
        <w:tab/>
      </w:r>
      <w:r>
        <w:rPr>
          <w:color w:val="auto"/>
          <w:sz w:val="24"/>
          <w:szCs w:val="24"/>
        </w:rPr>
        <w:fldChar w:fldCharType="begin"/>
      </w:r>
      <w:r>
        <w:rPr>
          <w:color w:val="auto"/>
          <w:sz w:val="24"/>
          <w:szCs w:val="24"/>
        </w:rPr>
        <w:instrText xml:space="preserve"> PAGEREF _Toc10316 \h </w:instrText>
      </w:r>
      <w:r>
        <w:rPr>
          <w:color w:val="auto"/>
          <w:sz w:val="24"/>
          <w:szCs w:val="24"/>
        </w:rPr>
        <w:fldChar w:fldCharType="separate"/>
      </w:r>
      <w:r>
        <w:rPr>
          <w:color w:val="auto"/>
          <w:sz w:val="24"/>
          <w:szCs w:val="24"/>
        </w:rPr>
        <w:t>82</w:t>
      </w:r>
      <w:r>
        <w:rPr>
          <w:color w:val="auto"/>
          <w:sz w:val="24"/>
          <w:szCs w:val="24"/>
        </w:rPr>
        <w:fldChar w:fldCharType="end"/>
      </w:r>
      <w:r>
        <w:rPr>
          <w:rFonts w:hint="default" w:ascii="Times New Roman" w:hAnsi="Times New Roman" w:eastAsia="仿宋_GB2312" w:cs="Times New Roman"/>
          <w:bCs/>
          <w:color w:val="auto"/>
          <w:sz w:val="24"/>
          <w:szCs w:val="24"/>
          <w:lang w:val="en-US" w:eastAsia="zh-CN"/>
        </w:rPr>
        <w:fldChar w:fldCharType="end"/>
      </w:r>
    </w:p>
    <w:p w14:paraId="5FBB337B">
      <w:pPr>
        <w:pStyle w:val="16"/>
        <w:keepNext w:val="0"/>
        <w:keepLines w:val="0"/>
        <w:pageBreakBefore w:val="0"/>
        <w:widowControl w:val="0"/>
        <w:tabs>
          <w:tab w:val="right" w:leader="dot" w:pos="8844"/>
        </w:tabs>
        <w:kinsoku/>
        <w:wordWrap/>
        <w:overflowPunct/>
        <w:topLinePunct w:val="0"/>
        <w:autoSpaceDE/>
        <w:autoSpaceDN/>
        <w:bidi w:val="0"/>
        <w:spacing w:line="360" w:lineRule="auto"/>
        <w:textAlignment w:val="auto"/>
        <w:rPr>
          <w:color w:val="auto"/>
          <w:sz w:val="24"/>
          <w:szCs w:val="24"/>
        </w:rPr>
      </w:pPr>
      <w:r>
        <w:rPr>
          <w:rFonts w:hint="default" w:ascii="Times New Roman" w:hAnsi="Times New Roman" w:eastAsia="仿宋_GB2312" w:cs="Times New Roman"/>
          <w:bCs/>
          <w:color w:val="auto"/>
          <w:sz w:val="24"/>
          <w:szCs w:val="24"/>
          <w:lang w:val="en-US" w:eastAsia="zh-CN"/>
        </w:rPr>
        <w:fldChar w:fldCharType="begin"/>
      </w:r>
      <w:r>
        <w:rPr>
          <w:rFonts w:hint="default" w:ascii="Times New Roman" w:hAnsi="Times New Roman" w:eastAsia="仿宋_GB2312" w:cs="Times New Roman"/>
          <w:bCs/>
          <w:color w:val="auto"/>
          <w:sz w:val="24"/>
          <w:szCs w:val="24"/>
          <w:lang w:val="en-US" w:eastAsia="zh-CN"/>
        </w:rPr>
        <w:instrText xml:space="preserve"> HYPERLINK \l _Toc18499 </w:instrText>
      </w:r>
      <w:r>
        <w:rPr>
          <w:rFonts w:hint="default" w:ascii="Times New Roman" w:hAnsi="Times New Roman" w:eastAsia="仿宋_GB2312" w:cs="Times New Roman"/>
          <w:bCs/>
          <w:color w:val="auto"/>
          <w:sz w:val="24"/>
          <w:szCs w:val="24"/>
          <w:lang w:val="en-US" w:eastAsia="zh-CN"/>
        </w:rPr>
        <w:fldChar w:fldCharType="separate"/>
      </w:r>
      <w:r>
        <w:rPr>
          <w:rFonts w:hint="default" w:ascii="Times New Roman" w:hAnsi="Times New Roman" w:eastAsia="黑体" w:cs="Times New Roman"/>
          <w:snapToGrid w:val="0"/>
          <w:color w:val="auto"/>
          <w:sz w:val="24"/>
          <w:szCs w:val="24"/>
          <w:highlight w:val="none"/>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_Toc18499 \h </w:instrText>
      </w:r>
      <w:r>
        <w:rPr>
          <w:color w:val="auto"/>
          <w:sz w:val="24"/>
          <w:szCs w:val="24"/>
        </w:rPr>
        <w:fldChar w:fldCharType="separate"/>
      </w:r>
      <w:r>
        <w:rPr>
          <w:color w:val="auto"/>
          <w:sz w:val="24"/>
          <w:szCs w:val="24"/>
        </w:rPr>
        <w:t>154</w:t>
      </w:r>
      <w:r>
        <w:rPr>
          <w:color w:val="auto"/>
          <w:sz w:val="24"/>
          <w:szCs w:val="24"/>
        </w:rPr>
        <w:fldChar w:fldCharType="end"/>
      </w:r>
      <w:r>
        <w:rPr>
          <w:rFonts w:hint="default" w:ascii="Times New Roman" w:hAnsi="Times New Roman" w:eastAsia="仿宋_GB2312" w:cs="Times New Roman"/>
          <w:bCs/>
          <w:color w:val="auto"/>
          <w:sz w:val="24"/>
          <w:szCs w:val="24"/>
          <w:lang w:val="en-US" w:eastAsia="zh-CN"/>
        </w:rPr>
        <w:fldChar w:fldCharType="end"/>
      </w:r>
    </w:p>
    <w:p w14:paraId="01F28BF3">
      <w:pPr>
        <w:pStyle w:val="16"/>
        <w:keepNext w:val="0"/>
        <w:keepLines w:val="0"/>
        <w:pageBreakBefore w:val="0"/>
        <w:widowControl w:val="0"/>
        <w:tabs>
          <w:tab w:val="right" w:leader="dot" w:pos="8844"/>
        </w:tabs>
        <w:kinsoku/>
        <w:wordWrap/>
        <w:overflowPunct/>
        <w:topLinePunct w:val="0"/>
        <w:autoSpaceDE/>
        <w:autoSpaceDN/>
        <w:bidi w:val="0"/>
        <w:spacing w:line="360" w:lineRule="auto"/>
        <w:textAlignment w:val="auto"/>
        <w:rPr>
          <w:color w:val="auto"/>
          <w:sz w:val="24"/>
          <w:szCs w:val="24"/>
        </w:rPr>
      </w:pPr>
      <w:r>
        <w:rPr>
          <w:rFonts w:hint="default" w:ascii="Times New Roman" w:hAnsi="Times New Roman" w:eastAsia="仿宋_GB2312" w:cs="Times New Roman"/>
          <w:bCs/>
          <w:color w:val="auto"/>
          <w:sz w:val="24"/>
          <w:szCs w:val="24"/>
          <w:lang w:val="en-US" w:eastAsia="zh-CN"/>
        </w:rPr>
        <w:fldChar w:fldCharType="begin"/>
      </w:r>
      <w:r>
        <w:rPr>
          <w:rFonts w:hint="default" w:ascii="Times New Roman" w:hAnsi="Times New Roman" w:eastAsia="仿宋_GB2312" w:cs="Times New Roman"/>
          <w:bCs/>
          <w:color w:val="auto"/>
          <w:sz w:val="24"/>
          <w:szCs w:val="24"/>
          <w:lang w:val="en-US" w:eastAsia="zh-CN"/>
        </w:rPr>
        <w:instrText xml:space="preserve"> HYPERLINK \l _Toc10122 </w:instrText>
      </w:r>
      <w:r>
        <w:rPr>
          <w:rFonts w:hint="default" w:ascii="Times New Roman" w:hAnsi="Times New Roman" w:eastAsia="仿宋_GB2312" w:cs="Times New Roman"/>
          <w:bCs/>
          <w:color w:val="auto"/>
          <w:sz w:val="24"/>
          <w:szCs w:val="24"/>
          <w:lang w:val="en-US" w:eastAsia="zh-CN"/>
        </w:rPr>
        <w:fldChar w:fldCharType="separate"/>
      </w:r>
      <w:r>
        <w:rPr>
          <w:rFonts w:hint="default" w:ascii="Times New Roman" w:hAnsi="Times New Roman" w:eastAsia="黑体" w:cs="Times New Roman"/>
          <w:snapToGrid w:val="0"/>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_Toc10122 \h </w:instrText>
      </w:r>
      <w:r>
        <w:rPr>
          <w:color w:val="auto"/>
          <w:sz w:val="24"/>
          <w:szCs w:val="24"/>
        </w:rPr>
        <w:fldChar w:fldCharType="separate"/>
      </w:r>
      <w:r>
        <w:rPr>
          <w:color w:val="auto"/>
          <w:sz w:val="24"/>
          <w:szCs w:val="24"/>
        </w:rPr>
        <w:t>159</w:t>
      </w:r>
      <w:r>
        <w:rPr>
          <w:color w:val="auto"/>
          <w:sz w:val="24"/>
          <w:szCs w:val="24"/>
        </w:rPr>
        <w:fldChar w:fldCharType="end"/>
      </w:r>
      <w:r>
        <w:rPr>
          <w:rFonts w:hint="default" w:ascii="Times New Roman" w:hAnsi="Times New Roman" w:eastAsia="仿宋_GB2312" w:cs="Times New Roman"/>
          <w:bCs/>
          <w:color w:val="auto"/>
          <w:sz w:val="24"/>
          <w:szCs w:val="24"/>
          <w:lang w:val="en-US" w:eastAsia="zh-CN"/>
        </w:rPr>
        <w:fldChar w:fldCharType="end"/>
      </w:r>
    </w:p>
    <w:p w14:paraId="35A0D8E0">
      <w:pPr>
        <w:pStyle w:val="16"/>
        <w:keepNext w:val="0"/>
        <w:keepLines w:val="0"/>
        <w:pageBreakBefore w:val="0"/>
        <w:widowControl w:val="0"/>
        <w:tabs>
          <w:tab w:val="right" w:leader="dot" w:pos="8844"/>
        </w:tabs>
        <w:kinsoku/>
        <w:wordWrap/>
        <w:overflowPunct/>
        <w:topLinePunct w:val="0"/>
        <w:autoSpaceDE/>
        <w:autoSpaceDN/>
        <w:bidi w:val="0"/>
        <w:spacing w:line="360" w:lineRule="auto"/>
        <w:textAlignment w:val="auto"/>
        <w:rPr>
          <w:color w:val="auto"/>
          <w:sz w:val="24"/>
          <w:szCs w:val="24"/>
        </w:rPr>
      </w:pPr>
      <w:r>
        <w:rPr>
          <w:rFonts w:hint="default" w:ascii="Times New Roman" w:hAnsi="Times New Roman" w:eastAsia="仿宋_GB2312" w:cs="Times New Roman"/>
          <w:bCs/>
          <w:color w:val="auto"/>
          <w:sz w:val="24"/>
          <w:szCs w:val="24"/>
          <w:lang w:val="en-US" w:eastAsia="zh-CN"/>
        </w:rPr>
        <w:fldChar w:fldCharType="begin"/>
      </w:r>
      <w:r>
        <w:rPr>
          <w:rFonts w:hint="default" w:ascii="Times New Roman" w:hAnsi="Times New Roman" w:eastAsia="仿宋_GB2312" w:cs="Times New Roman"/>
          <w:bCs/>
          <w:color w:val="auto"/>
          <w:sz w:val="24"/>
          <w:szCs w:val="24"/>
          <w:lang w:val="en-US" w:eastAsia="zh-CN"/>
        </w:rPr>
        <w:instrText xml:space="preserve"> HYPERLINK \l _Toc7499 </w:instrText>
      </w:r>
      <w:r>
        <w:rPr>
          <w:rFonts w:hint="default" w:ascii="Times New Roman" w:hAnsi="Times New Roman" w:eastAsia="仿宋_GB2312" w:cs="Times New Roman"/>
          <w:bCs/>
          <w:color w:val="auto"/>
          <w:sz w:val="24"/>
          <w:szCs w:val="24"/>
          <w:lang w:val="en-US" w:eastAsia="zh-CN"/>
        </w:rPr>
        <w:fldChar w:fldCharType="separate"/>
      </w:r>
      <w:r>
        <w:rPr>
          <w:rFonts w:hint="default" w:ascii="Times New Roman" w:hAnsi="Times New Roman" w:eastAsia="方正小标宋_GBK" w:cs="Times New Roman"/>
          <w:snapToGrid w:val="0"/>
          <w:color w:val="auto"/>
          <w:sz w:val="24"/>
          <w:szCs w:val="24"/>
        </w:rPr>
        <w:t>建设项目污染物排放量汇总表</w:t>
      </w:r>
      <w:r>
        <w:rPr>
          <w:color w:val="auto"/>
          <w:sz w:val="24"/>
          <w:szCs w:val="24"/>
        </w:rPr>
        <w:tab/>
      </w:r>
      <w:r>
        <w:rPr>
          <w:color w:val="auto"/>
          <w:sz w:val="24"/>
          <w:szCs w:val="24"/>
        </w:rPr>
        <w:fldChar w:fldCharType="begin"/>
      </w:r>
      <w:r>
        <w:rPr>
          <w:color w:val="auto"/>
          <w:sz w:val="24"/>
          <w:szCs w:val="24"/>
        </w:rPr>
        <w:instrText xml:space="preserve"> PAGEREF _Toc7499 \h </w:instrText>
      </w:r>
      <w:r>
        <w:rPr>
          <w:color w:val="auto"/>
          <w:sz w:val="24"/>
          <w:szCs w:val="24"/>
        </w:rPr>
        <w:fldChar w:fldCharType="separate"/>
      </w:r>
      <w:r>
        <w:rPr>
          <w:b/>
        </w:rPr>
        <w:t>错误！未定义书签。</w:t>
      </w:r>
      <w:r>
        <w:rPr>
          <w:color w:val="auto"/>
          <w:sz w:val="24"/>
          <w:szCs w:val="24"/>
        </w:rPr>
        <w:fldChar w:fldCharType="end"/>
      </w:r>
      <w:r>
        <w:rPr>
          <w:rFonts w:hint="default" w:ascii="Times New Roman" w:hAnsi="Times New Roman" w:eastAsia="仿宋_GB2312" w:cs="Times New Roman"/>
          <w:bCs/>
          <w:color w:val="auto"/>
          <w:sz w:val="24"/>
          <w:szCs w:val="24"/>
          <w:lang w:val="en-US" w:eastAsia="zh-CN"/>
        </w:rPr>
        <w:fldChar w:fldCharType="end"/>
      </w:r>
    </w:p>
    <w:p w14:paraId="1FF990E2">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default" w:ascii="Times New Roman" w:hAnsi="Times New Roman" w:eastAsia="黑体" w:cs="Times New Roman"/>
          <w:snapToGrid w:val="0"/>
          <w:color w:val="auto"/>
          <w:kern w:val="2"/>
          <w:sz w:val="24"/>
          <w:szCs w:val="24"/>
          <w:lang w:val="en-US" w:eastAsia="zh-CN" w:bidi="ar-SA"/>
        </w:rPr>
      </w:pPr>
      <w:r>
        <w:rPr>
          <w:rFonts w:hint="default" w:ascii="Times New Roman" w:hAnsi="Times New Roman" w:eastAsia="仿宋_GB2312" w:cs="Times New Roman"/>
          <w:bCs/>
          <w:color w:val="auto"/>
          <w:sz w:val="24"/>
          <w:szCs w:val="24"/>
          <w:lang w:val="en-US" w:eastAsia="zh-CN"/>
        </w:rPr>
        <w:fldChar w:fldCharType="end"/>
      </w:r>
      <w:r>
        <w:rPr>
          <w:rFonts w:hint="default" w:ascii="Times New Roman" w:hAnsi="Times New Roman" w:eastAsia="黑体" w:cs="Times New Roman"/>
          <w:snapToGrid w:val="0"/>
          <w:color w:val="auto"/>
          <w:kern w:val="2"/>
          <w:sz w:val="24"/>
          <w:szCs w:val="24"/>
          <w:lang w:val="en-US" w:eastAsia="zh-CN" w:bidi="ar-SA"/>
        </w:rPr>
        <w:t>附件</w:t>
      </w:r>
    </w:p>
    <w:p w14:paraId="6B132B18">
      <w:pPr>
        <w:keepLines w:val="0"/>
        <w:pageBreakBefore w:val="0"/>
        <w:widowControl w:val="0"/>
        <w:kinsoku/>
        <w:wordWrap/>
        <w:topLinePunct w:val="0"/>
        <w:autoSpaceDE/>
        <w:autoSpaceDN/>
        <w:bidi w:val="0"/>
        <w:adjustRightInd w:val="0"/>
        <w:snapToGrid w:val="0"/>
        <w:spacing w:line="360" w:lineRule="auto"/>
        <w:textAlignment w:val="auto"/>
        <w:rPr>
          <w:rFonts w:hint="eastAsia" w:ascii="Times New Roman" w:hAnsi="Times New Roman" w:eastAsia="宋体" w:cs="宋体"/>
          <w:b w:val="0"/>
          <w:bCs w:val="0"/>
          <w:color w:val="auto"/>
          <w:sz w:val="24"/>
          <w:szCs w:val="24"/>
          <w:lang w:val="en-US" w:eastAsia="zh-CN"/>
        </w:rPr>
      </w:pPr>
      <w:r>
        <w:rPr>
          <w:rFonts w:hint="eastAsia" w:ascii="Times New Roman" w:hAnsi="Times New Roman" w:eastAsia="宋体" w:cs="宋体"/>
          <w:b w:val="0"/>
          <w:bCs w:val="0"/>
          <w:color w:val="auto"/>
          <w:sz w:val="24"/>
          <w:szCs w:val="24"/>
          <w:lang w:val="en-US" w:eastAsia="zh-CN"/>
        </w:rPr>
        <w:t>附件一：委托书</w:t>
      </w:r>
    </w:p>
    <w:p w14:paraId="343DBCAB">
      <w:pPr>
        <w:keepLines w:val="0"/>
        <w:pageBreakBefore w:val="0"/>
        <w:widowControl w:val="0"/>
        <w:kinsoku/>
        <w:wordWrap/>
        <w:topLinePunct w:val="0"/>
        <w:autoSpaceDE/>
        <w:autoSpaceDN/>
        <w:bidi w:val="0"/>
        <w:adjustRightInd w:val="0"/>
        <w:snapToGrid w:val="0"/>
        <w:spacing w:line="360" w:lineRule="auto"/>
        <w:textAlignment w:val="auto"/>
        <w:rPr>
          <w:rFonts w:hint="eastAsia" w:ascii="Times New Roman" w:hAnsi="Times New Roman" w:eastAsia="宋体" w:cs="宋体"/>
          <w:b w:val="0"/>
          <w:bCs w:val="0"/>
          <w:color w:val="auto"/>
          <w:sz w:val="24"/>
          <w:szCs w:val="24"/>
          <w:lang w:val="en-US" w:eastAsia="zh-CN"/>
        </w:rPr>
      </w:pPr>
      <w:r>
        <w:rPr>
          <w:rFonts w:hint="eastAsia" w:ascii="Times New Roman" w:hAnsi="Times New Roman" w:eastAsia="宋体" w:cs="宋体"/>
          <w:b w:val="0"/>
          <w:bCs w:val="0"/>
          <w:color w:val="auto"/>
          <w:sz w:val="24"/>
          <w:szCs w:val="24"/>
          <w:lang w:val="en-US" w:eastAsia="zh-CN"/>
        </w:rPr>
        <w:t>附件二：项目投资备案证明</w:t>
      </w:r>
    </w:p>
    <w:p w14:paraId="150392D3">
      <w:pPr>
        <w:keepLines w:val="0"/>
        <w:pageBreakBefore w:val="0"/>
        <w:widowControl w:val="0"/>
        <w:kinsoku/>
        <w:wordWrap/>
        <w:topLinePunct w:val="0"/>
        <w:autoSpaceDE/>
        <w:autoSpaceDN/>
        <w:bidi w:val="0"/>
        <w:adjustRightInd w:val="0"/>
        <w:snapToGrid w:val="0"/>
        <w:spacing w:line="360" w:lineRule="auto"/>
        <w:textAlignment w:val="auto"/>
        <w:rPr>
          <w:rFonts w:hint="eastAsia" w:ascii="Times New Roman" w:hAnsi="Times New Roman" w:eastAsia="宋体" w:cs="宋体"/>
          <w:b w:val="0"/>
          <w:bCs w:val="0"/>
          <w:color w:val="auto"/>
          <w:sz w:val="24"/>
          <w:szCs w:val="24"/>
          <w:lang w:val="en-US" w:eastAsia="zh-CN"/>
        </w:rPr>
      </w:pPr>
      <w:r>
        <w:rPr>
          <w:rFonts w:hint="eastAsia" w:ascii="Times New Roman" w:hAnsi="Times New Roman" w:eastAsia="宋体" w:cs="宋体"/>
          <w:b w:val="0"/>
          <w:bCs w:val="0"/>
          <w:color w:val="auto"/>
          <w:sz w:val="24"/>
          <w:szCs w:val="24"/>
          <w:lang w:val="en-US" w:eastAsia="zh-CN"/>
        </w:rPr>
        <w:t>附件三：项目租赁合同</w:t>
      </w:r>
    </w:p>
    <w:p w14:paraId="15AF9911">
      <w:pPr>
        <w:keepLines w:val="0"/>
        <w:pageBreakBefore w:val="0"/>
        <w:widowControl w:val="0"/>
        <w:kinsoku/>
        <w:wordWrap/>
        <w:topLinePunct w:val="0"/>
        <w:autoSpaceDE/>
        <w:autoSpaceDN/>
        <w:bidi w:val="0"/>
        <w:adjustRightInd w:val="0"/>
        <w:snapToGrid w:val="0"/>
        <w:spacing w:line="360" w:lineRule="auto"/>
        <w:textAlignment w:val="auto"/>
        <w:rPr>
          <w:rFonts w:hint="default" w:ascii="Times New Roman" w:hAnsi="Times New Roman" w:eastAsia="宋体" w:cs="宋体"/>
          <w:b w:val="0"/>
          <w:bCs w:val="0"/>
          <w:color w:val="auto"/>
          <w:sz w:val="24"/>
          <w:szCs w:val="24"/>
          <w:lang w:val="en-US" w:eastAsia="zh-CN"/>
        </w:rPr>
      </w:pPr>
      <w:r>
        <w:rPr>
          <w:rFonts w:hint="eastAsia" w:ascii="Times New Roman" w:hAnsi="Times New Roman" w:eastAsia="宋体" w:cs="宋体"/>
          <w:b w:val="0"/>
          <w:bCs w:val="0"/>
          <w:color w:val="auto"/>
          <w:sz w:val="24"/>
          <w:szCs w:val="24"/>
          <w:lang w:val="en-US" w:eastAsia="zh-CN"/>
        </w:rPr>
        <w:t>附件四：租赁厂区土地及厂房材料</w:t>
      </w:r>
    </w:p>
    <w:p w14:paraId="72CA446D">
      <w:pPr>
        <w:keepLines w:val="0"/>
        <w:pageBreakBefore w:val="0"/>
        <w:widowControl w:val="0"/>
        <w:kinsoku/>
        <w:wordWrap/>
        <w:topLinePunct w:val="0"/>
        <w:autoSpaceDE/>
        <w:autoSpaceDN/>
        <w:bidi w:val="0"/>
        <w:adjustRightInd w:val="0"/>
        <w:snapToGrid w:val="0"/>
        <w:spacing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附件五：</w:t>
      </w:r>
      <w:r>
        <w:rPr>
          <w:rFonts w:hint="eastAsia" w:ascii="Times New Roman" w:hAnsi="Times New Roman" w:eastAsia="宋体" w:cs="宋体"/>
          <w:b w:val="0"/>
          <w:bCs w:val="0"/>
          <w:snapToGrid w:val="0"/>
          <w:color w:val="auto"/>
          <w:kern w:val="2"/>
          <w:sz w:val="24"/>
          <w:szCs w:val="24"/>
          <w:lang w:val="en-US" w:eastAsia="zh-CN" w:bidi="ar-SA"/>
        </w:rPr>
        <w:t>污水接管说明</w:t>
      </w:r>
    </w:p>
    <w:p w14:paraId="0C78A813">
      <w:pPr>
        <w:keepLines w:val="0"/>
        <w:pageBreakBefore w:val="0"/>
        <w:widowControl w:val="0"/>
        <w:kinsoku/>
        <w:wordWrap/>
        <w:topLinePunct w:val="0"/>
        <w:autoSpaceDE/>
        <w:autoSpaceDN/>
        <w:bidi w:val="0"/>
        <w:adjustRightInd w:val="0"/>
        <w:snapToGrid w:val="0"/>
        <w:spacing w:line="360" w:lineRule="auto"/>
        <w:textAlignment w:val="auto"/>
        <w:rPr>
          <w:rFonts w:hint="default" w:ascii="Times New Roman" w:hAnsi="Times New Roman" w:eastAsia="宋体" w:cs="宋体"/>
          <w:b w:val="0"/>
          <w:bCs w:val="0"/>
          <w:color w:val="auto"/>
          <w:sz w:val="24"/>
          <w:szCs w:val="24"/>
          <w:lang w:val="en-US" w:eastAsia="zh-CN"/>
        </w:rPr>
      </w:pPr>
      <w:r>
        <w:rPr>
          <w:rFonts w:hint="eastAsia" w:ascii="Times New Roman" w:hAnsi="Times New Roman" w:eastAsia="宋体" w:cs="宋体"/>
          <w:b w:val="0"/>
          <w:bCs w:val="0"/>
          <w:color w:val="auto"/>
          <w:sz w:val="24"/>
          <w:szCs w:val="24"/>
          <w:lang w:val="en-US" w:eastAsia="zh-CN"/>
        </w:rPr>
        <w:t>附件六：</w:t>
      </w:r>
      <w:r>
        <w:rPr>
          <w:rFonts w:hint="eastAsia" w:ascii="Times New Roman" w:hAnsi="Times New Roman" w:eastAsia="宋体" w:cs="宋体"/>
          <w:b w:val="0"/>
          <w:bCs w:val="0"/>
          <w:snapToGrid w:val="0"/>
          <w:color w:val="auto"/>
          <w:kern w:val="2"/>
          <w:sz w:val="24"/>
          <w:szCs w:val="24"/>
          <w:lang w:val="en-US" w:eastAsia="zh-CN" w:bidi="ar-SA"/>
        </w:rPr>
        <w:t>园区项目审批表</w:t>
      </w:r>
    </w:p>
    <w:p w14:paraId="356C0280">
      <w:pPr>
        <w:keepLines w:val="0"/>
        <w:pageBreakBefore w:val="0"/>
        <w:widowControl w:val="0"/>
        <w:kinsoku/>
        <w:wordWrap/>
        <w:topLinePunct w:val="0"/>
        <w:autoSpaceDE/>
        <w:autoSpaceDN/>
        <w:bidi w:val="0"/>
        <w:adjustRightInd w:val="0"/>
        <w:snapToGrid w:val="0"/>
        <w:spacing w:line="360" w:lineRule="auto"/>
        <w:textAlignment w:val="auto"/>
        <w:rPr>
          <w:rFonts w:hint="default" w:ascii="Times New Roman" w:hAnsi="Times New Roman" w:eastAsia="宋体" w:cs="宋体"/>
          <w:b w:val="0"/>
          <w:bCs w:val="0"/>
          <w:color w:val="auto"/>
          <w:sz w:val="24"/>
          <w:szCs w:val="24"/>
          <w:lang w:val="en-US" w:eastAsia="zh-CN"/>
        </w:rPr>
      </w:pPr>
      <w:r>
        <w:rPr>
          <w:rFonts w:hint="eastAsia" w:ascii="Times New Roman" w:hAnsi="Times New Roman" w:eastAsia="宋体" w:cs="宋体"/>
          <w:b w:val="0"/>
          <w:bCs w:val="0"/>
          <w:color w:val="auto"/>
          <w:sz w:val="24"/>
          <w:szCs w:val="24"/>
          <w:lang w:val="en-US" w:eastAsia="zh-CN"/>
        </w:rPr>
        <w:t>附件七：</w:t>
      </w:r>
      <w:r>
        <w:rPr>
          <w:rFonts w:hint="eastAsia" w:ascii="Times New Roman" w:hAnsi="Times New Roman" w:eastAsia="宋体" w:cs="宋体"/>
          <w:b w:val="0"/>
          <w:bCs w:val="0"/>
          <w:snapToGrid w:val="0"/>
          <w:color w:val="auto"/>
          <w:kern w:val="2"/>
          <w:sz w:val="24"/>
          <w:szCs w:val="24"/>
          <w:lang w:val="en-US" w:eastAsia="zh-CN" w:bidi="ar-SA"/>
        </w:rPr>
        <w:t>规划环评批复</w:t>
      </w:r>
    </w:p>
    <w:p w14:paraId="5E803FB8">
      <w:pPr>
        <w:keepLines w:val="0"/>
        <w:pageBreakBefore w:val="0"/>
        <w:widowControl w:val="0"/>
        <w:kinsoku/>
        <w:wordWrap/>
        <w:topLinePunct w:val="0"/>
        <w:autoSpaceDE/>
        <w:autoSpaceDN/>
        <w:bidi w:val="0"/>
        <w:adjustRightInd w:val="0"/>
        <w:snapToGrid w:val="0"/>
        <w:spacing w:line="360" w:lineRule="auto"/>
        <w:textAlignment w:val="auto"/>
        <w:rPr>
          <w:rFonts w:hint="default" w:ascii="Times New Roman" w:hAnsi="Times New Roman" w:eastAsia="宋体" w:cs="宋体"/>
          <w:b w:val="0"/>
          <w:bCs w:val="0"/>
          <w:color w:val="auto"/>
          <w:sz w:val="24"/>
          <w:szCs w:val="24"/>
          <w:lang w:val="en-US" w:eastAsia="zh-CN"/>
        </w:rPr>
      </w:pPr>
      <w:r>
        <w:rPr>
          <w:rFonts w:hint="eastAsia" w:ascii="Times New Roman" w:hAnsi="Times New Roman" w:eastAsia="宋体" w:cs="宋体"/>
          <w:b w:val="0"/>
          <w:bCs w:val="0"/>
          <w:color w:val="auto"/>
          <w:sz w:val="24"/>
          <w:szCs w:val="24"/>
          <w:lang w:val="en-US" w:eastAsia="zh-CN"/>
        </w:rPr>
        <w:t>附件八：环境现状监测报告</w:t>
      </w:r>
    </w:p>
    <w:p w14:paraId="083E443F">
      <w:pPr>
        <w:keepLines w:val="0"/>
        <w:pageBreakBefore w:val="0"/>
        <w:widowControl w:val="0"/>
        <w:kinsoku/>
        <w:wordWrap/>
        <w:topLinePunct w:val="0"/>
        <w:autoSpaceDE/>
        <w:autoSpaceDN/>
        <w:bidi w:val="0"/>
        <w:adjustRightInd w:val="0"/>
        <w:snapToGrid w:val="0"/>
        <w:spacing w:line="360" w:lineRule="auto"/>
        <w:textAlignment w:val="auto"/>
        <w:rPr>
          <w:rFonts w:hint="eastAsia" w:ascii="Times New Roman" w:hAnsi="Times New Roman" w:eastAsia="宋体" w:cs="宋体"/>
          <w:b w:val="0"/>
          <w:bCs w:val="0"/>
          <w:snapToGrid w:val="0"/>
          <w:color w:val="auto"/>
          <w:kern w:val="2"/>
          <w:sz w:val="24"/>
          <w:szCs w:val="24"/>
          <w:lang w:val="en-US" w:eastAsia="zh-CN" w:bidi="ar-SA"/>
        </w:rPr>
      </w:pPr>
      <w:r>
        <w:rPr>
          <w:rFonts w:hint="eastAsia" w:ascii="Times New Roman" w:hAnsi="Times New Roman" w:eastAsia="宋体" w:cs="宋体"/>
          <w:b w:val="0"/>
          <w:bCs w:val="0"/>
          <w:color w:val="auto"/>
          <w:sz w:val="24"/>
          <w:szCs w:val="24"/>
          <w:lang w:val="en-US" w:eastAsia="zh-CN"/>
        </w:rPr>
        <w:t>附件九：</w:t>
      </w:r>
      <w:r>
        <w:rPr>
          <w:rFonts w:hint="eastAsia" w:ascii="Times New Roman" w:hAnsi="Times New Roman" w:eastAsia="宋体" w:cs="宋体"/>
          <w:b w:val="0"/>
          <w:bCs w:val="0"/>
          <w:snapToGrid w:val="0"/>
          <w:color w:val="auto"/>
          <w:kern w:val="2"/>
          <w:sz w:val="24"/>
          <w:szCs w:val="24"/>
          <w:lang w:val="en-US" w:eastAsia="zh-CN" w:bidi="ar-SA"/>
        </w:rPr>
        <w:t>承诺函</w:t>
      </w:r>
    </w:p>
    <w:p w14:paraId="230B3359">
      <w:pPr>
        <w:keepLines w:val="0"/>
        <w:pageBreakBefore w:val="0"/>
        <w:widowControl w:val="0"/>
        <w:kinsoku/>
        <w:wordWrap/>
        <w:topLinePunct w:val="0"/>
        <w:autoSpaceDE/>
        <w:autoSpaceDN/>
        <w:bidi w:val="0"/>
        <w:adjustRightInd w:val="0"/>
        <w:snapToGrid w:val="0"/>
        <w:spacing w:line="360" w:lineRule="auto"/>
        <w:textAlignment w:val="auto"/>
        <w:rPr>
          <w:rFonts w:hint="eastAsia" w:ascii="Times New Roman" w:hAnsi="Times New Roman" w:eastAsia="宋体" w:cs="宋体"/>
          <w:b w:val="0"/>
          <w:bCs w:val="0"/>
          <w:snapToGrid w:val="0"/>
          <w:color w:val="auto"/>
          <w:kern w:val="2"/>
          <w:sz w:val="24"/>
          <w:szCs w:val="24"/>
          <w:lang w:val="en-US" w:eastAsia="zh-CN" w:bidi="ar-SA"/>
        </w:rPr>
      </w:pPr>
      <w:r>
        <w:rPr>
          <w:rFonts w:hint="eastAsia" w:ascii="Times New Roman" w:hAnsi="Times New Roman" w:eastAsia="宋体" w:cs="宋体"/>
          <w:b w:val="0"/>
          <w:bCs w:val="0"/>
          <w:color w:val="auto"/>
          <w:sz w:val="24"/>
          <w:szCs w:val="24"/>
          <w:lang w:val="en-US" w:eastAsia="zh-CN"/>
        </w:rPr>
        <w:t>附件十：类比监测报告（摘录）</w:t>
      </w:r>
    </w:p>
    <w:p w14:paraId="6A232407">
      <w:pPr>
        <w:keepLines w:val="0"/>
        <w:pageBreakBefore w:val="0"/>
        <w:widowControl w:val="0"/>
        <w:kinsoku/>
        <w:wordWrap/>
        <w:topLinePunct w:val="0"/>
        <w:autoSpaceDE/>
        <w:autoSpaceDN/>
        <w:bidi w:val="0"/>
        <w:adjustRightInd w:val="0"/>
        <w:snapToGrid w:val="0"/>
        <w:spacing w:line="360" w:lineRule="auto"/>
        <w:textAlignment w:val="auto"/>
        <w:rPr>
          <w:rFonts w:hint="eastAsia" w:ascii="Times New Roman" w:hAnsi="Times New Roman" w:eastAsia="宋体" w:cs="宋体"/>
          <w:b w:val="0"/>
          <w:bCs w:val="0"/>
          <w:color w:val="auto"/>
          <w:sz w:val="24"/>
          <w:szCs w:val="24"/>
          <w:lang w:val="en-US" w:eastAsia="zh-CN"/>
        </w:rPr>
      </w:pPr>
      <w:r>
        <w:rPr>
          <w:rFonts w:hint="eastAsia" w:ascii="Times New Roman" w:hAnsi="Times New Roman" w:eastAsia="宋体" w:cs="宋体"/>
          <w:b w:val="0"/>
          <w:bCs w:val="0"/>
          <w:color w:val="auto"/>
          <w:sz w:val="24"/>
          <w:szCs w:val="24"/>
          <w:lang w:val="en-US" w:eastAsia="zh-CN"/>
        </w:rPr>
        <w:t>附件十一：建设单位营业执照、法人身份证</w:t>
      </w:r>
    </w:p>
    <w:p w14:paraId="7E688572">
      <w:pPr>
        <w:keepLines w:val="0"/>
        <w:pageBreakBefore w:val="0"/>
        <w:widowControl w:val="0"/>
        <w:kinsoku/>
        <w:wordWrap/>
        <w:topLinePunct w:val="0"/>
        <w:autoSpaceDE/>
        <w:autoSpaceDN/>
        <w:bidi w:val="0"/>
        <w:adjustRightInd w:val="0"/>
        <w:snapToGrid w:val="0"/>
        <w:spacing w:line="360" w:lineRule="auto"/>
        <w:textAlignment w:val="auto"/>
        <w:rPr>
          <w:rFonts w:hint="eastAsia" w:ascii="Times New Roman" w:hAnsi="Times New Roman" w:eastAsia="宋体" w:cs="宋体"/>
          <w:b w:val="0"/>
          <w:bCs w:val="0"/>
          <w:color w:val="auto"/>
          <w:sz w:val="24"/>
          <w:szCs w:val="24"/>
          <w:lang w:val="en-US" w:eastAsia="zh-CN"/>
        </w:rPr>
      </w:pPr>
      <w:r>
        <w:rPr>
          <w:rFonts w:hint="eastAsia" w:ascii="Times New Roman" w:hAnsi="Times New Roman" w:eastAsia="宋体" w:cs="宋体"/>
          <w:b w:val="0"/>
          <w:bCs w:val="0"/>
          <w:color w:val="auto"/>
          <w:sz w:val="24"/>
          <w:szCs w:val="24"/>
          <w:lang w:val="en-US" w:eastAsia="zh-CN"/>
        </w:rPr>
        <w:t>附件十二：专家评审意见</w:t>
      </w:r>
    </w:p>
    <w:p w14:paraId="6D6D830E">
      <w:pPr>
        <w:pStyle w:val="2"/>
        <w:rPr>
          <w:rFonts w:hint="default"/>
          <w:color w:val="auto"/>
          <w:lang w:val="en-US" w:eastAsia="zh-CN"/>
        </w:rPr>
      </w:pPr>
      <w:r>
        <w:rPr>
          <w:rFonts w:hint="eastAsia"/>
          <w:color w:val="auto"/>
          <w:lang w:val="en-US" w:eastAsia="zh-CN"/>
        </w:rPr>
        <w:t>附件十三：评审意见修改说明</w:t>
      </w:r>
    </w:p>
    <w:p w14:paraId="00A6D17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jc w:val="both"/>
        <w:textAlignment w:val="auto"/>
        <w:rPr>
          <w:rFonts w:hint="default" w:ascii="Times New Roman" w:hAnsi="Times New Roman" w:eastAsia="黑体" w:cs="Times New Roman"/>
          <w:snapToGrid w:val="0"/>
          <w:color w:val="auto"/>
          <w:kern w:val="2"/>
          <w:sz w:val="24"/>
          <w:szCs w:val="24"/>
          <w:lang w:val="en-US" w:eastAsia="zh-CN" w:bidi="ar-SA"/>
        </w:rPr>
      </w:pPr>
      <w:r>
        <w:rPr>
          <w:rFonts w:hint="default" w:ascii="Times New Roman" w:hAnsi="Times New Roman" w:eastAsia="黑体" w:cs="Times New Roman"/>
          <w:snapToGrid w:val="0"/>
          <w:color w:val="auto"/>
          <w:kern w:val="2"/>
          <w:sz w:val="24"/>
          <w:szCs w:val="24"/>
          <w:lang w:val="en-US" w:eastAsia="zh-CN" w:bidi="ar-SA"/>
        </w:rPr>
        <w:t>附图</w:t>
      </w:r>
    </w:p>
    <w:p w14:paraId="0EEE15C3">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default" w:ascii="Times New Roman" w:hAnsi="Times New Roman" w:eastAsia="宋体" w:cs="Times New Roman"/>
          <w:b w:val="0"/>
          <w:bCs w:val="0"/>
          <w:snapToGrid w:val="0"/>
          <w:color w:val="auto"/>
          <w:kern w:val="2"/>
          <w:sz w:val="24"/>
          <w:szCs w:val="24"/>
          <w:lang w:val="en-US" w:eastAsia="zh-CN" w:bidi="ar-SA"/>
        </w:rPr>
      </w:pPr>
      <w:r>
        <w:rPr>
          <w:rFonts w:hint="default" w:ascii="Times New Roman" w:hAnsi="Times New Roman" w:eastAsia="宋体" w:cs="Times New Roman"/>
          <w:b w:val="0"/>
          <w:bCs w:val="0"/>
          <w:snapToGrid w:val="0"/>
          <w:color w:val="auto"/>
          <w:kern w:val="2"/>
          <w:sz w:val="24"/>
          <w:szCs w:val="24"/>
          <w:lang w:val="en-US" w:eastAsia="zh-CN" w:bidi="ar-SA"/>
        </w:rPr>
        <w:t>附图1：项目地理位置图</w:t>
      </w:r>
    </w:p>
    <w:p w14:paraId="05DA95E1">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default" w:ascii="Times New Roman" w:hAnsi="Times New Roman" w:eastAsia="宋体" w:cs="Times New Roman"/>
          <w:b w:val="0"/>
          <w:bCs w:val="0"/>
          <w:snapToGrid w:val="0"/>
          <w:color w:val="auto"/>
          <w:kern w:val="2"/>
          <w:sz w:val="24"/>
          <w:szCs w:val="24"/>
          <w:lang w:val="en-US" w:eastAsia="zh-CN" w:bidi="ar-SA"/>
        </w:rPr>
      </w:pPr>
      <w:r>
        <w:rPr>
          <w:rFonts w:hint="default" w:ascii="Times New Roman" w:hAnsi="Times New Roman" w:eastAsia="宋体" w:cs="Times New Roman"/>
          <w:b w:val="0"/>
          <w:bCs w:val="0"/>
          <w:snapToGrid w:val="0"/>
          <w:color w:val="auto"/>
          <w:kern w:val="2"/>
          <w:sz w:val="24"/>
          <w:szCs w:val="24"/>
          <w:lang w:val="en-US" w:eastAsia="zh-CN" w:bidi="ar-SA"/>
        </w:rPr>
        <w:t>附图2：项目周边环境示意图</w:t>
      </w:r>
    </w:p>
    <w:p w14:paraId="4CD1E81B">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default" w:ascii="Times New Roman" w:hAnsi="Times New Roman" w:eastAsia="宋体" w:cs="Times New Roman"/>
          <w:b w:val="0"/>
          <w:bCs w:val="0"/>
          <w:snapToGrid w:val="0"/>
          <w:color w:val="auto"/>
          <w:kern w:val="2"/>
          <w:sz w:val="24"/>
          <w:szCs w:val="24"/>
          <w:lang w:val="en-US" w:eastAsia="zh-CN" w:bidi="ar-SA"/>
        </w:rPr>
      </w:pPr>
      <w:r>
        <w:rPr>
          <w:rFonts w:hint="default" w:ascii="Times New Roman" w:hAnsi="Times New Roman" w:eastAsia="宋体" w:cs="Times New Roman"/>
          <w:b w:val="0"/>
          <w:bCs w:val="0"/>
          <w:snapToGrid w:val="0"/>
          <w:color w:val="auto"/>
          <w:kern w:val="2"/>
          <w:sz w:val="24"/>
          <w:szCs w:val="24"/>
          <w:lang w:val="en-US" w:eastAsia="zh-CN" w:bidi="ar-SA"/>
        </w:rPr>
        <w:t>附图3：</w:t>
      </w:r>
      <w:r>
        <w:rPr>
          <w:rFonts w:hint="eastAsia" w:ascii="Times New Roman" w:hAnsi="Times New Roman" w:eastAsia="宋体" w:cs="Times New Roman"/>
          <w:b w:val="0"/>
          <w:bCs w:val="0"/>
          <w:snapToGrid w:val="0"/>
          <w:color w:val="auto"/>
          <w:kern w:val="2"/>
          <w:sz w:val="24"/>
          <w:szCs w:val="24"/>
          <w:lang w:val="en-US" w:eastAsia="zh-CN" w:bidi="ar-SA"/>
        </w:rPr>
        <w:t>项目周边环境及厂房现状拍摄图</w:t>
      </w:r>
    </w:p>
    <w:p w14:paraId="1B5628CE">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eastAsia" w:ascii="Times New Roman" w:hAnsi="Times New Roman" w:eastAsia="宋体" w:cs="Times New Roman"/>
          <w:b w:val="0"/>
          <w:bCs w:val="0"/>
          <w:snapToGrid w:val="0"/>
          <w:color w:val="auto"/>
          <w:kern w:val="2"/>
          <w:sz w:val="24"/>
          <w:szCs w:val="24"/>
          <w:lang w:val="en-US" w:eastAsia="zh-CN" w:bidi="ar-SA"/>
        </w:rPr>
      </w:pPr>
      <w:r>
        <w:rPr>
          <w:rFonts w:hint="default" w:ascii="Times New Roman" w:hAnsi="Times New Roman" w:eastAsia="宋体" w:cs="Times New Roman"/>
          <w:b w:val="0"/>
          <w:bCs w:val="0"/>
          <w:snapToGrid w:val="0"/>
          <w:color w:val="auto"/>
          <w:kern w:val="2"/>
          <w:sz w:val="24"/>
          <w:szCs w:val="24"/>
          <w:lang w:val="en-US" w:eastAsia="zh-CN" w:bidi="ar-SA"/>
        </w:rPr>
        <w:t>附图4：</w:t>
      </w:r>
      <w:r>
        <w:rPr>
          <w:rFonts w:hint="eastAsia" w:ascii="Times New Roman" w:hAnsi="Times New Roman" w:eastAsia="宋体" w:cs="Times New Roman"/>
          <w:b w:val="0"/>
          <w:bCs w:val="0"/>
          <w:snapToGrid w:val="0"/>
          <w:color w:val="auto"/>
          <w:kern w:val="2"/>
          <w:sz w:val="24"/>
          <w:szCs w:val="24"/>
          <w:lang w:val="en-US" w:eastAsia="zh-CN" w:bidi="ar-SA"/>
        </w:rPr>
        <w:t>2023年福州市水环境质量状况截图（水环境质量）</w:t>
      </w:r>
    </w:p>
    <w:p w14:paraId="0775AB8D">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eastAsia" w:ascii="Times New Roman" w:hAnsi="Times New Roman" w:eastAsia="宋体" w:cs="Times New Roman"/>
          <w:b w:val="0"/>
          <w:bCs w:val="0"/>
          <w:snapToGrid w:val="0"/>
          <w:color w:val="auto"/>
          <w:kern w:val="2"/>
          <w:sz w:val="24"/>
          <w:szCs w:val="24"/>
          <w:lang w:val="en-US" w:eastAsia="zh-CN" w:bidi="ar-SA"/>
        </w:rPr>
      </w:pPr>
      <w:r>
        <w:rPr>
          <w:rFonts w:hint="default" w:ascii="Times New Roman" w:hAnsi="Times New Roman" w:eastAsia="宋体" w:cs="Times New Roman"/>
          <w:b w:val="0"/>
          <w:bCs w:val="0"/>
          <w:snapToGrid w:val="0"/>
          <w:color w:val="auto"/>
          <w:kern w:val="2"/>
          <w:sz w:val="24"/>
          <w:szCs w:val="24"/>
          <w:lang w:val="en-US" w:eastAsia="zh-CN" w:bidi="ar-SA"/>
        </w:rPr>
        <w:t>附图</w:t>
      </w:r>
      <w:r>
        <w:rPr>
          <w:rFonts w:hint="eastAsia" w:ascii="Times New Roman" w:hAnsi="Times New Roman" w:eastAsia="宋体" w:cs="Times New Roman"/>
          <w:b w:val="0"/>
          <w:bCs w:val="0"/>
          <w:snapToGrid w:val="0"/>
          <w:color w:val="auto"/>
          <w:kern w:val="2"/>
          <w:sz w:val="24"/>
          <w:szCs w:val="24"/>
          <w:lang w:val="en-US" w:eastAsia="zh-CN" w:bidi="ar-SA"/>
        </w:rPr>
        <w:t>5</w:t>
      </w:r>
      <w:r>
        <w:rPr>
          <w:rFonts w:hint="default" w:ascii="Times New Roman" w:hAnsi="Times New Roman" w:eastAsia="宋体" w:cs="Times New Roman"/>
          <w:b w:val="0"/>
          <w:bCs w:val="0"/>
          <w:snapToGrid w:val="0"/>
          <w:color w:val="auto"/>
          <w:kern w:val="2"/>
          <w:sz w:val="24"/>
          <w:szCs w:val="24"/>
          <w:lang w:val="en-US" w:eastAsia="zh-CN" w:bidi="ar-SA"/>
        </w:rPr>
        <w:t>：</w:t>
      </w:r>
      <w:r>
        <w:rPr>
          <w:rFonts w:hint="eastAsia" w:ascii="Times New Roman" w:hAnsi="Times New Roman" w:eastAsia="宋体" w:cs="Times New Roman"/>
          <w:b w:val="0"/>
          <w:bCs w:val="0"/>
          <w:snapToGrid w:val="0"/>
          <w:color w:val="auto"/>
          <w:kern w:val="2"/>
          <w:sz w:val="24"/>
          <w:szCs w:val="24"/>
          <w:lang w:val="en-US" w:eastAsia="zh-CN" w:bidi="ar-SA"/>
        </w:rPr>
        <w:t>福建省近岸海域水质状况（2024年春季）</w:t>
      </w:r>
    </w:p>
    <w:p w14:paraId="38AE6E63">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eastAsia" w:ascii="Times New Roman" w:hAnsi="Times New Roman" w:eastAsia="宋体" w:cs="Times New Roman"/>
          <w:b w:val="0"/>
          <w:bCs w:val="0"/>
          <w:snapToGrid w:val="0"/>
          <w:color w:val="auto"/>
          <w:kern w:val="2"/>
          <w:sz w:val="24"/>
          <w:szCs w:val="24"/>
          <w:lang w:val="en-US" w:eastAsia="zh-CN" w:bidi="ar-SA"/>
        </w:rPr>
      </w:pPr>
      <w:r>
        <w:rPr>
          <w:rFonts w:hint="default" w:ascii="Times New Roman" w:hAnsi="Times New Roman" w:eastAsia="宋体" w:cs="Times New Roman"/>
          <w:b w:val="0"/>
          <w:bCs w:val="0"/>
          <w:snapToGrid w:val="0"/>
          <w:color w:val="auto"/>
          <w:kern w:val="2"/>
          <w:sz w:val="24"/>
          <w:szCs w:val="24"/>
          <w:lang w:val="en-US" w:eastAsia="zh-CN" w:bidi="ar-SA"/>
        </w:rPr>
        <w:t>附图</w:t>
      </w:r>
      <w:r>
        <w:rPr>
          <w:rFonts w:hint="eastAsia" w:ascii="Times New Roman" w:hAnsi="Times New Roman" w:eastAsia="宋体" w:cs="Times New Roman"/>
          <w:b w:val="0"/>
          <w:bCs w:val="0"/>
          <w:snapToGrid w:val="0"/>
          <w:color w:val="auto"/>
          <w:kern w:val="2"/>
          <w:sz w:val="24"/>
          <w:szCs w:val="24"/>
          <w:lang w:val="en-US" w:eastAsia="zh-CN" w:bidi="ar-SA"/>
        </w:rPr>
        <w:t>6</w:t>
      </w:r>
      <w:r>
        <w:rPr>
          <w:rFonts w:hint="default" w:ascii="Times New Roman" w:hAnsi="Times New Roman" w:eastAsia="宋体" w:cs="Times New Roman"/>
          <w:b w:val="0"/>
          <w:bCs w:val="0"/>
          <w:snapToGrid w:val="0"/>
          <w:color w:val="auto"/>
          <w:kern w:val="2"/>
          <w:sz w:val="24"/>
          <w:szCs w:val="24"/>
          <w:lang w:val="en-US" w:eastAsia="zh-CN" w:bidi="ar-SA"/>
        </w:rPr>
        <w:t>：</w:t>
      </w:r>
      <w:r>
        <w:rPr>
          <w:rFonts w:hint="eastAsia" w:ascii="Times New Roman" w:hAnsi="Times New Roman" w:eastAsia="宋体" w:cs="Times New Roman"/>
          <w:b w:val="0"/>
          <w:bCs w:val="0"/>
          <w:snapToGrid w:val="0"/>
          <w:color w:val="auto"/>
          <w:kern w:val="2"/>
          <w:sz w:val="24"/>
          <w:szCs w:val="24"/>
          <w:lang w:val="en-US" w:eastAsia="zh-CN" w:bidi="ar-SA"/>
        </w:rPr>
        <w:t>环境现状监测点位图</w:t>
      </w:r>
    </w:p>
    <w:p w14:paraId="18FF7461">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eastAsia" w:ascii="Times New Roman" w:hAnsi="Times New Roman" w:eastAsia="宋体" w:cs="Times New Roman"/>
          <w:b w:val="0"/>
          <w:bCs w:val="0"/>
          <w:snapToGrid w:val="0"/>
          <w:color w:val="auto"/>
          <w:kern w:val="2"/>
          <w:sz w:val="24"/>
          <w:szCs w:val="24"/>
          <w:lang w:val="en-US" w:eastAsia="zh-CN" w:bidi="ar-SA"/>
        </w:rPr>
      </w:pPr>
      <w:r>
        <w:rPr>
          <w:rFonts w:hint="default" w:ascii="Times New Roman" w:hAnsi="Times New Roman" w:eastAsia="宋体" w:cs="Times New Roman"/>
          <w:b w:val="0"/>
          <w:bCs w:val="0"/>
          <w:snapToGrid w:val="0"/>
          <w:color w:val="auto"/>
          <w:kern w:val="2"/>
          <w:sz w:val="24"/>
          <w:szCs w:val="24"/>
          <w:lang w:val="en-US" w:eastAsia="zh-CN" w:bidi="ar-SA"/>
        </w:rPr>
        <w:t>附图</w:t>
      </w:r>
      <w:r>
        <w:rPr>
          <w:rFonts w:hint="eastAsia" w:ascii="Times New Roman" w:hAnsi="Times New Roman" w:eastAsia="宋体" w:cs="Times New Roman"/>
          <w:b w:val="0"/>
          <w:bCs w:val="0"/>
          <w:snapToGrid w:val="0"/>
          <w:color w:val="auto"/>
          <w:kern w:val="2"/>
          <w:sz w:val="24"/>
          <w:szCs w:val="24"/>
          <w:lang w:val="en-US" w:eastAsia="zh-CN" w:bidi="ar-SA"/>
        </w:rPr>
        <w:t>7</w:t>
      </w:r>
      <w:r>
        <w:rPr>
          <w:rFonts w:hint="default" w:ascii="Times New Roman" w:hAnsi="Times New Roman" w:eastAsia="宋体" w:cs="Times New Roman"/>
          <w:b w:val="0"/>
          <w:bCs w:val="0"/>
          <w:snapToGrid w:val="0"/>
          <w:color w:val="auto"/>
          <w:kern w:val="2"/>
          <w:sz w:val="24"/>
          <w:szCs w:val="24"/>
          <w:lang w:val="en-US" w:eastAsia="zh-CN" w:bidi="ar-SA"/>
        </w:rPr>
        <w:t>：</w:t>
      </w:r>
      <w:r>
        <w:rPr>
          <w:rFonts w:hint="eastAsia" w:ascii="Times New Roman" w:hAnsi="Times New Roman" w:eastAsia="宋体" w:cs="Times New Roman"/>
          <w:b w:val="0"/>
          <w:bCs w:val="0"/>
          <w:snapToGrid w:val="0"/>
          <w:color w:val="auto"/>
          <w:kern w:val="2"/>
          <w:sz w:val="24"/>
          <w:szCs w:val="24"/>
          <w:lang w:val="en-US" w:eastAsia="zh-CN" w:bidi="ar-SA"/>
        </w:rPr>
        <w:t>项目厂区平面布置</w:t>
      </w:r>
    </w:p>
    <w:p w14:paraId="076AD7B1">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eastAsia" w:ascii="Times New Roman" w:hAnsi="Times New Roman" w:eastAsia="宋体" w:cs="Times New Roman"/>
          <w:b w:val="0"/>
          <w:bCs w:val="0"/>
          <w:snapToGrid w:val="0"/>
          <w:color w:val="auto"/>
          <w:kern w:val="2"/>
          <w:sz w:val="24"/>
          <w:szCs w:val="24"/>
          <w:lang w:val="en-US" w:eastAsia="zh-CN" w:bidi="ar-SA"/>
        </w:rPr>
      </w:pPr>
      <w:r>
        <w:rPr>
          <w:rFonts w:hint="default" w:ascii="Times New Roman" w:hAnsi="Times New Roman" w:eastAsia="宋体" w:cs="Times New Roman"/>
          <w:b w:val="0"/>
          <w:bCs w:val="0"/>
          <w:snapToGrid w:val="0"/>
          <w:color w:val="auto"/>
          <w:kern w:val="2"/>
          <w:sz w:val="24"/>
          <w:szCs w:val="24"/>
          <w:lang w:val="en-US" w:eastAsia="zh-CN" w:bidi="ar-SA"/>
        </w:rPr>
        <w:t>附图</w:t>
      </w:r>
      <w:r>
        <w:rPr>
          <w:rFonts w:hint="eastAsia" w:ascii="Times New Roman" w:hAnsi="Times New Roman" w:eastAsia="宋体" w:cs="Times New Roman"/>
          <w:b w:val="0"/>
          <w:bCs w:val="0"/>
          <w:snapToGrid w:val="0"/>
          <w:color w:val="auto"/>
          <w:kern w:val="2"/>
          <w:sz w:val="24"/>
          <w:szCs w:val="24"/>
          <w:lang w:val="en-US" w:eastAsia="zh-CN" w:bidi="ar-SA"/>
        </w:rPr>
        <w:t>8</w:t>
      </w:r>
      <w:r>
        <w:rPr>
          <w:rFonts w:hint="default" w:ascii="Times New Roman" w:hAnsi="Times New Roman" w:eastAsia="宋体" w:cs="Times New Roman"/>
          <w:b w:val="0"/>
          <w:bCs w:val="0"/>
          <w:snapToGrid w:val="0"/>
          <w:color w:val="auto"/>
          <w:kern w:val="2"/>
          <w:sz w:val="24"/>
          <w:szCs w:val="24"/>
          <w:lang w:val="en-US" w:eastAsia="zh-CN" w:bidi="ar-SA"/>
        </w:rPr>
        <w:t>：</w:t>
      </w:r>
      <w:r>
        <w:rPr>
          <w:rFonts w:hint="eastAsia" w:ascii="Times New Roman" w:hAnsi="Times New Roman" w:eastAsia="宋体" w:cs="Times New Roman"/>
          <w:b w:val="0"/>
          <w:bCs w:val="0"/>
          <w:snapToGrid w:val="0"/>
          <w:color w:val="auto"/>
          <w:kern w:val="2"/>
          <w:sz w:val="24"/>
          <w:szCs w:val="24"/>
          <w:lang w:val="en-US" w:eastAsia="zh-CN" w:bidi="ar-SA"/>
        </w:rPr>
        <w:t>福州市滨海工业区（松下组团）土地利用规划图</w:t>
      </w:r>
    </w:p>
    <w:p w14:paraId="44258B87">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eastAsia" w:ascii="Times New Roman" w:hAnsi="Times New Roman" w:eastAsia="宋体" w:cs="Times New Roman"/>
          <w:b w:val="0"/>
          <w:bCs w:val="0"/>
          <w:snapToGrid w:val="0"/>
          <w:color w:val="auto"/>
          <w:kern w:val="2"/>
          <w:sz w:val="24"/>
          <w:szCs w:val="24"/>
          <w:lang w:val="en-US" w:eastAsia="zh-CN" w:bidi="ar-SA"/>
        </w:rPr>
      </w:pPr>
      <w:r>
        <w:rPr>
          <w:rFonts w:hint="eastAsia" w:ascii="Times New Roman" w:hAnsi="Times New Roman" w:eastAsia="宋体" w:cs="Times New Roman"/>
          <w:b w:val="0"/>
          <w:bCs w:val="0"/>
          <w:snapToGrid w:val="0"/>
          <w:color w:val="auto"/>
          <w:kern w:val="2"/>
          <w:sz w:val="24"/>
          <w:szCs w:val="24"/>
          <w:lang w:val="en-US" w:eastAsia="zh-CN" w:bidi="ar-SA"/>
        </w:rPr>
        <w:t>附图9：长乐区水文水系图</w:t>
      </w:r>
    </w:p>
    <w:p w14:paraId="67DF2CED">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eastAsia" w:ascii="Times New Roman" w:hAnsi="Times New Roman" w:eastAsia="宋体" w:cs="Times New Roman"/>
          <w:b w:val="0"/>
          <w:bCs w:val="0"/>
          <w:snapToGrid w:val="0"/>
          <w:color w:val="auto"/>
          <w:kern w:val="2"/>
          <w:sz w:val="24"/>
          <w:szCs w:val="24"/>
          <w:lang w:val="en-US" w:eastAsia="zh-CN" w:bidi="ar-SA"/>
        </w:rPr>
      </w:pPr>
      <w:r>
        <w:rPr>
          <w:rFonts w:hint="eastAsia" w:ascii="Times New Roman" w:hAnsi="Times New Roman" w:eastAsia="宋体" w:cs="Times New Roman"/>
          <w:b w:val="0"/>
          <w:bCs w:val="0"/>
          <w:snapToGrid w:val="0"/>
          <w:color w:val="auto"/>
          <w:kern w:val="2"/>
          <w:sz w:val="24"/>
          <w:szCs w:val="24"/>
          <w:lang w:val="en-US" w:eastAsia="zh-CN" w:bidi="ar-SA"/>
        </w:rPr>
        <w:t>附图10：长乐林地类型图</w:t>
      </w:r>
    </w:p>
    <w:p w14:paraId="4B47ED55">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default" w:ascii="Times New Roman" w:hAnsi="Times New Roman" w:eastAsia="宋体" w:cs="Times New Roman"/>
          <w:b w:val="0"/>
          <w:bCs w:val="0"/>
          <w:snapToGrid w:val="0"/>
          <w:color w:val="auto"/>
          <w:kern w:val="2"/>
          <w:sz w:val="24"/>
          <w:szCs w:val="24"/>
          <w:lang w:val="en-US" w:eastAsia="zh-CN" w:bidi="ar-SA"/>
        </w:rPr>
      </w:pPr>
      <w:r>
        <w:rPr>
          <w:rFonts w:hint="eastAsia" w:ascii="Times New Roman" w:hAnsi="Times New Roman" w:eastAsia="宋体" w:cs="Times New Roman"/>
          <w:b w:val="0"/>
          <w:bCs w:val="0"/>
          <w:snapToGrid w:val="0"/>
          <w:color w:val="auto"/>
          <w:kern w:val="2"/>
          <w:sz w:val="24"/>
          <w:szCs w:val="24"/>
          <w:lang w:val="en-US" w:eastAsia="zh-CN" w:bidi="ar-SA"/>
        </w:rPr>
        <w:t>附图11：项目与福州市城镇开发边界关系图</w:t>
      </w:r>
    </w:p>
    <w:p w14:paraId="1CC85603">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eastAsia" w:ascii="Times New Roman" w:hAnsi="Times New Roman" w:eastAsia="宋体" w:cs="Times New Roman"/>
          <w:b w:val="0"/>
          <w:bCs w:val="0"/>
          <w:snapToGrid w:val="0"/>
          <w:color w:val="auto"/>
          <w:kern w:val="2"/>
          <w:sz w:val="24"/>
          <w:szCs w:val="24"/>
          <w:lang w:val="en-US" w:eastAsia="zh-CN" w:bidi="ar-SA"/>
        </w:rPr>
      </w:pPr>
      <w:r>
        <w:rPr>
          <w:rFonts w:hint="default" w:ascii="Times New Roman" w:hAnsi="Times New Roman" w:eastAsia="宋体" w:cs="Times New Roman"/>
          <w:b w:val="0"/>
          <w:bCs w:val="0"/>
          <w:snapToGrid w:val="0"/>
          <w:color w:val="auto"/>
          <w:kern w:val="2"/>
          <w:sz w:val="24"/>
          <w:szCs w:val="24"/>
          <w:lang w:val="en-US" w:eastAsia="zh-CN" w:bidi="ar-SA"/>
        </w:rPr>
        <w:t>附图</w:t>
      </w:r>
      <w:r>
        <w:rPr>
          <w:rFonts w:hint="eastAsia" w:ascii="Times New Roman" w:hAnsi="Times New Roman" w:eastAsia="宋体" w:cs="Times New Roman"/>
          <w:b w:val="0"/>
          <w:bCs w:val="0"/>
          <w:snapToGrid w:val="0"/>
          <w:color w:val="auto"/>
          <w:kern w:val="2"/>
          <w:sz w:val="24"/>
          <w:szCs w:val="24"/>
          <w:lang w:val="en-US" w:eastAsia="zh-CN" w:bidi="ar-SA"/>
        </w:rPr>
        <w:t>12</w:t>
      </w:r>
      <w:r>
        <w:rPr>
          <w:rFonts w:hint="default" w:ascii="Times New Roman" w:hAnsi="Times New Roman" w:eastAsia="宋体" w:cs="Times New Roman"/>
          <w:b w:val="0"/>
          <w:bCs w:val="0"/>
          <w:snapToGrid w:val="0"/>
          <w:color w:val="auto"/>
          <w:kern w:val="2"/>
          <w:sz w:val="24"/>
          <w:szCs w:val="24"/>
          <w:lang w:val="en-US" w:eastAsia="zh-CN" w:bidi="ar-SA"/>
        </w:rPr>
        <w:t>：</w:t>
      </w:r>
      <w:r>
        <w:rPr>
          <w:rFonts w:hint="eastAsia" w:ascii="Times New Roman" w:hAnsi="Times New Roman" w:eastAsia="宋体" w:cs="Times New Roman"/>
          <w:b w:val="0"/>
          <w:bCs w:val="0"/>
          <w:snapToGrid w:val="0"/>
          <w:color w:val="auto"/>
          <w:kern w:val="2"/>
          <w:sz w:val="24"/>
          <w:szCs w:val="24"/>
          <w:lang w:val="en-US" w:eastAsia="zh-CN" w:bidi="ar-SA"/>
        </w:rPr>
        <w:t>福建省生态环境分区管控系统查询截图</w:t>
      </w:r>
    </w:p>
    <w:p w14:paraId="6D9120ED">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eastAsia" w:ascii="Times New Roman" w:hAnsi="Times New Roman" w:eastAsia="宋体" w:cs="Times New Roman"/>
          <w:b w:val="0"/>
          <w:bCs w:val="0"/>
          <w:snapToGrid w:val="0"/>
          <w:color w:val="auto"/>
          <w:kern w:val="2"/>
          <w:sz w:val="24"/>
          <w:szCs w:val="24"/>
          <w:lang w:val="en-US" w:eastAsia="zh-CN" w:bidi="ar-SA"/>
        </w:rPr>
      </w:pPr>
      <w:r>
        <w:rPr>
          <w:rFonts w:hint="eastAsia" w:ascii="Times New Roman" w:hAnsi="Times New Roman" w:eastAsia="宋体" w:cs="Times New Roman"/>
          <w:b w:val="0"/>
          <w:bCs w:val="0"/>
          <w:snapToGrid w:val="0"/>
          <w:color w:val="auto"/>
          <w:kern w:val="2"/>
          <w:sz w:val="24"/>
          <w:szCs w:val="24"/>
          <w:lang w:val="en-US" w:eastAsia="zh-CN" w:bidi="ar-SA"/>
        </w:rPr>
        <w:t>附图13：福建省生态环境分区管控综合查询报告</w:t>
      </w:r>
    </w:p>
    <w:p w14:paraId="00BBF213">
      <w:pPr>
        <w:pStyle w:val="2"/>
        <w:rPr>
          <w:rFonts w:hint="eastAsia" w:ascii="Times New Roman" w:hAnsi="Times New Roman"/>
          <w:color w:val="auto"/>
          <w:lang w:val="en-US" w:eastAsia="zh-CN"/>
        </w:rPr>
      </w:pPr>
    </w:p>
    <w:p w14:paraId="4E76C66A">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default" w:ascii="Times New Roman" w:hAnsi="Times New Roman" w:eastAsia="黑体" w:cs="Times New Roman"/>
          <w:snapToGrid w:val="0"/>
          <w:color w:val="auto"/>
          <w:kern w:val="2"/>
          <w:sz w:val="24"/>
          <w:szCs w:val="24"/>
          <w:lang w:val="en-US" w:eastAsia="zh-CN" w:bidi="ar-SA"/>
        </w:rPr>
      </w:pPr>
    </w:p>
    <w:p w14:paraId="7077F749">
      <w:pPr>
        <w:keepNext w:val="0"/>
        <w:keepLines w:val="0"/>
        <w:pageBreakBefore w:val="0"/>
        <w:widowControl w:val="0"/>
        <w:kinsoku/>
        <w:wordWrap/>
        <w:overflowPunct/>
        <w:topLinePunct w:val="0"/>
        <w:autoSpaceDE/>
        <w:autoSpaceDN/>
        <w:bidi w:val="0"/>
        <w:adjustRightInd w:val="0"/>
        <w:snapToGrid w:val="0"/>
        <w:spacing w:line="360" w:lineRule="auto"/>
        <w:ind w:firstLine="0"/>
        <w:jc w:val="both"/>
        <w:textAlignment w:val="auto"/>
        <w:rPr>
          <w:rFonts w:hint="default" w:ascii="Times New Roman" w:hAnsi="Times New Roman" w:eastAsia="黑体" w:cs="Times New Roman"/>
          <w:snapToGrid w:val="0"/>
          <w:color w:val="auto"/>
          <w:kern w:val="2"/>
          <w:sz w:val="24"/>
          <w:szCs w:val="24"/>
          <w:lang w:val="en-US" w:eastAsia="zh-CN" w:bidi="ar-SA"/>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94E9C46">
      <w:pPr>
        <w:pStyle w:val="17"/>
        <w:jc w:val="center"/>
        <w:outlineLvl w:val="0"/>
        <w:rPr>
          <w:rFonts w:hint="default" w:ascii="Times New Roman" w:hAnsi="Times New Roman" w:eastAsia="黑体" w:cs="Times New Roman"/>
          <w:snapToGrid w:val="0"/>
          <w:color w:val="auto"/>
          <w:sz w:val="30"/>
          <w:szCs w:val="30"/>
        </w:rPr>
      </w:pPr>
      <w:bookmarkStart w:id="1" w:name="_Toc28143"/>
      <w:r>
        <w:rPr>
          <w:rFonts w:hint="default" w:ascii="Times New Roman" w:hAnsi="Times New Roman" w:eastAsia="黑体" w:cs="Times New Roman"/>
          <w:snapToGrid w:val="0"/>
          <w:color w:val="auto"/>
          <w:sz w:val="30"/>
          <w:szCs w:val="30"/>
        </w:rPr>
        <w:t>一、建设项目基本情况</w:t>
      </w:r>
      <w:bookmarkEnd w:id="1"/>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67"/>
        <w:gridCol w:w="1852"/>
        <w:gridCol w:w="1711"/>
        <w:gridCol w:w="3140"/>
      </w:tblGrid>
      <w:tr w14:paraId="3A53F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noWrap w:val="0"/>
            <w:tcMar>
              <w:top w:w="16" w:type="dxa"/>
              <w:left w:w="16" w:type="dxa"/>
              <w:right w:w="16" w:type="dxa"/>
            </w:tcMar>
            <w:vAlign w:val="center"/>
          </w:tcPr>
          <w:p w14:paraId="74C78C1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建设项目名称</w:t>
            </w:r>
          </w:p>
        </w:tc>
        <w:tc>
          <w:tcPr>
            <w:tcW w:w="6703" w:type="dxa"/>
            <w:gridSpan w:val="3"/>
            <w:noWrap w:val="0"/>
            <w:vAlign w:val="center"/>
          </w:tcPr>
          <w:p w14:paraId="41CA181D">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中福鑫废旧机动车拆解及资源回收项目（</w:t>
            </w:r>
            <w:r>
              <w:rPr>
                <w:rFonts w:hint="eastAsia" w:ascii="Times New Roman" w:hAnsi="Times New Roman" w:eastAsia="宋体" w:cs="Times New Roman"/>
                <w:color w:val="auto"/>
                <w:szCs w:val="21"/>
                <w:lang w:val="en-US" w:eastAsia="zh-CN"/>
              </w:rPr>
              <w:t>一期</w:t>
            </w:r>
            <w:r>
              <w:rPr>
                <w:rFonts w:hint="eastAsia" w:ascii="Times New Roman" w:hAnsi="Times New Roman" w:eastAsia="宋体" w:cs="Times New Roman"/>
                <w:color w:val="auto"/>
                <w:szCs w:val="21"/>
                <w:lang w:eastAsia="zh-CN"/>
              </w:rPr>
              <w:t>）</w:t>
            </w:r>
          </w:p>
        </w:tc>
      </w:tr>
      <w:tr w14:paraId="7D921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noWrap w:val="0"/>
            <w:tcMar>
              <w:top w:w="16" w:type="dxa"/>
              <w:left w:w="16" w:type="dxa"/>
              <w:right w:w="16" w:type="dxa"/>
            </w:tcMar>
            <w:vAlign w:val="center"/>
          </w:tcPr>
          <w:p w14:paraId="33D7B26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项目代码</w:t>
            </w:r>
          </w:p>
        </w:tc>
        <w:tc>
          <w:tcPr>
            <w:tcW w:w="6703" w:type="dxa"/>
            <w:gridSpan w:val="3"/>
            <w:noWrap w:val="0"/>
            <w:vAlign w:val="center"/>
          </w:tcPr>
          <w:p w14:paraId="2FD40A2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2409-350112-04-05-766363</w:t>
            </w:r>
          </w:p>
        </w:tc>
      </w:tr>
      <w:tr w14:paraId="77AB4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noWrap w:val="0"/>
            <w:tcMar>
              <w:top w:w="16" w:type="dxa"/>
              <w:left w:w="16" w:type="dxa"/>
              <w:right w:w="16" w:type="dxa"/>
            </w:tcMar>
            <w:vAlign w:val="center"/>
          </w:tcPr>
          <w:p w14:paraId="1045895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建设单位联系人</w:t>
            </w:r>
          </w:p>
        </w:tc>
        <w:tc>
          <w:tcPr>
            <w:tcW w:w="1852" w:type="dxa"/>
            <w:noWrap w:val="0"/>
            <w:vAlign w:val="center"/>
          </w:tcPr>
          <w:p w14:paraId="5A710008">
            <w:pPr>
              <w:adjustRightInd w:val="0"/>
              <w:snapToGrid w:val="0"/>
              <w:jc w:val="center"/>
              <w:rPr>
                <w:rFonts w:hint="default" w:ascii="Times New Roman" w:hAnsi="Times New Roman" w:eastAsia="宋体" w:cs="Times New Roman"/>
                <w:color w:val="auto"/>
                <w:szCs w:val="21"/>
                <w:lang w:val="en-US" w:eastAsia="zh-CN"/>
              </w:rPr>
            </w:pPr>
          </w:p>
        </w:tc>
        <w:tc>
          <w:tcPr>
            <w:tcW w:w="1711" w:type="dxa"/>
            <w:noWrap w:val="0"/>
            <w:vAlign w:val="center"/>
          </w:tcPr>
          <w:p w14:paraId="203DE2B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联系方式</w:t>
            </w:r>
          </w:p>
        </w:tc>
        <w:tc>
          <w:tcPr>
            <w:tcW w:w="3140" w:type="dxa"/>
            <w:noWrap w:val="0"/>
            <w:vAlign w:val="center"/>
          </w:tcPr>
          <w:p w14:paraId="7EF340A3">
            <w:pPr>
              <w:adjustRightInd w:val="0"/>
              <w:snapToGrid w:val="0"/>
              <w:jc w:val="center"/>
              <w:rPr>
                <w:rFonts w:hint="default" w:ascii="Times New Roman" w:hAnsi="Times New Roman" w:eastAsia="宋体" w:cs="Times New Roman"/>
                <w:color w:val="auto"/>
                <w:szCs w:val="21"/>
                <w:lang w:val="en-US"/>
              </w:rPr>
            </w:pPr>
          </w:p>
        </w:tc>
      </w:tr>
      <w:tr w14:paraId="1AD6C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noWrap w:val="0"/>
            <w:tcMar>
              <w:top w:w="16" w:type="dxa"/>
              <w:left w:w="16" w:type="dxa"/>
              <w:right w:w="16" w:type="dxa"/>
            </w:tcMar>
            <w:vAlign w:val="center"/>
          </w:tcPr>
          <w:p w14:paraId="4B23514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建设地点</w:t>
            </w:r>
          </w:p>
        </w:tc>
        <w:tc>
          <w:tcPr>
            <w:tcW w:w="6703" w:type="dxa"/>
            <w:gridSpan w:val="3"/>
            <w:noWrap w:val="0"/>
            <w:vAlign w:val="center"/>
          </w:tcPr>
          <w:p w14:paraId="125D076D">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福建省福州市长乐区松下镇山前村新村东区66号</w:t>
            </w:r>
          </w:p>
        </w:tc>
      </w:tr>
      <w:tr w14:paraId="4E21E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noWrap w:val="0"/>
            <w:tcMar>
              <w:top w:w="16" w:type="dxa"/>
              <w:left w:w="16" w:type="dxa"/>
              <w:right w:w="16" w:type="dxa"/>
            </w:tcMar>
            <w:vAlign w:val="center"/>
          </w:tcPr>
          <w:p w14:paraId="3E7A859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地理坐标</w:t>
            </w:r>
          </w:p>
        </w:tc>
        <w:tc>
          <w:tcPr>
            <w:tcW w:w="6703" w:type="dxa"/>
            <w:gridSpan w:val="3"/>
            <w:noWrap w:val="0"/>
            <w:vAlign w:val="center"/>
          </w:tcPr>
          <w:p w14:paraId="734C064F">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经度：</w:t>
            </w:r>
            <w:r>
              <w:rPr>
                <w:rFonts w:hint="default" w:ascii="Times New Roman" w:hAnsi="Times New Roman" w:eastAsia="宋体" w:cs="Times New Roman"/>
                <w:color w:val="auto"/>
                <w:sz w:val="21"/>
                <w:szCs w:val="21"/>
                <w:highlight w:val="none"/>
                <w:lang w:val="en-US" w:eastAsia="zh-CN"/>
              </w:rPr>
              <w:t>119°</w:t>
            </w:r>
            <w:r>
              <w:rPr>
                <w:rFonts w:hint="eastAsia" w:ascii="Times New Roman" w:hAnsi="Times New Roman" w:eastAsia="宋体"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4.016</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纬度：</w:t>
            </w:r>
            <w:r>
              <w:rPr>
                <w:rFonts w:hint="eastAsia"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10.250</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Cs w:val="21"/>
                <w:lang w:eastAsia="zh-CN"/>
              </w:rPr>
              <w:t>，地理位置图详见附图</w:t>
            </w:r>
            <w:r>
              <w:rPr>
                <w:rFonts w:hint="default" w:ascii="Times New Roman" w:hAnsi="Times New Roman" w:eastAsia="宋体" w:cs="Times New Roman"/>
                <w:color w:val="auto"/>
                <w:szCs w:val="21"/>
                <w:lang w:val="en-US" w:eastAsia="zh-CN"/>
              </w:rPr>
              <w:t>1</w:t>
            </w:r>
          </w:p>
        </w:tc>
      </w:tr>
      <w:tr w14:paraId="7719D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67" w:type="dxa"/>
            <w:noWrap w:val="0"/>
            <w:tcMar>
              <w:top w:w="16" w:type="dxa"/>
              <w:left w:w="16" w:type="dxa"/>
              <w:right w:w="16" w:type="dxa"/>
            </w:tcMar>
            <w:vAlign w:val="center"/>
          </w:tcPr>
          <w:p w14:paraId="3DE6930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国民经济</w:t>
            </w:r>
          </w:p>
          <w:p w14:paraId="2662AE4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行业类别</w:t>
            </w:r>
          </w:p>
        </w:tc>
        <w:tc>
          <w:tcPr>
            <w:tcW w:w="1852" w:type="dxa"/>
            <w:noWrap w:val="0"/>
            <w:vAlign w:val="center"/>
          </w:tcPr>
          <w:p w14:paraId="28260B5F">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rPr>
              <w:t>C</w:t>
            </w:r>
            <w:r>
              <w:rPr>
                <w:rFonts w:hint="eastAsia" w:ascii="Times New Roman" w:hAnsi="Times New Roman"/>
                <w:color w:val="auto"/>
                <w:sz w:val="21"/>
                <w:szCs w:val="21"/>
                <w:lang w:val="en-US" w:eastAsia="zh-CN"/>
              </w:rPr>
              <w:t>4210</w:t>
            </w:r>
          </w:p>
          <w:p w14:paraId="62C67491">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olor w:val="auto"/>
                <w:sz w:val="21"/>
                <w:szCs w:val="21"/>
                <w:lang w:eastAsia="zh-CN"/>
              </w:rPr>
              <w:t>（</w:t>
            </w:r>
            <w:r>
              <w:rPr>
                <w:rFonts w:hint="eastAsia" w:ascii="Times New Roman" w:hAnsi="Times New Roman" w:eastAsia="宋体" w:cs="Times New Roman"/>
                <w:color w:val="auto"/>
                <w:szCs w:val="21"/>
                <w:lang w:val="en-US" w:eastAsia="zh-CN"/>
              </w:rPr>
              <w:t>金属废料和碎屑</w:t>
            </w:r>
          </w:p>
          <w:p w14:paraId="16CA01E2">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加工处理）</w:t>
            </w:r>
          </w:p>
        </w:tc>
        <w:tc>
          <w:tcPr>
            <w:tcW w:w="1711" w:type="dxa"/>
            <w:noWrap w:val="0"/>
            <w:vAlign w:val="center"/>
          </w:tcPr>
          <w:p w14:paraId="4551CC5A">
            <w:pPr>
              <w:adjustRightInd w:val="0"/>
              <w:snapToGrid w:val="0"/>
              <w:jc w:val="center"/>
              <w:rPr>
                <w:rFonts w:hint="default" w:ascii="Times New Roman" w:hAnsi="Times New Roman" w:eastAsia="宋体" w:cs="Times New Roman"/>
                <w:color w:val="auto"/>
                <w:szCs w:val="21"/>
              </w:rPr>
            </w:pPr>
            <w:bookmarkStart w:id="2" w:name="_Hlk49843745"/>
            <w:r>
              <w:rPr>
                <w:rFonts w:hint="default" w:ascii="Times New Roman" w:hAnsi="Times New Roman" w:eastAsia="宋体" w:cs="Times New Roman"/>
                <w:color w:val="auto"/>
                <w:szCs w:val="21"/>
              </w:rPr>
              <w:t>建设项目</w:t>
            </w:r>
          </w:p>
          <w:p w14:paraId="42719D3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行业类别</w:t>
            </w:r>
            <w:bookmarkEnd w:id="2"/>
          </w:p>
        </w:tc>
        <w:tc>
          <w:tcPr>
            <w:tcW w:w="3140" w:type="dxa"/>
            <w:noWrap w:val="0"/>
            <w:vAlign w:val="center"/>
          </w:tcPr>
          <w:p w14:paraId="3AAC2A73">
            <w:pPr>
              <w:spacing w:beforeLines="0" w:afterLines="0"/>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三十九</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废弃资源综合利用业</w:t>
            </w:r>
            <w:r>
              <w:rPr>
                <w:rFonts w:hint="eastAsia" w:ascii="Times New Roman" w:hAnsi="Times New Roman" w:eastAsia="宋体" w:cs="Times New Roman"/>
                <w:color w:val="auto"/>
                <w:szCs w:val="21"/>
                <w:lang w:val="en-US" w:eastAsia="zh-CN"/>
              </w:rPr>
              <w:t>42-85</w:t>
            </w:r>
            <w:r>
              <w:rPr>
                <w:rFonts w:hint="eastAsia" w:ascii="Times New Roman" w:hAnsi="Times New Roman" w:eastAsia="宋体" w:cs="Times New Roman"/>
                <w:color w:val="auto"/>
                <w:szCs w:val="21"/>
              </w:rPr>
              <w:t>金属废料和碎屑加工处理421；非金属废料和碎屑加工处理422</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421和422均不含原料为危险废物的，均不含仅分拣、破碎的</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废机动车、废电机</w:t>
            </w:r>
          </w:p>
        </w:tc>
      </w:tr>
      <w:tr w14:paraId="0FCA1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67" w:type="dxa"/>
            <w:noWrap w:val="0"/>
            <w:tcMar>
              <w:top w:w="16" w:type="dxa"/>
              <w:left w:w="16" w:type="dxa"/>
              <w:right w:w="16" w:type="dxa"/>
            </w:tcMar>
            <w:vAlign w:val="center"/>
          </w:tcPr>
          <w:p w14:paraId="66549CB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建设性质</w:t>
            </w:r>
          </w:p>
        </w:tc>
        <w:tc>
          <w:tcPr>
            <w:tcW w:w="1852" w:type="dxa"/>
            <w:noWrap w:val="0"/>
            <w:vAlign w:val="center"/>
          </w:tcPr>
          <w:p w14:paraId="2D8A2E38">
            <w:pPr>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sym w:font="Wingdings 2" w:char="0052"/>
            </w:r>
            <w:r>
              <w:rPr>
                <w:rFonts w:hint="default" w:ascii="Times New Roman" w:hAnsi="Times New Roman" w:eastAsia="宋体" w:cs="Times New Roman"/>
                <w:color w:val="auto"/>
                <w:szCs w:val="21"/>
              </w:rPr>
              <w:t>新建（迁建）</w:t>
            </w:r>
          </w:p>
          <w:p w14:paraId="5B0643C6">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改建</w:t>
            </w:r>
          </w:p>
          <w:p w14:paraId="33B61BE4">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扩建</w:t>
            </w:r>
          </w:p>
          <w:p w14:paraId="515A019F">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技术改造</w:t>
            </w:r>
          </w:p>
        </w:tc>
        <w:tc>
          <w:tcPr>
            <w:tcW w:w="1711" w:type="dxa"/>
            <w:noWrap w:val="0"/>
            <w:vAlign w:val="center"/>
          </w:tcPr>
          <w:p w14:paraId="00A2F10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w:t>
            </w:r>
          </w:p>
          <w:p w14:paraId="26BC592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申报情形</w:t>
            </w:r>
          </w:p>
        </w:tc>
        <w:tc>
          <w:tcPr>
            <w:tcW w:w="3140" w:type="dxa"/>
            <w:noWrap w:val="0"/>
            <w:vAlign w:val="center"/>
          </w:tcPr>
          <w:p w14:paraId="26320E86">
            <w:pPr>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sym w:font="Wingdings 2" w:char="0052"/>
            </w:r>
            <w:r>
              <w:rPr>
                <w:rFonts w:hint="default" w:ascii="Times New Roman" w:hAnsi="Times New Roman" w:eastAsia="宋体" w:cs="Times New Roman"/>
                <w:color w:val="auto"/>
                <w:szCs w:val="21"/>
              </w:rPr>
              <w:t>首次申报项目</w:t>
            </w:r>
          </w:p>
          <w:p w14:paraId="52A0B091">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不予批准后再次申报项目</w:t>
            </w:r>
          </w:p>
          <w:p w14:paraId="6C8D4609">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超五年重新审核项目</w:t>
            </w:r>
          </w:p>
          <w:p w14:paraId="3A0A1DC5">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重大变动重新报批项目</w:t>
            </w:r>
          </w:p>
        </w:tc>
      </w:tr>
      <w:tr w14:paraId="48694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67" w:type="dxa"/>
            <w:noWrap w:val="0"/>
            <w:tcMar>
              <w:top w:w="16" w:type="dxa"/>
              <w:left w:w="16" w:type="dxa"/>
              <w:right w:w="16" w:type="dxa"/>
            </w:tcMar>
            <w:vAlign w:val="center"/>
          </w:tcPr>
          <w:p w14:paraId="25456AF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w:t>
            </w:r>
          </w:p>
          <w:p w14:paraId="7BB840B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备案）部门（选填）</w:t>
            </w:r>
          </w:p>
        </w:tc>
        <w:tc>
          <w:tcPr>
            <w:tcW w:w="1852" w:type="dxa"/>
            <w:noWrap w:val="0"/>
            <w:vAlign w:val="center"/>
          </w:tcPr>
          <w:p w14:paraId="33ED6C4D">
            <w:pPr>
              <w:adjustRightInd w:val="0"/>
              <w:snapToGrid w:val="0"/>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福州市长乐区发展和</w:t>
            </w:r>
            <w:r>
              <w:rPr>
                <w:rFonts w:hint="default" w:ascii="Times New Roman" w:hAnsi="Times New Roman" w:eastAsia="宋体" w:cs="Times New Roman"/>
                <w:color w:val="auto"/>
                <w:szCs w:val="21"/>
                <w:highlight w:val="none"/>
                <w:lang w:eastAsia="zh-CN"/>
              </w:rPr>
              <w:t>改革局</w:t>
            </w:r>
          </w:p>
        </w:tc>
        <w:tc>
          <w:tcPr>
            <w:tcW w:w="1711" w:type="dxa"/>
            <w:noWrap w:val="0"/>
            <w:vAlign w:val="center"/>
          </w:tcPr>
          <w:p w14:paraId="737629A2">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项目审批（核准/</w:t>
            </w:r>
          </w:p>
          <w:p w14:paraId="4A00D17D">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备案）文号（选填）</w:t>
            </w:r>
          </w:p>
        </w:tc>
        <w:tc>
          <w:tcPr>
            <w:tcW w:w="3140" w:type="dxa"/>
            <w:noWrap w:val="0"/>
            <w:vAlign w:val="center"/>
          </w:tcPr>
          <w:p w14:paraId="7754E2C8">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闽发改备[2024]0357号</w:t>
            </w:r>
          </w:p>
        </w:tc>
      </w:tr>
      <w:tr w14:paraId="7D6EC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noWrap w:val="0"/>
            <w:tcMar>
              <w:top w:w="16" w:type="dxa"/>
              <w:left w:w="16" w:type="dxa"/>
              <w:right w:w="16" w:type="dxa"/>
            </w:tcMar>
            <w:vAlign w:val="center"/>
          </w:tcPr>
          <w:p w14:paraId="3293AB9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总投资（万元）</w:t>
            </w:r>
          </w:p>
        </w:tc>
        <w:tc>
          <w:tcPr>
            <w:tcW w:w="1852" w:type="dxa"/>
            <w:noWrap w:val="0"/>
            <w:vAlign w:val="center"/>
          </w:tcPr>
          <w:p w14:paraId="6324768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1000</w:t>
            </w:r>
          </w:p>
        </w:tc>
        <w:tc>
          <w:tcPr>
            <w:tcW w:w="1711" w:type="dxa"/>
            <w:noWrap w:val="0"/>
            <w:tcMar>
              <w:top w:w="16" w:type="dxa"/>
              <w:left w:w="16" w:type="dxa"/>
              <w:right w:w="16" w:type="dxa"/>
            </w:tcMar>
            <w:vAlign w:val="center"/>
          </w:tcPr>
          <w:p w14:paraId="0689B4E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环保投资（万元）</w:t>
            </w:r>
          </w:p>
        </w:tc>
        <w:tc>
          <w:tcPr>
            <w:tcW w:w="3140" w:type="dxa"/>
            <w:noWrap w:val="0"/>
            <w:vAlign w:val="center"/>
          </w:tcPr>
          <w:p w14:paraId="04B6661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140</w:t>
            </w:r>
          </w:p>
        </w:tc>
      </w:tr>
      <w:tr w14:paraId="3A320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noWrap w:val="0"/>
            <w:tcMar>
              <w:top w:w="16" w:type="dxa"/>
              <w:left w:w="16" w:type="dxa"/>
              <w:right w:w="16" w:type="dxa"/>
            </w:tcMar>
            <w:vAlign w:val="center"/>
          </w:tcPr>
          <w:p w14:paraId="1BD1468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环保投资占比（%）</w:t>
            </w:r>
          </w:p>
        </w:tc>
        <w:tc>
          <w:tcPr>
            <w:tcW w:w="1852" w:type="dxa"/>
            <w:noWrap w:val="0"/>
            <w:vAlign w:val="center"/>
          </w:tcPr>
          <w:p w14:paraId="17BC72C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14.0</w:t>
            </w:r>
          </w:p>
        </w:tc>
        <w:tc>
          <w:tcPr>
            <w:tcW w:w="1711" w:type="dxa"/>
            <w:noWrap w:val="0"/>
            <w:tcMar>
              <w:top w:w="16" w:type="dxa"/>
              <w:left w:w="16" w:type="dxa"/>
              <w:right w:w="16" w:type="dxa"/>
            </w:tcMar>
            <w:vAlign w:val="center"/>
          </w:tcPr>
          <w:p w14:paraId="6CEDDA2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施工工期</w:t>
            </w:r>
          </w:p>
        </w:tc>
        <w:tc>
          <w:tcPr>
            <w:tcW w:w="3140" w:type="dxa"/>
            <w:noWrap w:val="0"/>
            <w:vAlign w:val="center"/>
          </w:tcPr>
          <w:p w14:paraId="4548248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lang w:val="en-US" w:eastAsia="zh-CN"/>
              </w:rPr>
              <w:t>个月</w:t>
            </w:r>
          </w:p>
        </w:tc>
      </w:tr>
      <w:tr w14:paraId="47BF4C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67" w:type="dxa"/>
            <w:noWrap w:val="0"/>
            <w:tcMar>
              <w:top w:w="16" w:type="dxa"/>
              <w:left w:w="16" w:type="dxa"/>
              <w:right w:w="16" w:type="dxa"/>
            </w:tcMar>
            <w:vAlign w:val="center"/>
          </w:tcPr>
          <w:p w14:paraId="62E3659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是否开工建设</w:t>
            </w:r>
          </w:p>
        </w:tc>
        <w:tc>
          <w:tcPr>
            <w:tcW w:w="1852" w:type="dxa"/>
            <w:noWrap w:val="0"/>
            <w:vAlign w:val="center"/>
          </w:tcPr>
          <w:p w14:paraId="65096EA2">
            <w:pPr>
              <w:adjustRightInd w:val="0"/>
              <w:snapToGrid w:val="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sym w:font="Wingdings 2" w:char="0052"/>
            </w:r>
            <w:r>
              <w:rPr>
                <w:rFonts w:hint="default" w:ascii="Times New Roman" w:hAnsi="Times New Roman" w:eastAsia="宋体" w:cs="Times New Roman"/>
                <w:color w:val="auto"/>
                <w:szCs w:val="21"/>
              </w:rPr>
              <w:t>否</w:t>
            </w:r>
          </w:p>
          <w:p w14:paraId="52A6CA02">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sym w:font="Wingdings 2" w:char="00A3"/>
            </w:r>
            <w:r>
              <w:rPr>
                <w:rFonts w:hint="default" w:ascii="Times New Roman" w:hAnsi="Times New Roman" w:eastAsia="宋体" w:cs="Times New Roman"/>
                <w:color w:val="auto"/>
                <w:szCs w:val="21"/>
              </w:rPr>
              <w:t>是：</w:t>
            </w:r>
            <w:r>
              <w:rPr>
                <w:rFonts w:hint="default" w:ascii="Times New Roman" w:hAnsi="Times New Roman" w:eastAsia="宋体" w:cs="Times New Roman"/>
                <w:color w:val="auto"/>
                <w:szCs w:val="21"/>
                <w:u w:val="single"/>
              </w:rPr>
              <w:t xml:space="preserve">             </w:t>
            </w:r>
          </w:p>
        </w:tc>
        <w:tc>
          <w:tcPr>
            <w:tcW w:w="1711" w:type="dxa"/>
            <w:noWrap w:val="0"/>
            <w:tcMar>
              <w:top w:w="16" w:type="dxa"/>
              <w:left w:w="16" w:type="dxa"/>
              <w:right w:w="16" w:type="dxa"/>
            </w:tcMar>
            <w:vAlign w:val="center"/>
          </w:tcPr>
          <w:p w14:paraId="205101D4">
            <w:pPr>
              <w:adjustRightInd w:val="0"/>
              <w:snapToGrid w:val="0"/>
              <w:jc w:val="center"/>
              <w:rPr>
                <w:rFonts w:hint="default" w:ascii="Times New Roman" w:hAnsi="Times New Roman" w:eastAsia="宋体" w:cs="Times New Roman"/>
                <w:color w:val="auto"/>
                <w:spacing w:val="-6"/>
                <w:szCs w:val="21"/>
              </w:rPr>
            </w:pPr>
            <w:r>
              <w:rPr>
                <w:rFonts w:hint="default" w:ascii="Times New Roman" w:hAnsi="Times New Roman" w:eastAsia="宋体" w:cs="Times New Roman"/>
                <w:color w:val="auto"/>
                <w:spacing w:val="-6"/>
                <w:szCs w:val="21"/>
              </w:rPr>
              <w:t>用地（用海）</w:t>
            </w:r>
          </w:p>
          <w:p w14:paraId="480E072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6"/>
                <w:szCs w:val="21"/>
              </w:rPr>
              <w:t>面积（m</w:t>
            </w:r>
            <w:r>
              <w:rPr>
                <w:rFonts w:hint="default" w:ascii="Times New Roman" w:hAnsi="Times New Roman" w:eastAsia="宋体" w:cs="Times New Roman"/>
                <w:color w:val="auto"/>
                <w:spacing w:val="-6"/>
                <w:szCs w:val="21"/>
                <w:vertAlign w:val="superscript"/>
              </w:rPr>
              <w:t>2</w:t>
            </w:r>
            <w:r>
              <w:rPr>
                <w:rFonts w:hint="default" w:ascii="Times New Roman" w:hAnsi="Times New Roman" w:eastAsia="宋体" w:cs="Times New Roman"/>
                <w:color w:val="auto"/>
                <w:spacing w:val="-6"/>
                <w:szCs w:val="21"/>
              </w:rPr>
              <w:t>）</w:t>
            </w:r>
          </w:p>
        </w:tc>
        <w:tc>
          <w:tcPr>
            <w:tcW w:w="3140" w:type="dxa"/>
            <w:noWrap w:val="0"/>
            <w:vAlign w:val="center"/>
          </w:tcPr>
          <w:p w14:paraId="1C48824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highlight w:val="none"/>
                <w:lang w:val="en-US" w:eastAsia="zh-CN"/>
              </w:rPr>
              <w:t>租赁用地面积23000m</w:t>
            </w:r>
            <w:r>
              <w:rPr>
                <w:rFonts w:hint="eastAsia" w:ascii="Times New Roman" w:hAnsi="Times New Roman" w:eastAsia="宋体" w:cs="Times New Roman"/>
                <w:color w:val="auto"/>
                <w:sz w:val="21"/>
                <w:szCs w:val="21"/>
                <w:highlight w:val="none"/>
                <w:vertAlign w:val="superscript"/>
                <w:lang w:val="en-US" w:eastAsia="zh-CN"/>
              </w:rPr>
              <w:t>2</w:t>
            </w:r>
          </w:p>
        </w:tc>
      </w:tr>
      <w:tr w14:paraId="4A916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67" w:type="dxa"/>
            <w:noWrap w:val="0"/>
            <w:vAlign w:val="center"/>
          </w:tcPr>
          <w:p w14:paraId="5D8E05A7">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专项评价设置情况</w:t>
            </w:r>
          </w:p>
        </w:tc>
        <w:tc>
          <w:tcPr>
            <w:tcW w:w="6703" w:type="dxa"/>
            <w:gridSpan w:val="3"/>
            <w:noWrap w:val="0"/>
            <w:vAlign w:val="center"/>
          </w:tcPr>
          <w:p w14:paraId="5AA6F7D9">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20" w:firstLineChars="200"/>
              <w:jc w:val="left"/>
              <w:textAlignment w:val="auto"/>
              <w:outlineLvl w:val="9"/>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根据《建设项目环境影响报告表编制技术指南</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rPr>
              <w:t>污染影响类</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rPr>
              <w:t>试行</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lang w:val="zh-CN" w:eastAsia="zh-CN"/>
              </w:rPr>
              <w:t>环办环评〔2020〕33号</w:t>
            </w:r>
            <w:r>
              <w:rPr>
                <w:rFonts w:hint="eastAsia" w:ascii="Times New Roman" w:hAnsi="Times New Roman" w:eastAsia="宋体" w:cs="Times New Roman"/>
                <w:color w:val="auto"/>
                <w:kern w:val="0"/>
                <w:szCs w:val="21"/>
                <w:lang w:val="zh-CN" w:eastAsia="zh-CN"/>
              </w:rPr>
              <w:t>）</w:t>
            </w:r>
            <w:r>
              <w:rPr>
                <w:rFonts w:hint="eastAsia" w:ascii="Times New Roman" w:hAnsi="Times New Roman" w:eastAsia="宋体" w:cs="Times New Roman"/>
                <w:color w:val="auto"/>
                <w:kern w:val="0"/>
                <w:szCs w:val="21"/>
              </w:rPr>
              <w:t>，土壤、声不开展专项评价，地下水原则不开展专项评价。项目专项</w:t>
            </w:r>
            <w:r>
              <w:rPr>
                <w:rFonts w:hint="eastAsia" w:ascii="Times New Roman" w:hAnsi="Times New Roman" w:eastAsia="宋体" w:cs="Times New Roman"/>
                <w:color w:val="auto"/>
                <w:kern w:val="0"/>
                <w:szCs w:val="21"/>
                <w:lang w:val="en-US" w:eastAsia="zh-CN"/>
              </w:rPr>
              <w:t>评价</w:t>
            </w:r>
            <w:r>
              <w:rPr>
                <w:rFonts w:hint="eastAsia" w:ascii="Times New Roman" w:hAnsi="Times New Roman" w:eastAsia="宋体" w:cs="Times New Roman"/>
                <w:color w:val="auto"/>
                <w:kern w:val="0"/>
                <w:szCs w:val="21"/>
              </w:rPr>
              <w:t>设置</w:t>
            </w:r>
            <w:r>
              <w:rPr>
                <w:rFonts w:hint="eastAsia" w:ascii="Times New Roman" w:hAnsi="Times New Roman" w:eastAsia="宋体" w:cs="Times New Roman"/>
                <w:color w:val="auto"/>
                <w:kern w:val="0"/>
                <w:szCs w:val="21"/>
                <w:lang w:val="en-US" w:eastAsia="zh-CN"/>
              </w:rPr>
              <w:t>原则</w:t>
            </w:r>
            <w:r>
              <w:rPr>
                <w:rFonts w:hint="eastAsia" w:ascii="Times New Roman" w:hAnsi="Times New Roman" w:eastAsia="宋体" w:cs="Times New Roman"/>
                <w:color w:val="auto"/>
                <w:kern w:val="0"/>
                <w:szCs w:val="21"/>
              </w:rPr>
              <w:t>情况具体见表1</w:t>
            </w:r>
            <w:r>
              <w:rPr>
                <w:rFonts w:hint="eastAsia" w:ascii="Times New Roman" w:hAnsi="Times New Roman" w:eastAsia="宋体" w:cs="Times New Roman"/>
                <w:color w:val="auto"/>
                <w:kern w:val="0"/>
                <w:szCs w:val="21"/>
                <w:lang w:val="en-US" w:eastAsia="zh-CN"/>
              </w:rPr>
              <w:t>-1</w:t>
            </w:r>
            <w:r>
              <w:rPr>
                <w:rFonts w:hint="eastAsia" w:ascii="Times New Roman" w:hAnsi="Times New Roman" w:eastAsia="宋体" w:cs="Times New Roman"/>
                <w:color w:val="auto"/>
                <w:kern w:val="0"/>
                <w:szCs w:val="21"/>
              </w:rPr>
              <w:t>。</w:t>
            </w:r>
          </w:p>
          <w:p w14:paraId="47A3F9D5">
            <w:pPr>
              <w:spacing w:before="120" w:beforeLines="50"/>
              <w:jc w:val="center"/>
              <w:rPr>
                <w:rFonts w:hint="default" w:ascii="Times New Roman" w:hAnsi="Times New Roman" w:eastAsia="黑体" w:cs="Times New Roman"/>
                <w:color w:val="auto"/>
                <w:sz w:val="21"/>
                <w:szCs w:val="21"/>
              </w:rPr>
            </w:pPr>
            <w:r>
              <w:rPr>
                <w:rFonts w:hint="eastAsia" w:ascii="Times New Roman" w:hAnsi="Times New Roman" w:eastAsia="黑体" w:cs="Times New Roman"/>
                <w:color w:val="auto"/>
                <w:sz w:val="21"/>
                <w:szCs w:val="21"/>
              </w:rPr>
              <w:t>表1</w:t>
            </w:r>
            <w:r>
              <w:rPr>
                <w:rFonts w:hint="eastAsia" w:ascii="Times New Roman" w:hAnsi="Times New Roman" w:eastAsia="黑体" w:cs="Times New Roman"/>
                <w:color w:val="auto"/>
                <w:sz w:val="21"/>
                <w:szCs w:val="21"/>
                <w:lang w:val="en-US" w:eastAsia="zh-CN"/>
              </w:rPr>
              <w:t>-1</w:t>
            </w:r>
            <w:r>
              <w:rPr>
                <w:rFonts w:hint="default" w:ascii="Times New Roman" w:hAnsi="Times New Roman" w:eastAsia="黑体" w:cs="Times New Roman"/>
                <w:color w:val="auto"/>
                <w:sz w:val="21"/>
                <w:szCs w:val="21"/>
              </w:rPr>
              <w:t xml:space="preserve"> </w:t>
            </w:r>
            <w:r>
              <w:rPr>
                <w:rFonts w:hint="eastAsia" w:ascii="Times New Roman" w:hAnsi="Times New Roman" w:eastAsia="黑体" w:cs="Times New Roman"/>
                <w:color w:val="auto"/>
                <w:sz w:val="21"/>
                <w:szCs w:val="21"/>
              </w:rPr>
              <w:t>专项评价设置</w:t>
            </w:r>
            <w:r>
              <w:rPr>
                <w:rFonts w:hint="eastAsia" w:ascii="Times New Roman" w:hAnsi="Times New Roman" w:eastAsia="黑体" w:cs="Times New Roman"/>
                <w:color w:val="auto"/>
                <w:sz w:val="21"/>
                <w:szCs w:val="21"/>
                <w:lang w:val="en-US" w:eastAsia="zh-CN"/>
              </w:rPr>
              <w:t>原则</w:t>
            </w:r>
            <w:r>
              <w:rPr>
                <w:rFonts w:hint="eastAsia" w:ascii="Times New Roman" w:hAnsi="Times New Roman" w:eastAsia="黑体" w:cs="Times New Roman"/>
                <w:color w:val="auto"/>
                <w:sz w:val="21"/>
                <w:szCs w:val="21"/>
              </w:rPr>
              <w:t>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747"/>
              <w:gridCol w:w="3265"/>
              <w:gridCol w:w="1800"/>
              <w:gridCol w:w="675"/>
            </w:tblGrid>
            <w:tr w14:paraId="0A9828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noWrap w:val="0"/>
                  <w:vAlign w:val="center"/>
                </w:tcPr>
                <w:p w14:paraId="44081627">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专项评价类别</w:t>
                  </w:r>
                </w:p>
              </w:tc>
              <w:tc>
                <w:tcPr>
                  <w:tcW w:w="2516" w:type="pct"/>
                  <w:noWrap w:val="0"/>
                  <w:vAlign w:val="center"/>
                </w:tcPr>
                <w:p w14:paraId="72DCA650">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设置原则</w:t>
                  </w:r>
                </w:p>
              </w:tc>
              <w:tc>
                <w:tcPr>
                  <w:tcW w:w="1387" w:type="pct"/>
                  <w:noWrap w:val="0"/>
                  <w:vAlign w:val="center"/>
                </w:tcPr>
                <w:p w14:paraId="6AD85555">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rPr>
                    <w:t>本项目</w:t>
                  </w:r>
                  <w:r>
                    <w:rPr>
                      <w:rFonts w:hint="default" w:ascii="Times New Roman" w:hAnsi="Times New Roman" w:eastAsia="宋体" w:cs="Times New Roman"/>
                      <w:b w:val="0"/>
                      <w:bCs w:val="0"/>
                      <w:color w:val="auto"/>
                      <w:kern w:val="0"/>
                      <w:sz w:val="21"/>
                      <w:szCs w:val="21"/>
                      <w:lang w:val="en-US" w:eastAsia="zh-CN"/>
                    </w:rPr>
                    <w:t>情况</w:t>
                  </w:r>
                </w:p>
              </w:tc>
              <w:tc>
                <w:tcPr>
                  <w:tcW w:w="520" w:type="pct"/>
                  <w:noWrap w:val="0"/>
                  <w:vAlign w:val="center"/>
                </w:tcPr>
                <w:p w14:paraId="4255E74D">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是否设置</w:t>
                  </w:r>
                </w:p>
              </w:tc>
            </w:tr>
            <w:tr w14:paraId="3EDC06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912" w:hRule="atLeast"/>
                <w:jc w:val="center"/>
              </w:trPr>
              <w:tc>
                <w:tcPr>
                  <w:tcW w:w="575" w:type="pct"/>
                  <w:noWrap w:val="0"/>
                  <w:vAlign w:val="center"/>
                </w:tcPr>
                <w:p w14:paraId="7AA03561">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w:t>
                  </w:r>
                </w:p>
              </w:tc>
              <w:tc>
                <w:tcPr>
                  <w:tcW w:w="2516" w:type="pct"/>
                  <w:noWrap w:val="0"/>
                  <w:vAlign w:val="center"/>
                </w:tcPr>
                <w:p w14:paraId="6A71F2F3">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排放废气含有毒有害污染物、二噁英、苯并[a]芘、氰化物、氯气且厂界外500米范围内有环境空气保护目标的建设项目。</w:t>
                  </w:r>
                </w:p>
              </w:tc>
              <w:tc>
                <w:tcPr>
                  <w:tcW w:w="1387" w:type="pct"/>
                  <w:noWrap w:val="0"/>
                  <w:vAlign w:val="center"/>
                </w:tcPr>
                <w:p w14:paraId="538C205B">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本项目排放的废气污染物</w:t>
                  </w:r>
                  <w:r>
                    <w:rPr>
                      <w:rFonts w:hint="default" w:ascii="Times New Roman" w:hAnsi="Times New Roman" w:eastAsia="宋体" w:cs="Times New Roman"/>
                      <w:color w:val="auto"/>
                      <w:kern w:val="0"/>
                      <w:sz w:val="21"/>
                      <w:szCs w:val="21"/>
                    </w:rPr>
                    <w:t>不涉及左列大气污染物。</w:t>
                  </w:r>
                </w:p>
              </w:tc>
              <w:tc>
                <w:tcPr>
                  <w:tcW w:w="520" w:type="pct"/>
                  <w:noWrap w:val="0"/>
                  <w:vAlign w:val="center"/>
                </w:tcPr>
                <w:p w14:paraId="5C34BAEF">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否</w:t>
                  </w:r>
                </w:p>
              </w:tc>
            </w:tr>
            <w:tr w14:paraId="7AF8AC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noWrap w:val="0"/>
                  <w:vAlign w:val="center"/>
                </w:tcPr>
                <w:p w14:paraId="798113DC">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w:t>
                  </w:r>
                </w:p>
              </w:tc>
              <w:tc>
                <w:tcPr>
                  <w:tcW w:w="2516" w:type="pct"/>
                  <w:noWrap w:val="0"/>
                  <w:vAlign w:val="center"/>
                </w:tcPr>
                <w:p w14:paraId="5317C3AA">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新增工业废水直排建设项目</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槽罐车外送污水处理厂的除外</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；新增废水直排的污水集中处理厂。</w:t>
                  </w:r>
                </w:p>
              </w:tc>
              <w:tc>
                <w:tcPr>
                  <w:tcW w:w="1387" w:type="pct"/>
                  <w:noWrap w:val="0"/>
                  <w:vAlign w:val="center"/>
                </w:tcPr>
                <w:p w14:paraId="3CCE7FBF">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本项目不涉及</w:t>
                  </w:r>
                  <w:r>
                    <w:rPr>
                      <w:rFonts w:hint="default" w:ascii="Times New Roman" w:hAnsi="Times New Roman" w:eastAsia="宋体" w:cs="Times New Roman"/>
                      <w:color w:val="auto"/>
                      <w:kern w:val="0"/>
                      <w:sz w:val="21"/>
                      <w:szCs w:val="21"/>
                      <w:lang w:eastAsia="zh-CN"/>
                    </w:rPr>
                    <w:t>。</w:t>
                  </w:r>
                </w:p>
              </w:tc>
              <w:tc>
                <w:tcPr>
                  <w:tcW w:w="520" w:type="pct"/>
                  <w:noWrap w:val="0"/>
                  <w:vAlign w:val="center"/>
                </w:tcPr>
                <w:p w14:paraId="719E21EE">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否</w:t>
                  </w:r>
                </w:p>
              </w:tc>
            </w:tr>
            <w:tr w14:paraId="3D48BA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noWrap w:val="0"/>
                  <w:vAlign w:val="center"/>
                </w:tcPr>
                <w:p w14:paraId="12F16B70">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w:t>
                  </w:r>
                </w:p>
                <w:p w14:paraId="1493B3EB">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风险</w:t>
                  </w:r>
                </w:p>
              </w:tc>
              <w:tc>
                <w:tcPr>
                  <w:tcW w:w="2516" w:type="pct"/>
                  <w:noWrap w:val="0"/>
                  <w:vAlign w:val="center"/>
                </w:tcPr>
                <w:p w14:paraId="7BF0AE60">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有毒有害和易燃易爆危险物质存储量超过临界量的建设项目。</w:t>
                  </w:r>
                </w:p>
              </w:tc>
              <w:tc>
                <w:tcPr>
                  <w:tcW w:w="1387" w:type="pct"/>
                  <w:noWrap w:val="0"/>
                  <w:vAlign w:val="center"/>
                </w:tcPr>
                <w:p w14:paraId="1C1FCD46">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本项目危险物质存储量未超过临界量。</w:t>
                  </w:r>
                </w:p>
              </w:tc>
              <w:tc>
                <w:tcPr>
                  <w:tcW w:w="520" w:type="pct"/>
                  <w:noWrap w:val="0"/>
                  <w:vAlign w:val="center"/>
                </w:tcPr>
                <w:p w14:paraId="29BD2CCE">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否</w:t>
                  </w:r>
                </w:p>
              </w:tc>
            </w:tr>
            <w:tr w14:paraId="4C9719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noWrap w:val="0"/>
                  <w:vAlign w:val="center"/>
                </w:tcPr>
                <w:p w14:paraId="58F99F60">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w:t>
                  </w:r>
                </w:p>
              </w:tc>
              <w:tc>
                <w:tcPr>
                  <w:tcW w:w="2516" w:type="pct"/>
                  <w:noWrap w:val="0"/>
                  <w:vAlign w:val="center"/>
                </w:tcPr>
                <w:p w14:paraId="37858D8C">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取水口下游500米范围内有重要水生生物的自然产卵场、索饵场、越冬场和洄游通道的新增河道取水的污染类建设项目。</w:t>
                  </w:r>
                </w:p>
              </w:tc>
              <w:tc>
                <w:tcPr>
                  <w:tcW w:w="1387" w:type="pct"/>
                  <w:noWrap w:val="0"/>
                  <w:vAlign w:val="center"/>
                </w:tcPr>
                <w:p w14:paraId="3DD3F7BB">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本项目不涉及取水口。</w:t>
                  </w:r>
                </w:p>
              </w:tc>
              <w:tc>
                <w:tcPr>
                  <w:tcW w:w="520" w:type="pct"/>
                  <w:noWrap w:val="0"/>
                  <w:vAlign w:val="center"/>
                </w:tcPr>
                <w:p w14:paraId="7662864D">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否</w:t>
                  </w:r>
                </w:p>
              </w:tc>
            </w:tr>
            <w:tr w14:paraId="53C22C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noWrap w:val="0"/>
                  <w:vAlign w:val="center"/>
                </w:tcPr>
                <w:p w14:paraId="31AFA9BA">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海洋</w:t>
                  </w:r>
                </w:p>
              </w:tc>
              <w:tc>
                <w:tcPr>
                  <w:tcW w:w="2516" w:type="pct"/>
                  <w:noWrap w:val="0"/>
                  <w:vAlign w:val="center"/>
                </w:tcPr>
                <w:p w14:paraId="4F956F2E">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直接向海排放污染物的海洋工程建设项目。</w:t>
                  </w:r>
                </w:p>
              </w:tc>
              <w:tc>
                <w:tcPr>
                  <w:tcW w:w="1387" w:type="pct"/>
                  <w:noWrap w:val="0"/>
                  <w:vAlign w:val="center"/>
                </w:tcPr>
                <w:p w14:paraId="6A0F327A">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本项目不属于海洋工程建设项目。</w:t>
                  </w:r>
                </w:p>
              </w:tc>
              <w:tc>
                <w:tcPr>
                  <w:tcW w:w="520" w:type="pct"/>
                  <w:noWrap w:val="0"/>
                  <w:vAlign w:val="center"/>
                </w:tcPr>
                <w:p w14:paraId="7F0CE058">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否</w:t>
                  </w:r>
                </w:p>
              </w:tc>
            </w:tr>
            <w:tr w14:paraId="3D08DC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000" w:type="pct"/>
                  <w:gridSpan w:val="4"/>
                  <w:noWrap w:val="0"/>
                  <w:vAlign w:val="center"/>
                </w:tcPr>
                <w:p w14:paraId="39BFEFF9">
                  <w:pPr>
                    <w:keepNext w:val="0"/>
                    <w:keepLines w:val="0"/>
                    <w:pageBreakBefore w:val="0"/>
                    <w:widowControl w:val="0"/>
                    <w:kinsoku/>
                    <w:wordWrap/>
                    <w:overflowPunct/>
                    <w:topLinePunct w:val="0"/>
                    <w:autoSpaceDE w:val="0"/>
                    <w:autoSpaceDN w:val="0"/>
                    <w:bidi w:val="0"/>
                    <w:adjustRightInd w:val="0"/>
                    <w:snapToGrid w:val="0"/>
                    <w:spacing w:line="34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注：</w:t>
                  </w:r>
                  <w:r>
                    <w:rPr>
                      <w:rFonts w:hint="default" w:ascii="Times New Roman" w:hAnsi="Times New Roman" w:eastAsia="宋体" w:cs="Times New Roman"/>
                      <w:color w:val="auto"/>
                      <w:sz w:val="21"/>
                      <w:szCs w:val="21"/>
                    </w:rPr>
                    <w:t>①废气中有毒有害污染物指纳入《有毒有害大气污染物名录》的污染物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不包括无排放标准的污染物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p w14:paraId="28827C46">
                  <w:pPr>
                    <w:keepNext w:val="0"/>
                    <w:keepLines w:val="0"/>
                    <w:pageBreakBefore w:val="0"/>
                    <w:widowControl w:val="0"/>
                    <w:kinsoku/>
                    <w:wordWrap/>
                    <w:overflowPunct/>
                    <w:topLinePunct w:val="0"/>
                    <w:autoSpaceDE w:val="0"/>
                    <w:autoSpaceDN w:val="0"/>
                    <w:bidi w:val="0"/>
                    <w:adjustRightInd w:val="0"/>
                    <w:snapToGrid w:val="0"/>
                    <w:spacing w:line="340" w:lineRule="exact"/>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②环境空气保护目标指自然保护区、风景名胜区居住区、文化区和农村地区中人群较集中的区域。</w:t>
                  </w:r>
                </w:p>
                <w:p w14:paraId="63E45EA1">
                  <w:pPr>
                    <w:keepNext w:val="0"/>
                    <w:keepLines w:val="0"/>
                    <w:pageBreakBefore w:val="0"/>
                    <w:widowControl w:val="0"/>
                    <w:kinsoku/>
                    <w:wordWrap/>
                    <w:overflowPunct/>
                    <w:topLinePunct w:val="0"/>
                    <w:autoSpaceDE w:val="0"/>
                    <w:autoSpaceDN w:val="0"/>
                    <w:bidi w:val="0"/>
                    <w:adjustRightInd w:val="0"/>
                    <w:snapToGrid w:val="0"/>
                    <w:spacing w:line="340" w:lineRule="exact"/>
                    <w:ind w:firstLine="420" w:firstLineChars="20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③临界量及其计算方法参考《建设项目环境风险评价技术导则》</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HJ 169</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附录B、附录C。</w:t>
                  </w:r>
                </w:p>
              </w:tc>
            </w:tr>
          </w:tbl>
          <w:p w14:paraId="4AD269B9">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20" w:firstLineChars="200"/>
              <w:jc w:val="left"/>
              <w:textAlignment w:val="auto"/>
              <w:rPr>
                <w:rFonts w:hint="default" w:ascii="Times New Roman" w:hAnsi="Times New Roman" w:eastAsia="宋体" w:cs="Times New Roman"/>
                <w:color w:val="auto"/>
                <w:kern w:val="0"/>
                <w:szCs w:val="21"/>
                <w:lang w:eastAsia="zh-CN"/>
              </w:rPr>
            </w:pPr>
            <w:r>
              <w:rPr>
                <w:rFonts w:hint="eastAsia" w:ascii="Times New Roman" w:hAnsi="Times New Roman"/>
                <w:color w:val="auto"/>
                <w:sz w:val="21"/>
                <w:szCs w:val="21"/>
              </w:rPr>
              <w:t>根据上表分析，本项目</w:t>
            </w:r>
            <w:r>
              <w:rPr>
                <w:rFonts w:hint="eastAsia" w:ascii="Times New Roman" w:hAnsi="Times New Roman"/>
                <w:color w:val="auto"/>
                <w:sz w:val="21"/>
                <w:szCs w:val="21"/>
                <w:lang w:eastAsia="zh-CN"/>
              </w:rPr>
              <w:t>无需设置</w:t>
            </w:r>
            <w:r>
              <w:rPr>
                <w:rFonts w:hint="eastAsia" w:ascii="Times New Roman" w:hAnsi="Times New Roman"/>
                <w:color w:val="auto"/>
                <w:sz w:val="21"/>
                <w:szCs w:val="21"/>
              </w:rPr>
              <w:t>专项评价。</w:t>
            </w:r>
          </w:p>
        </w:tc>
      </w:tr>
      <w:tr w14:paraId="390FB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2167" w:type="dxa"/>
            <w:vMerge w:val="restart"/>
            <w:noWrap w:val="0"/>
            <w:vAlign w:val="center"/>
          </w:tcPr>
          <w:p w14:paraId="363DA2F8">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规划情况</w:t>
            </w:r>
          </w:p>
        </w:tc>
        <w:tc>
          <w:tcPr>
            <w:tcW w:w="6703" w:type="dxa"/>
            <w:gridSpan w:val="3"/>
            <w:noWrap w:val="0"/>
            <w:vAlign w:val="center"/>
          </w:tcPr>
          <w:p w14:paraId="3F9D4D6C">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规划名称</w:t>
            </w: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rPr>
              <w:t>福州市国土空间总体规划（2021—2035年）</w:t>
            </w:r>
            <w:r>
              <w:rPr>
                <w:rFonts w:hint="eastAsia" w:ascii="Times New Roman" w:hAnsi="Times New Roman" w:eastAsia="宋体" w:cs="Times New Roman"/>
                <w:color w:val="auto"/>
                <w:sz w:val="21"/>
                <w:szCs w:val="21"/>
                <w:lang w:val="en-US" w:eastAsia="zh-CN"/>
              </w:rPr>
              <w:t>》</w:t>
            </w:r>
          </w:p>
          <w:p w14:paraId="2D5FFD45">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审批机关：</w:t>
            </w:r>
            <w:r>
              <w:rPr>
                <w:rFonts w:hint="eastAsia" w:ascii="Times New Roman" w:hAnsi="Times New Roman" w:eastAsia="宋体" w:cs="Times New Roman"/>
                <w:b w:val="0"/>
                <w:bCs w:val="0"/>
                <w:color w:val="auto"/>
                <w:sz w:val="21"/>
                <w:szCs w:val="21"/>
                <w:lang w:val="en-US" w:eastAsia="zh-CN"/>
              </w:rPr>
              <w:t>国务院</w:t>
            </w:r>
          </w:p>
          <w:p w14:paraId="3DD3FFDA">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rPr>
              <w:t>审批文件名称及文</w:t>
            </w:r>
            <w:r>
              <w:rPr>
                <w:rFonts w:hint="eastAsia" w:ascii="Times New Roman" w:hAnsi="Times New Roman" w:eastAsia="宋体" w:cs="Times New Roman"/>
                <w:b/>
                <w:bCs/>
                <w:color w:val="auto"/>
                <w:sz w:val="21"/>
                <w:szCs w:val="21"/>
                <w:lang w:val="en-US" w:eastAsia="zh-CN"/>
              </w:rPr>
              <w:t>号</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val="0"/>
                <w:bCs w:val="0"/>
                <w:color w:val="auto"/>
                <w:sz w:val="21"/>
                <w:szCs w:val="21"/>
                <w:lang w:val="en-US" w:eastAsia="zh-CN"/>
              </w:rPr>
              <w:t>国务院关于</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rPr>
              <w:t>福州市国土空间总体规划（2021—2035年）</w:t>
            </w:r>
            <w:r>
              <w:rPr>
                <w:rFonts w:hint="eastAsia" w:ascii="Times New Roman" w:hAnsi="Times New Roman" w:eastAsia="宋体" w:cs="Times New Roman"/>
                <w:color w:val="auto"/>
                <w:sz w:val="21"/>
                <w:szCs w:val="21"/>
                <w:lang w:val="en-US" w:eastAsia="zh-CN"/>
              </w:rPr>
              <w:t>》的批复（</w:t>
            </w:r>
            <w:r>
              <w:rPr>
                <w:rFonts w:hint="eastAsia" w:ascii="Times New Roman" w:hAnsi="Times New Roman" w:eastAsia="宋体" w:cs="Times New Roman"/>
                <w:b w:val="0"/>
                <w:bCs w:val="0"/>
                <w:color w:val="auto"/>
                <w:sz w:val="21"/>
                <w:szCs w:val="21"/>
                <w:lang w:val="en-US" w:eastAsia="zh-CN"/>
              </w:rPr>
              <w:t>国函[2024]185号）</w:t>
            </w:r>
          </w:p>
        </w:tc>
      </w:tr>
      <w:tr w14:paraId="2BBF3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2167" w:type="dxa"/>
            <w:vMerge w:val="continue"/>
            <w:noWrap w:val="0"/>
            <w:vAlign w:val="center"/>
          </w:tcPr>
          <w:p w14:paraId="3D1660A0">
            <w:pPr>
              <w:autoSpaceDE w:val="0"/>
              <w:autoSpaceDN w:val="0"/>
              <w:adjustRightInd w:val="0"/>
              <w:snapToGrid w:val="0"/>
              <w:jc w:val="center"/>
              <w:rPr>
                <w:rFonts w:hint="default" w:ascii="Times New Roman" w:hAnsi="Times New Roman" w:eastAsia="宋体" w:cs="Times New Roman"/>
                <w:color w:val="auto"/>
                <w:szCs w:val="21"/>
              </w:rPr>
            </w:pPr>
          </w:p>
        </w:tc>
        <w:tc>
          <w:tcPr>
            <w:tcW w:w="6703" w:type="dxa"/>
            <w:gridSpan w:val="3"/>
            <w:noWrap w:val="0"/>
            <w:vAlign w:val="center"/>
          </w:tcPr>
          <w:p w14:paraId="00D6D72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rPr>
              <w:t>规划名称</w:t>
            </w: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福州市滨海工业区（松下组团）总体规划（2015-2030）</w:t>
            </w:r>
            <w:r>
              <w:rPr>
                <w:rFonts w:hint="eastAsia" w:ascii="Times New Roman" w:hAnsi="Times New Roman" w:eastAsia="宋体" w:cs="Times New Roman"/>
                <w:color w:val="auto"/>
                <w:sz w:val="21"/>
                <w:szCs w:val="21"/>
                <w:lang w:val="en-US" w:eastAsia="zh-CN"/>
              </w:rPr>
              <w:t>》</w:t>
            </w:r>
          </w:p>
          <w:p w14:paraId="2B0D2AE7">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rPr>
              <w:t>审批机关</w:t>
            </w:r>
            <w:r>
              <w:rPr>
                <w:rFonts w:hint="eastAsia" w:ascii="Times New Roman" w:hAnsi="Times New Roman" w:eastAsia="宋体" w:cs="Times New Roman"/>
                <w:color w:val="auto"/>
                <w:sz w:val="21"/>
                <w:szCs w:val="21"/>
              </w:rPr>
              <w:t>：福州市人民政府</w:t>
            </w:r>
          </w:p>
          <w:p w14:paraId="3C5DA59E">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rPr>
              <w:t>审批文件名称及文号：</w:t>
            </w:r>
            <w:r>
              <w:rPr>
                <w:rFonts w:hint="eastAsia" w:ascii="Times New Roman" w:hAnsi="Times New Roman" w:eastAsia="宋体" w:cs="Times New Roman"/>
                <w:color w:val="auto"/>
                <w:sz w:val="21"/>
                <w:szCs w:val="21"/>
                <w:lang w:val="en-US" w:eastAsia="zh-CN"/>
              </w:rPr>
              <w:t>福州市人民政府关于《福州市滨海工业区（松下组团）总体规划（2015-2030）》的批复（榕政综</w:t>
            </w:r>
            <w:r>
              <w:rPr>
                <w:rFonts w:hint="default" w:ascii="Times New Roman" w:hAnsi="Times New Roman" w:eastAsia="宋体" w:cs="Times New Roman"/>
                <w:color w:val="auto"/>
                <w:sz w:val="21"/>
                <w:szCs w:val="21"/>
                <w:lang w:val="en-US" w:eastAsia="zh-CN"/>
              </w:rPr>
              <w:t>[2020]123</w:t>
            </w:r>
            <w:r>
              <w:rPr>
                <w:rFonts w:hint="eastAsia" w:ascii="Times New Roman" w:hAnsi="Times New Roman" w:eastAsia="宋体" w:cs="Times New Roman"/>
                <w:color w:val="auto"/>
                <w:sz w:val="21"/>
                <w:szCs w:val="21"/>
                <w:lang w:val="en-US" w:eastAsia="zh-CN"/>
              </w:rPr>
              <w:t>号）</w:t>
            </w:r>
          </w:p>
        </w:tc>
      </w:tr>
      <w:tr w14:paraId="18B28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2167" w:type="dxa"/>
            <w:noWrap w:val="0"/>
            <w:vAlign w:val="center"/>
          </w:tcPr>
          <w:p w14:paraId="16BB7060">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规划环境影响</w:t>
            </w:r>
          </w:p>
          <w:p w14:paraId="04692D32">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评价情况</w:t>
            </w:r>
          </w:p>
        </w:tc>
        <w:tc>
          <w:tcPr>
            <w:tcW w:w="6703" w:type="dxa"/>
            <w:gridSpan w:val="3"/>
            <w:noWrap w:val="0"/>
            <w:vAlign w:val="center"/>
          </w:tcPr>
          <w:p w14:paraId="122C6627">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rPr>
              <w:t>规划环评</w:t>
            </w:r>
            <w:r>
              <w:rPr>
                <w:rFonts w:hint="eastAsia" w:ascii="Times New Roman" w:hAnsi="Times New Roman" w:eastAsia="宋体" w:cs="Times New Roman"/>
                <w:b/>
                <w:bCs/>
                <w:color w:val="auto"/>
                <w:sz w:val="21"/>
                <w:szCs w:val="21"/>
                <w:lang w:val="en-US" w:eastAsia="zh-CN"/>
              </w:rPr>
              <w:t>文件</w:t>
            </w:r>
            <w:r>
              <w:rPr>
                <w:rFonts w:hint="eastAsia" w:ascii="Times New Roman" w:hAnsi="Times New Roman" w:eastAsia="宋体" w:cs="Times New Roman"/>
                <w:b/>
                <w:bCs/>
                <w:color w:val="auto"/>
                <w:sz w:val="21"/>
                <w:szCs w:val="21"/>
              </w:rPr>
              <w:t>名称：</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福州市滨海工业区（松下组团）总体规划（2015-2030）环境影响报告书</w:t>
            </w:r>
            <w:r>
              <w:rPr>
                <w:rFonts w:hint="eastAsia" w:ascii="Times New Roman" w:hAnsi="Times New Roman" w:eastAsia="宋体" w:cs="Times New Roman"/>
                <w:color w:val="auto"/>
                <w:sz w:val="21"/>
                <w:szCs w:val="21"/>
                <w:lang w:val="en-US" w:eastAsia="zh-CN"/>
              </w:rPr>
              <w:t>》</w:t>
            </w:r>
          </w:p>
          <w:p w14:paraId="4E34D4D6">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rPr>
              <w:t>召集审查机关：</w:t>
            </w:r>
            <w:r>
              <w:rPr>
                <w:rFonts w:hint="eastAsia" w:ascii="Times New Roman" w:hAnsi="Times New Roman" w:eastAsia="宋体" w:cs="Times New Roman"/>
                <w:color w:val="auto"/>
                <w:sz w:val="21"/>
                <w:szCs w:val="21"/>
              </w:rPr>
              <w:t>福州市生态环境局</w:t>
            </w:r>
          </w:p>
          <w:p w14:paraId="286DF4D0">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rPr>
              <w:t>审查文件名称及文号：</w:t>
            </w:r>
            <w:r>
              <w:rPr>
                <w:rFonts w:hint="eastAsia" w:ascii="Times New Roman" w:hAnsi="Times New Roman" w:eastAsia="宋体" w:cs="Times New Roman"/>
                <w:color w:val="auto"/>
                <w:sz w:val="21"/>
                <w:szCs w:val="21"/>
              </w:rPr>
              <w:t>福州市生态环境局关于印发《福州市滨海工业区（松下组团）总体规划（2015-2030）环境影响报告书》审查小组意见的通知</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榕环保评[2020]23号</w:t>
            </w:r>
            <w:r>
              <w:rPr>
                <w:rFonts w:hint="eastAsia" w:ascii="Times New Roman" w:hAnsi="Times New Roman" w:eastAsia="宋体" w:cs="Times New Roman"/>
                <w:color w:val="auto"/>
                <w:sz w:val="21"/>
                <w:szCs w:val="21"/>
                <w:lang w:eastAsia="zh-CN"/>
              </w:rPr>
              <w:t>）</w:t>
            </w:r>
          </w:p>
        </w:tc>
      </w:tr>
      <w:tr w14:paraId="306B95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67" w:type="dxa"/>
            <w:noWrap w:val="0"/>
            <w:vAlign w:val="center"/>
          </w:tcPr>
          <w:p w14:paraId="2EC00648">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规划及规划环境</w:t>
            </w:r>
          </w:p>
          <w:p w14:paraId="6B4AD0C0">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影响评价符合性分析</w:t>
            </w:r>
          </w:p>
        </w:tc>
        <w:tc>
          <w:tcPr>
            <w:tcW w:w="6703" w:type="dxa"/>
            <w:gridSpan w:val="3"/>
            <w:noWrap w:val="0"/>
            <w:vAlign w:val="center"/>
          </w:tcPr>
          <w:p w14:paraId="27C9D513">
            <w:pPr>
              <w:keepNext w:val="0"/>
              <w:keepLines w:val="0"/>
              <w:pageBreakBefore w:val="0"/>
              <w:widowControl w:val="0"/>
              <w:numPr>
                <w:ilvl w:val="0"/>
                <w:numId w:val="4"/>
              </w:numPr>
              <w:kinsoku/>
              <w:wordWrap/>
              <w:overflowPunct/>
              <w:topLinePunct w:val="0"/>
              <w:autoSpaceDE w:val="0"/>
              <w:autoSpaceDN w:val="0"/>
              <w:bidi w:val="0"/>
              <w:adjustRightInd w:val="0"/>
              <w:snapToGrid w:val="0"/>
              <w:spacing w:before="157" w:beforeLines="50" w:line="360" w:lineRule="auto"/>
              <w:jc w:val="left"/>
              <w:textAlignment w:val="auto"/>
              <w:rPr>
                <w:rFonts w:hint="eastAsia" w:ascii="Times New Roman" w:hAnsi="Times New Roman" w:eastAsia="宋体"/>
                <w:b/>
                <w:bCs/>
                <w:color w:val="auto"/>
              </w:rPr>
            </w:pPr>
            <w:r>
              <w:rPr>
                <w:rFonts w:hint="eastAsia"/>
                <w:b/>
                <w:bCs/>
                <w:color w:val="auto"/>
                <w:lang w:val="en-US" w:eastAsia="zh-CN"/>
              </w:rPr>
              <w:t>与</w:t>
            </w:r>
            <w:r>
              <w:rPr>
                <w:rFonts w:hint="eastAsia" w:ascii="Times New Roman" w:hAnsi="Times New Roman" w:eastAsia="宋体"/>
                <w:b/>
                <w:bCs/>
                <w:color w:val="auto"/>
              </w:rPr>
              <w:t>《福州市国土空间总体规划（2021—2035年）》</w:t>
            </w:r>
            <w:r>
              <w:rPr>
                <w:rFonts w:hint="eastAsia" w:ascii="Times New Roman" w:hAnsi="Times New Roman" w:eastAsia="宋体"/>
                <w:b/>
                <w:bCs/>
                <w:color w:val="auto"/>
                <w:lang w:eastAsia="zh-CN"/>
              </w:rPr>
              <w:t>符合性分析</w:t>
            </w:r>
          </w:p>
          <w:p w14:paraId="7100F6F3">
            <w:pPr>
              <w:autoSpaceDE w:val="0"/>
              <w:autoSpaceDN w:val="0"/>
              <w:adjustRightInd w:val="0"/>
              <w:snapToGrid w:val="0"/>
              <w:spacing w:line="360" w:lineRule="auto"/>
              <w:ind w:firstLine="420" w:firstLineChars="200"/>
              <w:jc w:val="left"/>
              <w:rPr>
                <w:rFonts w:hint="eastAsia" w:ascii="Times New Roman" w:hAnsi="Times New Roman" w:eastAsia="宋体"/>
                <w:b w:val="0"/>
                <w:bCs w:val="0"/>
                <w:color w:val="auto"/>
              </w:rPr>
            </w:pPr>
            <w:r>
              <w:rPr>
                <w:rFonts w:hint="eastAsia"/>
                <w:b w:val="0"/>
                <w:bCs w:val="0"/>
                <w:color w:val="auto"/>
                <w:lang w:val="en-US" w:eastAsia="zh-CN"/>
              </w:rPr>
              <w:t>根据《福州市国土空间总体规划（2021—2035年）》内容：中心城区空间结构，延续“东进南下、沿江向海”，拉开城市发展框架，引导城市发展从“单中心”向“多中心、组团式、网络化”转变，构建“一环两带、两核两心七组团”的中心城区空间结构。打造产业创新和开放门户职能的滨海发展轴，推动港口物流、临港工业、城镇融合发展，成为区域联动和全域繁荣的重要增长空间。</w:t>
            </w:r>
            <w:r>
              <w:rPr>
                <w:rFonts w:hint="eastAsia" w:ascii="Times New Roman" w:hAnsi="Times New Roman" w:eastAsia="宋体"/>
                <w:b w:val="0"/>
                <w:bCs w:val="0"/>
                <w:color w:val="auto"/>
              </w:rPr>
              <w:t>以“数字福州”“海上福州”“平台福州”为重要方向，建设以战略性新兴产业为引领、先进制造业与现代服务业双轮驱动、具有国际竞争力的现代化产业体系。</w:t>
            </w:r>
          </w:p>
          <w:p w14:paraId="7B150B63">
            <w:pPr>
              <w:autoSpaceDE w:val="0"/>
              <w:autoSpaceDN w:val="0"/>
              <w:adjustRightInd w:val="0"/>
              <w:snapToGrid w:val="0"/>
              <w:spacing w:line="360" w:lineRule="auto"/>
              <w:ind w:firstLine="420" w:firstLineChars="200"/>
              <w:jc w:val="left"/>
              <w:rPr>
                <w:rFonts w:hint="default"/>
                <w:b w:val="0"/>
                <w:bCs w:val="0"/>
                <w:color w:val="auto"/>
                <w:lang w:val="en-US" w:eastAsia="zh-CN"/>
              </w:rPr>
            </w:pPr>
            <w:r>
              <w:rPr>
                <w:rFonts w:hint="eastAsia"/>
                <w:b w:val="0"/>
                <w:bCs w:val="0"/>
                <w:color w:val="auto"/>
                <w:lang w:val="en-US" w:eastAsia="zh-CN"/>
              </w:rPr>
              <w:t>本项目位于空间规划中的滨海发展轴，主要从事废机动车、废电机、废变压器回收拆解，属于废弃资源综合利用业，便于所在园区内企业合规废旧资源的回收，有利于环境保护与资源节约综合利用，可作为园区内先进制造业等产业的配套发展，因此，项目符合《福州市国土空间总体规划（2021—2035年）》要求。</w:t>
            </w:r>
          </w:p>
          <w:p w14:paraId="666CF351">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hint="eastAsia" w:ascii="Times New Roman" w:hAnsi="Times New Roman"/>
                <w:b/>
                <w:bCs/>
                <w:color w:val="auto"/>
              </w:rPr>
            </w:pPr>
            <w:r>
              <w:rPr>
                <w:rFonts w:hint="eastAsia" w:ascii="Times New Roman" w:hAnsi="Times New Roman"/>
                <w:b/>
                <w:bCs/>
                <w:color w:val="auto"/>
                <w:lang w:val="en-US" w:eastAsia="zh-CN"/>
              </w:rPr>
              <w:t>2、</w:t>
            </w:r>
            <w:r>
              <w:rPr>
                <w:rFonts w:hint="eastAsia" w:ascii="Times New Roman" w:hAnsi="Times New Roman"/>
                <w:b/>
                <w:bCs/>
                <w:color w:val="auto"/>
              </w:rPr>
              <w:t>与福州市滨海工业区（松下组团）总体规划</w:t>
            </w:r>
            <w:r>
              <w:rPr>
                <w:rFonts w:hint="eastAsia" w:ascii="Times New Roman" w:hAnsi="Times New Roman"/>
                <w:b/>
                <w:bCs/>
                <w:color w:val="auto"/>
                <w:kern w:val="0"/>
                <w:szCs w:val="21"/>
              </w:rPr>
              <w:t>符合性分析</w:t>
            </w:r>
          </w:p>
          <w:p w14:paraId="617807D7">
            <w:pPr>
              <w:autoSpaceDE w:val="0"/>
              <w:autoSpaceDN w:val="0"/>
              <w:adjustRightInd w:val="0"/>
              <w:snapToGrid w:val="0"/>
              <w:spacing w:line="360" w:lineRule="auto"/>
              <w:ind w:firstLine="420" w:firstLineChars="200"/>
              <w:jc w:val="left"/>
              <w:rPr>
                <w:rFonts w:ascii="Times New Roman" w:hAnsi="Times New Roman"/>
                <w:color w:val="auto"/>
              </w:rPr>
            </w:pPr>
            <w:r>
              <w:rPr>
                <w:rFonts w:hint="eastAsia" w:ascii="Times New Roman" w:hAnsi="Times New Roman"/>
                <w:color w:val="auto"/>
              </w:rPr>
              <w:t>福州市滨海工业区（松下组团）在未来的发展中重点培育和强化钢铁、机械、能源、精细化工和粮油加工以及与以上产业特点相关联的物流业（如粮油、煤炭、铁矿石等大宗散物为主）。</w:t>
            </w:r>
          </w:p>
          <w:p w14:paraId="219EEF27">
            <w:pPr>
              <w:autoSpaceDE w:val="0"/>
              <w:autoSpaceDN w:val="0"/>
              <w:adjustRightInd w:val="0"/>
              <w:snapToGrid w:val="0"/>
              <w:spacing w:line="360" w:lineRule="auto"/>
              <w:ind w:firstLine="420" w:firstLineChars="200"/>
              <w:jc w:val="left"/>
              <w:rPr>
                <w:rFonts w:hint="default" w:ascii="Times New Roman" w:hAnsi="Times New Roman"/>
                <w:color w:val="auto"/>
                <w:lang w:val="en-US" w:eastAsia="zh-CN"/>
              </w:rPr>
            </w:pPr>
            <w:r>
              <w:rPr>
                <w:rFonts w:hint="eastAsia" w:ascii="Times New Roman" w:hAnsi="Times New Roman"/>
                <w:color w:val="auto"/>
              </w:rPr>
              <w:t>项目选址于省福州市长乐区松下镇山前村新村东区66号</w:t>
            </w:r>
            <w:r>
              <w:rPr>
                <w:rFonts w:hint="eastAsia" w:ascii="Times New Roman" w:hAnsi="Times New Roman"/>
                <w:color w:val="auto"/>
                <w:lang w:eastAsia="zh-CN"/>
              </w:rPr>
              <w:t>，</w:t>
            </w:r>
            <w:r>
              <w:rPr>
                <w:rFonts w:hint="eastAsia" w:ascii="Times New Roman" w:hAnsi="Times New Roman"/>
                <w:color w:val="auto"/>
                <w:lang w:val="en-US" w:eastAsia="zh-CN"/>
              </w:rPr>
              <w:t>位于福州市滨海工业区（松下组团），</w:t>
            </w:r>
            <w:r>
              <w:rPr>
                <w:rFonts w:hint="eastAsia" w:ascii="Times New Roman" w:hAnsi="Times New Roman"/>
                <w:color w:val="auto"/>
              </w:rPr>
              <w:t>本项目</w:t>
            </w:r>
            <w:r>
              <w:rPr>
                <w:rFonts w:hint="eastAsia" w:ascii="Times New Roman" w:hAnsi="Times New Roman"/>
                <w:color w:val="auto"/>
                <w:lang w:val="en-US" w:eastAsia="zh-CN"/>
              </w:rPr>
              <w:t>主要从事废机动车、废电机、废变压器回收拆解</w:t>
            </w:r>
            <w:r>
              <w:rPr>
                <w:rFonts w:hint="eastAsia" w:ascii="Times New Roman" w:hAnsi="Times New Roman"/>
                <w:color w:val="auto"/>
              </w:rPr>
              <w:t>，属于废弃资源综合利用业，</w:t>
            </w:r>
            <w:r>
              <w:rPr>
                <w:rFonts w:hint="eastAsia" w:ascii="Times New Roman" w:hAnsi="Times New Roman"/>
                <w:color w:val="auto"/>
                <w:lang w:val="en-US" w:eastAsia="zh-CN"/>
              </w:rPr>
              <w:t>可便于园区内企业合规废旧资源的回收，根据园区管委会出具的园区项目审批表（详见附件六），同意建设单位福建中福鑫再生资源有限公司在</w:t>
            </w:r>
            <w:r>
              <w:rPr>
                <w:rFonts w:hint="eastAsia" w:ascii="Times New Roman" w:hAnsi="Times New Roman"/>
                <w:color w:val="auto"/>
              </w:rPr>
              <w:t>福州市长乐区松下镇山前村新村东区66号</w:t>
            </w:r>
            <w:r>
              <w:rPr>
                <w:rFonts w:hint="eastAsia" w:ascii="Times New Roman" w:hAnsi="Times New Roman"/>
                <w:color w:val="auto"/>
                <w:lang w:val="en-US" w:eastAsia="zh-CN"/>
              </w:rPr>
              <w:t>从事“一般生产性废旧金属回收；再生资源加工；报废机动车回收、拆解”类经营活动。因此，项目与工业园区产业规划不冲突。</w:t>
            </w:r>
          </w:p>
          <w:p w14:paraId="7AD03779">
            <w:pPr>
              <w:autoSpaceDE w:val="0"/>
              <w:autoSpaceDN w:val="0"/>
              <w:adjustRightInd w:val="0"/>
              <w:snapToGrid w:val="0"/>
              <w:spacing w:line="360" w:lineRule="auto"/>
              <w:jc w:val="left"/>
              <w:rPr>
                <w:rFonts w:hint="eastAsia" w:ascii="Times New Roman" w:hAnsi="Times New Roman"/>
                <w:b/>
                <w:bCs/>
                <w:color w:val="auto"/>
              </w:rPr>
            </w:pPr>
            <w:r>
              <w:rPr>
                <w:rFonts w:hint="eastAsia" w:ascii="Times New Roman" w:hAnsi="Times New Roman"/>
                <w:b/>
                <w:bCs/>
                <w:color w:val="auto"/>
                <w:lang w:val="en-US" w:eastAsia="zh-CN"/>
              </w:rPr>
              <w:t>3</w:t>
            </w:r>
            <w:r>
              <w:rPr>
                <w:rFonts w:hint="eastAsia" w:ascii="Times New Roman" w:hAnsi="Times New Roman"/>
                <w:b/>
                <w:bCs/>
                <w:color w:val="auto"/>
              </w:rPr>
              <w:t>、与</w:t>
            </w:r>
            <w:r>
              <w:rPr>
                <w:rFonts w:hint="eastAsia" w:ascii="Times New Roman" w:hAnsi="Times New Roman"/>
                <w:b/>
                <w:bCs/>
                <w:color w:val="auto"/>
                <w:lang w:val="en-US" w:eastAsia="zh-CN"/>
              </w:rPr>
              <w:t>《</w:t>
            </w:r>
            <w:r>
              <w:rPr>
                <w:rFonts w:hint="eastAsia" w:ascii="Times New Roman" w:hAnsi="Times New Roman"/>
                <w:b/>
                <w:bCs/>
                <w:color w:val="auto"/>
                <w:kern w:val="0"/>
                <w:szCs w:val="21"/>
              </w:rPr>
              <w:t>福州市滨海工业区（松下组团）总体规划（2015-2030）环境影响报告书</w:t>
            </w:r>
            <w:r>
              <w:rPr>
                <w:rFonts w:hint="eastAsia" w:ascii="Times New Roman" w:hAnsi="Times New Roman"/>
                <w:b/>
                <w:bCs/>
                <w:color w:val="auto"/>
                <w:lang w:val="en-US" w:eastAsia="zh-CN"/>
              </w:rPr>
              <w:t>》</w:t>
            </w:r>
            <w:r>
              <w:rPr>
                <w:rFonts w:hint="eastAsia" w:ascii="Times New Roman" w:hAnsi="Times New Roman"/>
                <w:b/>
                <w:bCs/>
                <w:color w:val="auto"/>
                <w:kern w:val="0"/>
                <w:szCs w:val="21"/>
              </w:rPr>
              <w:t>符合性分析</w:t>
            </w:r>
          </w:p>
          <w:p w14:paraId="5FCC4874">
            <w:pPr>
              <w:autoSpaceDE w:val="0"/>
              <w:autoSpaceDN w:val="0"/>
              <w:adjustRightInd w:val="0"/>
              <w:snapToGrid w:val="0"/>
              <w:spacing w:line="360" w:lineRule="auto"/>
              <w:ind w:firstLine="422" w:firstLineChars="200"/>
              <w:jc w:val="left"/>
              <w:rPr>
                <w:rFonts w:hint="eastAsia" w:ascii="Times New Roman" w:hAnsi="Times New Roman"/>
                <w:b/>
                <w:bCs/>
                <w:color w:val="auto"/>
              </w:rPr>
            </w:pPr>
            <w:r>
              <w:rPr>
                <w:rFonts w:hint="eastAsia" w:ascii="Times New Roman" w:hAnsi="Times New Roman"/>
                <w:b/>
                <w:bCs/>
                <w:color w:val="auto"/>
                <w:lang w:eastAsia="zh-CN"/>
              </w:rPr>
              <w:t>（</w:t>
            </w:r>
            <w:r>
              <w:rPr>
                <w:rFonts w:hint="eastAsia" w:ascii="Times New Roman" w:hAnsi="Times New Roman"/>
                <w:b/>
                <w:bCs/>
                <w:color w:val="auto"/>
                <w:lang w:val="en-US" w:eastAsia="zh-CN"/>
              </w:rPr>
              <w:t>1</w:t>
            </w:r>
            <w:r>
              <w:rPr>
                <w:rFonts w:hint="eastAsia" w:ascii="Times New Roman" w:hAnsi="Times New Roman"/>
                <w:b/>
                <w:bCs/>
                <w:color w:val="auto"/>
                <w:lang w:eastAsia="zh-CN"/>
              </w:rPr>
              <w:t>）</w:t>
            </w:r>
            <w:r>
              <w:rPr>
                <w:rFonts w:hint="eastAsia" w:ascii="Times New Roman" w:hAnsi="Times New Roman"/>
                <w:b/>
                <w:bCs/>
                <w:color w:val="auto"/>
              </w:rPr>
              <w:t>与</w:t>
            </w:r>
            <w:r>
              <w:rPr>
                <w:rFonts w:hint="eastAsia" w:ascii="Times New Roman" w:hAnsi="Times New Roman"/>
                <w:b/>
                <w:bCs/>
                <w:color w:val="auto"/>
                <w:lang w:val="en-US" w:eastAsia="zh-CN"/>
              </w:rPr>
              <w:t>松下组团产业</w:t>
            </w:r>
            <w:r>
              <w:rPr>
                <w:rFonts w:hint="eastAsia" w:ascii="Times New Roman" w:hAnsi="Times New Roman"/>
                <w:b/>
                <w:bCs/>
                <w:color w:val="auto"/>
              </w:rPr>
              <w:t>准入清单符合性分析</w:t>
            </w:r>
          </w:p>
          <w:p w14:paraId="30318908">
            <w:pPr>
              <w:autoSpaceDE w:val="0"/>
              <w:autoSpaceDN w:val="0"/>
              <w:adjustRightInd w:val="0"/>
              <w:snapToGrid w:val="0"/>
              <w:spacing w:line="360" w:lineRule="auto"/>
              <w:ind w:firstLine="420" w:firstLineChars="200"/>
              <w:jc w:val="left"/>
              <w:rPr>
                <w:rFonts w:hint="eastAsia" w:ascii="Times New Roman" w:hAnsi="Times New Roman"/>
                <w:color w:val="auto"/>
              </w:rPr>
            </w:pPr>
            <w:r>
              <w:rPr>
                <w:rFonts w:hint="eastAsia" w:ascii="Times New Roman" w:hAnsi="Times New Roman"/>
                <w:color w:val="auto"/>
              </w:rPr>
              <w:t>对照《福州市滨海工业区（松下组团）总体规划（2015-2030）环境影响报告书》中“</w:t>
            </w:r>
            <w:r>
              <w:rPr>
                <w:rFonts w:hint="eastAsia" w:ascii="Times New Roman" w:hAnsi="Times New Roman"/>
                <w:color w:val="auto"/>
                <w:lang w:val="en-US" w:eastAsia="zh-CN"/>
              </w:rPr>
              <w:t>松下组团产业准入清单</w:t>
            </w:r>
            <w:r>
              <w:rPr>
                <w:rFonts w:hint="eastAsia" w:ascii="Times New Roman" w:hAnsi="Times New Roman"/>
                <w:color w:val="auto"/>
              </w:rPr>
              <w:t>”</w:t>
            </w:r>
            <w:r>
              <w:rPr>
                <w:rFonts w:hint="eastAsia" w:ascii="Times New Roman" w:hAnsi="Times New Roman"/>
                <w:color w:val="auto"/>
                <w:lang w:eastAsia="zh-CN"/>
              </w:rPr>
              <w:t>，</w:t>
            </w:r>
            <w:r>
              <w:rPr>
                <w:rFonts w:hint="eastAsia" w:ascii="Times New Roman" w:hAnsi="Times New Roman"/>
                <w:color w:val="auto"/>
                <w:lang w:val="en-US" w:eastAsia="zh-CN"/>
              </w:rPr>
              <w:t>本项目作为</w:t>
            </w:r>
            <w:r>
              <w:rPr>
                <w:rFonts w:hint="eastAsia" w:ascii="Times New Roman" w:hAnsi="Times New Roman"/>
                <w:color w:val="auto"/>
              </w:rPr>
              <w:t>废弃资源综合利用业</w:t>
            </w:r>
            <w:r>
              <w:rPr>
                <w:rFonts w:hint="eastAsia" w:ascii="Times New Roman" w:hAnsi="Times New Roman"/>
                <w:color w:val="auto"/>
                <w:lang w:eastAsia="zh-CN"/>
              </w:rPr>
              <w:t>，</w:t>
            </w:r>
            <w:r>
              <w:rPr>
                <w:rFonts w:hint="eastAsia" w:ascii="Times New Roman" w:hAnsi="Times New Roman"/>
                <w:color w:val="auto"/>
                <w:lang w:val="en-US" w:eastAsia="zh-CN"/>
              </w:rPr>
              <w:t>从事废机动车、废电机、废变压器回收拆解，不属于松下组团产业准入清单中有限制和禁止准入要求的产业。</w:t>
            </w:r>
            <w:r>
              <w:rPr>
                <w:rFonts w:hint="eastAsia" w:ascii="Times New Roman" w:hAnsi="Times New Roman"/>
                <w:color w:val="auto"/>
              </w:rPr>
              <w:t>因此，本项目不与松下</w:t>
            </w:r>
            <w:r>
              <w:rPr>
                <w:rFonts w:hint="eastAsia" w:ascii="Times New Roman" w:hAnsi="Times New Roman"/>
                <w:color w:val="auto"/>
                <w:lang w:val="en-US" w:eastAsia="zh-CN"/>
              </w:rPr>
              <w:t>组团产业准入</w:t>
            </w:r>
            <w:r>
              <w:rPr>
                <w:rFonts w:hint="eastAsia" w:ascii="Times New Roman" w:hAnsi="Times New Roman"/>
                <w:color w:val="auto"/>
              </w:rPr>
              <w:t>清单冲突。</w:t>
            </w:r>
            <w:r>
              <w:rPr>
                <w:rFonts w:hint="eastAsia" w:ascii="Times New Roman" w:hAnsi="Times New Roman"/>
                <w:color w:val="auto"/>
                <w:lang w:val="en-US" w:eastAsia="zh-CN"/>
              </w:rPr>
              <w:t>根据园区管委会出具的园区项目审批表（详见附件六），同意建设单位福建中福鑫再生资源有限公司在</w:t>
            </w:r>
            <w:r>
              <w:rPr>
                <w:rFonts w:hint="eastAsia" w:ascii="Times New Roman" w:hAnsi="Times New Roman"/>
                <w:color w:val="auto"/>
              </w:rPr>
              <w:t>福州市长乐区松下镇山前村新村东区66号</w:t>
            </w:r>
            <w:r>
              <w:rPr>
                <w:rFonts w:hint="eastAsia" w:ascii="Times New Roman" w:hAnsi="Times New Roman"/>
                <w:color w:val="auto"/>
                <w:lang w:val="en-US" w:eastAsia="zh-CN"/>
              </w:rPr>
              <w:t>从事“一般生产性废旧金属回收；再生资源加工；报废机动车回收、拆解”类经营活动。</w:t>
            </w:r>
          </w:p>
          <w:p w14:paraId="612950D8">
            <w:pPr>
              <w:autoSpaceDE w:val="0"/>
              <w:autoSpaceDN w:val="0"/>
              <w:adjustRightInd w:val="0"/>
              <w:snapToGrid w:val="0"/>
              <w:spacing w:line="360" w:lineRule="auto"/>
              <w:ind w:firstLine="422" w:firstLineChars="200"/>
              <w:jc w:val="left"/>
              <w:rPr>
                <w:rFonts w:hint="default" w:ascii="Times New Roman" w:hAnsi="Times New Roman"/>
                <w:b/>
                <w:bCs/>
                <w:color w:val="auto"/>
                <w:lang w:val="en-US" w:eastAsia="zh-CN"/>
              </w:rPr>
            </w:pPr>
            <w:r>
              <w:rPr>
                <w:rFonts w:hint="eastAsia" w:ascii="Times New Roman" w:hAnsi="Times New Roman"/>
                <w:b/>
                <w:bCs/>
                <w:color w:val="auto"/>
                <w:lang w:eastAsia="zh-CN"/>
              </w:rPr>
              <w:t>（</w:t>
            </w:r>
            <w:r>
              <w:rPr>
                <w:rFonts w:hint="eastAsia" w:ascii="Times New Roman" w:hAnsi="Times New Roman"/>
                <w:b/>
                <w:bCs/>
                <w:color w:val="auto"/>
                <w:lang w:val="en-US" w:eastAsia="zh-CN"/>
              </w:rPr>
              <w:t>2</w:t>
            </w:r>
            <w:r>
              <w:rPr>
                <w:rFonts w:hint="eastAsia" w:ascii="Times New Roman" w:hAnsi="Times New Roman"/>
                <w:b/>
                <w:bCs/>
                <w:color w:val="auto"/>
                <w:lang w:eastAsia="zh-CN"/>
              </w:rPr>
              <w:t>）</w:t>
            </w:r>
            <w:r>
              <w:rPr>
                <w:rFonts w:hint="eastAsia" w:ascii="Times New Roman" w:hAnsi="Times New Roman"/>
                <w:b/>
                <w:bCs/>
                <w:color w:val="auto"/>
                <w:lang w:val="en-US" w:eastAsia="zh-CN"/>
              </w:rPr>
              <w:t>与松下组团生态环境准入清单符合性分析</w:t>
            </w:r>
          </w:p>
          <w:p w14:paraId="00843943">
            <w:pPr>
              <w:spacing w:before="120" w:beforeLines="50"/>
              <w:jc w:val="center"/>
              <w:rPr>
                <w:rFonts w:hint="eastAsia" w:ascii="Times New Roman" w:hAnsi="Times New Roman" w:eastAsia="黑体" w:cs="Times New Roman"/>
                <w:color w:val="auto"/>
                <w:sz w:val="21"/>
                <w:szCs w:val="21"/>
                <w:lang w:val="en-US" w:eastAsia="zh-CN"/>
              </w:rPr>
            </w:pPr>
            <w:r>
              <w:rPr>
                <w:rFonts w:hint="eastAsia" w:ascii="Times New Roman" w:hAnsi="Times New Roman" w:eastAsia="黑体" w:cs="Times New Roman"/>
                <w:color w:val="auto"/>
                <w:sz w:val="21"/>
                <w:szCs w:val="21"/>
              </w:rPr>
              <w:t>表1</w:t>
            </w:r>
            <w:r>
              <w:rPr>
                <w:rFonts w:hint="eastAsia" w:ascii="Times New Roman" w:hAnsi="Times New Roman" w:eastAsia="黑体" w:cs="Times New Roman"/>
                <w:color w:val="auto"/>
                <w:sz w:val="21"/>
                <w:szCs w:val="21"/>
                <w:lang w:val="en-US" w:eastAsia="zh-CN"/>
              </w:rPr>
              <w:t>-2 与松下组团生态环境准入清单符合性分析</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4"/>
              <w:gridCol w:w="405"/>
              <w:gridCol w:w="2680"/>
              <w:gridCol w:w="2407"/>
              <w:gridCol w:w="656"/>
            </w:tblGrid>
            <w:tr w14:paraId="527B1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dxa"/>
                  <w:gridSpan w:val="2"/>
                  <w:tcBorders>
                    <w:tl2br w:val="nil"/>
                    <w:tr2bl w:val="nil"/>
                  </w:tcBorders>
                  <w:noWrap w:val="0"/>
                  <w:vAlign w:val="center"/>
                </w:tcPr>
                <w:p w14:paraId="1DC60B1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清单</w:t>
                  </w:r>
                </w:p>
                <w:p w14:paraId="092EECD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类型</w:t>
                  </w:r>
                </w:p>
              </w:tc>
              <w:tc>
                <w:tcPr>
                  <w:tcW w:w="2680" w:type="dxa"/>
                  <w:tcBorders>
                    <w:tl2br w:val="nil"/>
                    <w:tr2bl w:val="nil"/>
                  </w:tcBorders>
                  <w:noWrap w:val="0"/>
                  <w:vAlign w:val="center"/>
                </w:tcPr>
                <w:p w14:paraId="0D05F18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准入内容（摘录）</w:t>
                  </w:r>
                </w:p>
              </w:tc>
              <w:tc>
                <w:tcPr>
                  <w:tcW w:w="2407" w:type="dxa"/>
                  <w:tcBorders>
                    <w:tl2br w:val="nil"/>
                    <w:tr2bl w:val="nil"/>
                  </w:tcBorders>
                  <w:noWrap w:val="0"/>
                  <w:vAlign w:val="center"/>
                </w:tcPr>
                <w:p w14:paraId="08B1322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项目情况</w:t>
                  </w:r>
                </w:p>
              </w:tc>
              <w:tc>
                <w:tcPr>
                  <w:tcW w:w="656" w:type="dxa"/>
                  <w:tcBorders>
                    <w:tl2br w:val="nil"/>
                    <w:tr2bl w:val="nil"/>
                  </w:tcBorders>
                  <w:noWrap w:val="0"/>
                  <w:vAlign w:val="center"/>
                </w:tcPr>
                <w:p w14:paraId="50A917B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符合性</w:t>
                  </w:r>
                </w:p>
              </w:tc>
            </w:tr>
            <w:tr w14:paraId="536A3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4" w:type="dxa"/>
                  <w:vMerge w:val="restart"/>
                  <w:tcBorders>
                    <w:tl2br w:val="nil"/>
                    <w:tr2bl w:val="nil"/>
                  </w:tcBorders>
                  <w:noWrap w:val="0"/>
                  <w:vAlign w:val="center"/>
                </w:tcPr>
                <w:p w14:paraId="04CA572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空间布局约束</w:t>
                  </w:r>
                </w:p>
              </w:tc>
              <w:tc>
                <w:tcPr>
                  <w:tcW w:w="405" w:type="dxa"/>
                  <w:tcBorders>
                    <w:tl2br w:val="nil"/>
                    <w:tr2bl w:val="nil"/>
                  </w:tcBorders>
                  <w:noWrap w:val="0"/>
                  <w:vAlign w:val="center"/>
                </w:tcPr>
                <w:p w14:paraId="301ED61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生态保护红线</w:t>
                  </w:r>
                </w:p>
              </w:tc>
              <w:tc>
                <w:tcPr>
                  <w:tcW w:w="2680" w:type="dxa"/>
                  <w:tcBorders>
                    <w:tl2br w:val="nil"/>
                    <w:tr2bl w:val="nil"/>
                  </w:tcBorders>
                  <w:noWrap w:val="0"/>
                  <w:vAlign w:val="center"/>
                </w:tcPr>
                <w:p w14:paraId="25C15B33">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rPr>
                  </w:pPr>
                  <w:r>
                    <w:rPr>
                      <w:rFonts w:hint="default" w:ascii="Times New Roman" w:hAnsi="Times New Roman"/>
                      <w:color w:val="auto"/>
                      <w:sz w:val="21"/>
                      <w:szCs w:val="21"/>
                      <w:lang w:val="en-US"/>
                    </w:rPr>
                    <w:t>规划范围内涉及750.37hm</w:t>
                  </w:r>
                  <w:r>
                    <w:rPr>
                      <w:rFonts w:hint="default" w:ascii="Times New Roman" w:hAnsi="Times New Roman"/>
                      <w:color w:val="auto"/>
                      <w:sz w:val="21"/>
                      <w:szCs w:val="21"/>
                      <w:vertAlign w:val="superscript"/>
                      <w:lang w:val="en-US"/>
                    </w:rPr>
                    <w:t>2</w:t>
                  </w:r>
                  <w:r>
                    <w:rPr>
                      <w:rFonts w:hint="default" w:ascii="Times New Roman" w:hAnsi="Times New Roman"/>
                      <w:color w:val="auto"/>
                      <w:sz w:val="21"/>
                      <w:szCs w:val="21"/>
                      <w:lang w:val="en-US"/>
                    </w:rPr>
                    <w:t>的国家级、省级及沿海基干林，本环评建议区内涉及的生态公益林及沿海基干林作为区域绿地予以保留，将其设为禁止开发区。</w:t>
                  </w:r>
                </w:p>
              </w:tc>
              <w:tc>
                <w:tcPr>
                  <w:tcW w:w="2407" w:type="dxa"/>
                  <w:tcBorders>
                    <w:tl2br w:val="nil"/>
                    <w:tr2bl w:val="nil"/>
                  </w:tcBorders>
                  <w:noWrap w:val="0"/>
                  <w:vAlign w:val="center"/>
                </w:tcPr>
                <w:p w14:paraId="158AE60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本项目租赁现有工业厂区，不新增用地，该厂区历史于1994年起已为工业地块（详见附件四），因此本项目不涉及占用</w:t>
                  </w:r>
                  <w:r>
                    <w:rPr>
                      <w:rFonts w:hint="default" w:ascii="Times New Roman" w:hAnsi="Times New Roman"/>
                      <w:color w:val="auto"/>
                      <w:sz w:val="21"/>
                      <w:szCs w:val="21"/>
                      <w:lang w:val="en-US"/>
                    </w:rPr>
                    <w:t>生态公益林及沿海基干林</w:t>
                  </w:r>
                  <w:r>
                    <w:rPr>
                      <w:rFonts w:hint="eastAsia" w:ascii="Times New Roman" w:hAnsi="Times New Roman"/>
                      <w:color w:val="auto"/>
                      <w:sz w:val="21"/>
                      <w:szCs w:val="21"/>
                      <w:lang w:val="en-US" w:eastAsia="zh-CN"/>
                    </w:rPr>
                    <w:t>等禁止开发区</w:t>
                  </w:r>
                </w:p>
              </w:tc>
              <w:tc>
                <w:tcPr>
                  <w:tcW w:w="656" w:type="dxa"/>
                  <w:tcBorders>
                    <w:tl2br w:val="nil"/>
                    <w:tr2bl w:val="nil"/>
                  </w:tcBorders>
                  <w:noWrap w:val="0"/>
                  <w:vAlign w:val="center"/>
                </w:tcPr>
                <w:p w14:paraId="0FC151D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符合</w:t>
                  </w:r>
                </w:p>
              </w:tc>
            </w:tr>
            <w:tr w14:paraId="4747C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4" w:type="dxa"/>
                  <w:vMerge w:val="continue"/>
                  <w:tcBorders>
                    <w:tl2br w:val="nil"/>
                    <w:tr2bl w:val="nil"/>
                  </w:tcBorders>
                  <w:noWrap w:val="0"/>
                  <w:vAlign w:val="center"/>
                </w:tcPr>
                <w:p w14:paraId="2AB59BE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rPr>
                  </w:pPr>
                </w:p>
              </w:tc>
              <w:tc>
                <w:tcPr>
                  <w:tcW w:w="405" w:type="dxa"/>
                  <w:tcBorders>
                    <w:tl2br w:val="nil"/>
                    <w:tr2bl w:val="nil"/>
                  </w:tcBorders>
                  <w:noWrap w:val="0"/>
                  <w:vAlign w:val="center"/>
                </w:tcPr>
                <w:p w14:paraId="6E8875F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生产空间</w:t>
                  </w:r>
                </w:p>
              </w:tc>
              <w:tc>
                <w:tcPr>
                  <w:tcW w:w="2680" w:type="dxa"/>
                  <w:tcBorders>
                    <w:tl2br w:val="nil"/>
                    <w:tr2bl w:val="nil"/>
                  </w:tcBorders>
                  <w:noWrap w:val="0"/>
                  <w:vAlign w:val="center"/>
                </w:tcPr>
                <w:p w14:paraId="396443B6">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（1）</w:t>
                  </w:r>
                  <w:r>
                    <w:rPr>
                      <w:rFonts w:hint="default" w:ascii="Times New Roman" w:hAnsi="Times New Roman"/>
                      <w:color w:val="auto"/>
                      <w:sz w:val="21"/>
                      <w:szCs w:val="21"/>
                      <w:lang w:val="en-US"/>
                    </w:rPr>
                    <w:t>规划范围内中、北部工业区与居住区相邻的工业地块，进行工业地块生产空间管制，最大限度保留区域原有自然生态系统。</w:t>
                  </w:r>
                </w:p>
                <w:p w14:paraId="032D1E4A">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（2）</w:t>
                  </w:r>
                  <w:r>
                    <w:rPr>
                      <w:rFonts w:hint="default" w:ascii="Times New Roman" w:hAnsi="Times New Roman"/>
                      <w:color w:val="auto"/>
                      <w:sz w:val="21"/>
                      <w:szCs w:val="21"/>
                      <w:lang w:val="en-US"/>
                    </w:rPr>
                    <w:t>钢铁产业园边界外设置100m环境防护带，防护带内已投产企业应做好大气等污染治理措施，南部临近大址村地块开发前应完成防护带内居民点搬迁。同时建设港口至厂区料仓的全封闭式皮带通廊，实现港口至企业的机械化、密闭运输系统。</w:t>
                  </w:r>
                </w:p>
                <w:p w14:paraId="42A45B9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（3）</w:t>
                  </w:r>
                  <w:r>
                    <w:rPr>
                      <w:rFonts w:hint="default" w:ascii="Times New Roman" w:hAnsi="Times New Roman"/>
                      <w:color w:val="auto"/>
                      <w:sz w:val="21"/>
                      <w:szCs w:val="21"/>
                      <w:lang w:val="en-US"/>
                    </w:rPr>
                    <w:t>规划仓储物流区不得设置大中型危险化学品库（大于550m</w:t>
                  </w:r>
                  <w:r>
                    <w:rPr>
                      <w:rFonts w:hint="default" w:ascii="Times New Roman" w:hAnsi="Times New Roman"/>
                      <w:color w:val="auto"/>
                      <w:sz w:val="21"/>
                      <w:szCs w:val="21"/>
                      <w:vertAlign w:val="superscript"/>
                      <w:lang w:val="en-US"/>
                    </w:rPr>
                    <w:t>2</w:t>
                  </w:r>
                  <w:r>
                    <w:rPr>
                      <w:rFonts w:hint="default" w:ascii="Times New Roman" w:hAnsi="Times New Roman"/>
                      <w:color w:val="auto"/>
                      <w:sz w:val="21"/>
                      <w:szCs w:val="21"/>
                      <w:lang w:val="en-US"/>
                    </w:rPr>
                    <w:t>）；设置甲类仓库的与民用建筑距离在40m以上；仓储物流区应制定完善的风险事故应急预案，并做好相应的事故风险防范措施。</w:t>
                  </w:r>
                </w:p>
              </w:tc>
              <w:tc>
                <w:tcPr>
                  <w:tcW w:w="2407" w:type="dxa"/>
                  <w:tcBorders>
                    <w:tl2br w:val="nil"/>
                    <w:tr2bl w:val="nil"/>
                  </w:tcBorders>
                  <w:noWrap w:val="0"/>
                  <w:vAlign w:val="center"/>
                </w:tcPr>
                <w:p w14:paraId="245726B2">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本项目租赁现有工业厂区，位于规划区南部，不属于规划范围内的中、北部工业区，不涉及规划中生产空间管制区域，根据园区管委会出具的园区项目审批表（详见附件六），同意项目入驻，本项目各类污染物经妥善治理后，对周边环境影响较小；</w:t>
                  </w:r>
                </w:p>
                <w:p w14:paraId="569C0F54">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（2）根据对照规划布局图，项目选址用地规划为弹性地块，不位于规划的钢铁产业园内；</w:t>
                  </w:r>
                </w:p>
                <w:p w14:paraId="2B05DD40">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（3）项目不位于规划仓储物流区，不属于仓库物流行业</w:t>
                  </w:r>
                </w:p>
              </w:tc>
              <w:tc>
                <w:tcPr>
                  <w:tcW w:w="656" w:type="dxa"/>
                  <w:tcBorders>
                    <w:tl2br w:val="nil"/>
                    <w:tr2bl w:val="nil"/>
                  </w:tcBorders>
                  <w:noWrap w:val="0"/>
                  <w:vAlign w:val="center"/>
                </w:tcPr>
                <w:p w14:paraId="1417630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符合</w:t>
                  </w:r>
                </w:p>
              </w:tc>
            </w:tr>
            <w:tr w14:paraId="70656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dxa"/>
                  <w:gridSpan w:val="2"/>
                  <w:vMerge w:val="restart"/>
                  <w:tcBorders>
                    <w:tl2br w:val="nil"/>
                    <w:tr2bl w:val="nil"/>
                  </w:tcBorders>
                  <w:noWrap w:val="0"/>
                  <w:vAlign w:val="center"/>
                </w:tcPr>
                <w:p w14:paraId="663C32F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污染物排放管控</w:t>
                  </w:r>
                </w:p>
              </w:tc>
              <w:tc>
                <w:tcPr>
                  <w:tcW w:w="2680" w:type="dxa"/>
                  <w:tcBorders>
                    <w:tl2br w:val="nil"/>
                    <w:tr2bl w:val="nil"/>
                  </w:tcBorders>
                  <w:noWrap w:val="0"/>
                  <w:vAlign w:val="center"/>
                </w:tcPr>
                <w:p w14:paraId="72B4D11A">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涉及重金属污染物排放量执行区域“等量置换”或“减量置换”原则，应在本行政区域内有明确具体的重金属污染物排放总量来源。</w:t>
                  </w:r>
                </w:p>
              </w:tc>
              <w:tc>
                <w:tcPr>
                  <w:tcW w:w="2407" w:type="dxa"/>
                  <w:tcBorders>
                    <w:tl2br w:val="nil"/>
                    <w:tr2bl w:val="nil"/>
                  </w:tcBorders>
                  <w:noWrap w:val="0"/>
                  <w:vAlign w:val="center"/>
                </w:tcPr>
                <w:p w14:paraId="268D8B60">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本项目无生产废水排放；无重金属排放</w:t>
                  </w:r>
                </w:p>
              </w:tc>
              <w:tc>
                <w:tcPr>
                  <w:tcW w:w="656" w:type="dxa"/>
                  <w:tcBorders>
                    <w:tl2br w:val="nil"/>
                    <w:tr2bl w:val="nil"/>
                  </w:tcBorders>
                  <w:noWrap w:val="0"/>
                  <w:vAlign w:val="center"/>
                </w:tcPr>
                <w:p w14:paraId="52D580B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符合</w:t>
                  </w:r>
                </w:p>
              </w:tc>
            </w:tr>
            <w:tr w14:paraId="279FA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dxa"/>
                  <w:gridSpan w:val="2"/>
                  <w:vMerge w:val="continue"/>
                  <w:tcBorders>
                    <w:tl2br w:val="nil"/>
                    <w:tr2bl w:val="nil"/>
                  </w:tcBorders>
                  <w:noWrap w:val="0"/>
                  <w:vAlign w:val="center"/>
                </w:tcPr>
                <w:p w14:paraId="454D351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rPr>
                  </w:pPr>
                </w:p>
              </w:tc>
              <w:tc>
                <w:tcPr>
                  <w:tcW w:w="2680" w:type="dxa"/>
                  <w:tcBorders>
                    <w:tl2br w:val="nil"/>
                    <w:tr2bl w:val="nil"/>
                  </w:tcBorders>
                  <w:noWrap w:val="0"/>
                  <w:vAlign w:val="center"/>
                </w:tcPr>
                <w:p w14:paraId="2E6C595F">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rPr>
                  </w:pPr>
                  <w:r>
                    <w:rPr>
                      <w:rFonts w:hint="default" w:ascii="Times New Roman" w:hAnsi="Times New Roman"/>
                      <w:color w:val="auto"/>
                      <w:sz w:val="21"/>
                      <w:szCs w:val="21"/>
                      <w:lang w:val="en-US"/>
                    </w:rPr>
                    <w:t>园区实行集中供热，因工艺需要必须自建供热锅炉的，必须使用天然气、电能等清洁能源。挥发性有机物新增排放量实行现役源2倍削减量替代</w:t>
                  </w:r>
                </w:p>
              </w:tc>
              <w:tc>
                <w:tcPr>
                  <w:tcW w:w="2407" w:type="dxa"/>
                  <w:tcBorders>
                    <w:tl2br w:val="nil"/>
                    <w:tr2bl w:val="nil"/>
                  </w:tcBorders>
                  <w:noWrap w:val="0"/>
                  <w:vAlign w:val="center"/>
                </w:tcPr>
                <w:p w14:paraId="7AA40288">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本项目不涉及锅炉使用，本项目挥发性有机物排放将按现行规定实行削减倍量替代</w:t>
                  </w:r>
                </w:p>
              </w:tc>
              <w:tc>
                <w:tcPr>
                  <w:tcW w:w="656" w:type="dxa"/>
                  <w:tcBorders>
                    <w:tl2br w:val="nil"/>
                    <w:tr2bl w:val="nil"/>
                  </w:tcBorders>
                  <w:noWrap w:val="0"/>
                  <w:vAlign w:val="center"/>
                </w:tcPr>
                <w:p w14:paraId="2A0AD38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符合</w:t>
                  </w:r>
                </w:p>
              </w:tc>
            </w:tr>
            <w:tr w14:paraId="7F161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9" w:type="dxa"/>
                  <w:gridSpan w:val="2"/>
                  <w:tcBorders>
                    <w:tl2br w:val="nil"/>
                    <w:tr2bl w:val="nil"/>
                  </w:tcBorders>
                  <w:noWrap w:val="0"/>
                  <w:vAlign w:val="center"/>
                </w:tcPr>
                <w:p w14:paraId="4F4E387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环境风险防控</w:t>
                  </w:r>
                </w:p>
              </w:tc>
              <w:tc>
                <w:tcPr>
                  <w:tcW w:w="2680" w:type="dxa"/>
                  <w:tcBorders>
                    <w:tl2br w:val="nil"/>
                    <w:tr2bl w:val="nil"/>
                  </w:tcBorders>
                  <w:noWrap w:val="0"/>
                  <w:vAlign w:val="center"/>
                </w:tcPr>
                <w:p w14:paraId="5485FBB2">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w:t>
                  </w:r>
                  <w:r>
                    <w:rPr>
                      <w:rFonts w:hint="default" w:ascii="Times New Roman" w:hAnsi="Times New Roman"/>
                      <w:color w:val="auto"/>
                      <w:sz w:val="21"/>
                      <w:szCs w:val="21"/>
                      <w:lang w:val="en-US" w:eastAsia="zh-CN"/>
                    </w:rPr>
                    <w:t>严格按照规划的产业选择入户项目。</w:t>
                  </w:r>
                </w:p>
                <w:p w14:paraId="7AF9568E">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r>
                    <w:rPr>
                      <w:rFonts w:hint="default" w:ascii="Times New Roman" w:hAnsi="Times New Roman"/>
                      <w:color w:val="auto"/>
                      <w:sz w:val="21"/>
                      <w:szCs w:val="21"/>
                      <w:lang w:val="en-US" w:eastAsia="zh-CN"/>
                    </w:rPr>
                    <w:t>重大危险源远离敏感目标。</w:t>
                  </w:r>
                </w:p>
                <w:p w14:paraId="13DB7A4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w:t>
                  </w:r>
                  <w:r>
                    <w:rPr>
                      <w:rFonts w:hint="default" w:ascii="Times New Roman" w:hAnsi="Times New Roman"/>
                      <w:color w:val="auto"/>
                      <w:sz w:val="21"/>
                      <w:szCs w:val="21"/>
                      <w:lang w:val="en-US" w:eastAsia="zh-CN"/>
                    </w:rPr>
                    <w:t>加强危险品的管理监督。</w:t>
                  </w:r>
                </w:p>
                <w:p w14:paraId="1203C6BD">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w:t>
                  </w:r>
                  <w:r>
                    <w:rPr>
                      <w:rFonts w:hint="default" w:ascii="Times New Roman" w:hAnsi="Times New Roman"/>
                      <w:color w:val="auto"/>
                      <w:sz w:val="21"/>
                      <w:szCs w:val="21"/>
                      <w:lang w:val="en-US" w:eastAsia="zh-CN"/>
                    </w:rPr>
                    <w:t>杜绝一类污染物非正常排放。</w:t>
                  </w:r>
                </w:p>
                <w:p w14:paraId="63C7DDED">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w:t>
                  </w:r>
                  <w:r>
                    <w:rPr>
                      <w:rFonts w:hint="default" w:ascii="Times New Roman" w:hAnsi="Times New Roman"/>
                      <w:color w:val="auto"/>
                      <w:sz w:val="21"/>
                      <w:szCs w:val="21"/>
                      <w:lang w:val="en-US" w:eastAsia="zh-CN"/>
                    </w:rPr>
                    <w:t>编写“突发环境事故风险应急预案”。</w:t>
                  </w:r>
                </w:p>
                <w:p w14:paraId="54E50B9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（6）</w:t>
                  </w:r>
                  <w:r>
                    <w:rPr>
                      <w:rFonts w:hint="default" w:ascii="Times New Roman" w:hAnsi="Times New Roman"/>
                      <w:color w:val="auto"/>
                      <w:sz w:val="21"/>
                      <w:szCs w:val="21"/>
                      <w:lang w:val="en-US" w:eastAsia="zh-CN"/>
                    </w:rPr>
                    <w:t>建立应急监测体系。</w:t>
                  </w:r>
                </w:p>
                <w:p w14:paraId="4812ADCF">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（7）</w:t>
                  </w:r>
                  <w:r>
                    <w:rPr>
                      <w:rFonts w:hint="default" w:ascii="Times New Roman" w:hAnsi="Times New Roman"/>
                      <w:color w:val="auto"/>
                      <w:sz w:val="21"/>
                      <w:szCs w:val="21"/>
                      <w:lang w:val="en-US" w:eastAsia="zh-CN"/>
                    </w:rPr>
                    <w:t>企业内部装置设置围堰、罐区设置防火堤以及事故应急池，制定完善的环境风险应急预案。</w:t>
                  </w:r>
                </w:p>
              </w:tc>
              <w:tc>
                <w:tcPr>
                  <w:tcW w:w="2407" w:type="dxa"/>
                  <w:tcBorders>
                    <w:tl2br w:val="nil"/>
                    <w:tr2bl w:val="nil"/>
                  </w:tcBorders>
                  <w:noWrap w:val="0"/>
                  <w:vAlign w:val="center"/>
                </w:tcPr>
                <w:p w14:paraId="528FAEA8">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（1）根据园区管委会出具的园区项目审批表（详见附件六），同意项目入驻，因此项目符合园区产业</w:t>
                  </w:r>
                  <w:r>
                    <w:rPr>
                      <w:rFonts w:hint="eastAsia"/>
                      <w:color w:val="auto"/>
                      <w:lang w:eastAsia="zh-CN"/>
                    </w:rPr>
                    <w:t>入户</w:t>
                  </w:r>
                  <w:r>
                    <w:rPr>
                      <w:rFonts w:hint="eastAsia" w:ascii="Times New Roman" w:hAnsi="Times New Roman"/>
                      <w:color w:val="auto"/>
                      <w:sz w:val="21"/>
                      <w:szCs w:val="21"/>
                      <w:lang w:val="en-US" w:eastAsia="zh-CN"/>
                    </w:rPr>
                    <w:t>要求；</w:t>
                  </w:r>
                </w:p>
                <w:p w14:paraId="5B7B538A">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（2）项目不涉及重大危险源；</w:t>
                  </w:r>
                </w:p>
                <w:p w14:paraId="6ADFF20F">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（3）项目将对厂内危险品建立管理制度，加强管理监督</w:t>
                  </w:r>
                </w:p>
                <w:p w14:paraId="4BF29E3B">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（4）项目不涉及一类污染物排放；</w:t>
                  </w:r>
                </w:p>
                <w:p w14:paraId="4580A1A8">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（5）项目将编制突发环境事故风险应急预案并完成备案；</w:t>
                  </w:r>
                </w:p>
                <w:p w14:paraId="1E36D0B6">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（6）项目将与监测单位签订应急监测协议；</w:t>
                  </w:r>
                </w:p>
                <w:p w14:paraId="2CFCC97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（7）项目无罐区设置，危废暂存间设置导流沟及集液坑防渗漏，厂区拟采用干粉灭火器，无消防废水产生，无需设置应急池，拟编制突发环境事件应急预案并备案。</w:t>
                  </w:r>
                </w:p>
              </w:tc>
              <w:tc>
                <w:tcPr>
                  <w:tcW w:w="656" w:type="dxa"/>
                  <w:tcBorders>
                    <w:tl2br w:val="nil"/>
                    <w:tr2bl w:val="nil"/>
                  </w:tcBorders>
                  <w:noWrap w:val="0"/>
                  <w:vAlign w:val="center"/>
                </w:tcPr>
                <w:p w14:paraId="4E3EE73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符合</w:t>
                  </w:r>
                </w:p>
              </w:tc>
            </w:tr>
          </w:tbl>
          <w:p w14:paraId="5A1FE667">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22" w:firstLineChars="200"/>
              <w:jc w:val="left"/>
              <w:textAlignment w:val="auto"/>
              <w:rPr>
                <w:rFonts w:hint="eastAsia" w:ascii="Times New Roman" w:hAnsi="Times New Roman"/>
                <w:b/>
                <w:bCs/>
                <w:color w:val="auto"/>
              </w:rPr>
            </w:pPr>
            <w:r>
              <w:rPr>
                <w:rFonts w:hint="eastAsia" w:ascii="Times New Roman" w:hAnsi="Times New Roman"/>
                <w:b/>
                <w:bCs/>
                <w:color w:val="auto"/>
              </w:rPr>
              <w:t>（</w:t>
            </w:r>
            <w:r>
              <w:rPr>
                <w:rFonts w:hint="eastAsia" w:ascii="Times New Roman" w:hAnsi="Times New Roman"/>
                <w:b/>
                <w:bCs/>
                <w:color w:val="auto"/>
                <w:lang w:val="en-US" w:eastAsia="zh-CN"/>
              </w:rPr>
              <w:t>3</w:t>
            </w:r>
            <w:r>
              <w:rPr>
                <w:rFonts w:hint="eastAsia" w:ascii="Times New Roman" w:hAnsi="Times New Roman"/>
                <w:b/>
                <w:bCs/>
                <w:color w:val="auto"/>
              </w:rPr>
              <w:t>）与生态建设和环境保护规划符合性分析</w:t>
            </w:r>
          </w:p>
          <w:p w14:paraId="1A4E0642">
            <w:pPr>
              <w:autoSpaceDE w:val="0"/>
              <w:autoSpaceDN w:val="0"/>
              <w:adjustRightInd w:val="0"/>
              <w:snapToGrid w:val="0"/>
              <w:spacing w:line="360" w:lineRule="auto"/>
              <w:ind w:firstLine="420" w:firstLineChars="200"/>
              <w:jc w:val="left"/>
              <w:rPr>
                <w:rFonts w:hint="eastAsia" w:ascii="Times New Roman" w:hAnsi="Times New Roman"/>
                <w:color w:val="auto"/>
              </w:rPr>
            </w:pPr>
            <w:r>
              <w:rPr>
                <w:rFonts w:hint="eastAsia" w:ascii="Times New Roman" w:hAnsi="Times New Roman"/>
                <w:color w:val="auto"/>
              </w:rPr>
              <w:t>对照《福州市滨海工业区（松下组团）总体规划（2015-2030）环境影响报告书》中“生态建设和环境保护规划调整建议”：</w:t>
            </w:r>
          </w:p>
          <w:p w14:paraId="4341881D">
            <w:pPr>
              <w:autoSpaceDE w:val="0"/>
              <w:autoSpaceDN w:val="0"/>
              <w:adjustRightInd w:val="0"/>
              <w:snapToGrid w:val="0"/>
              <w:spacing w:line="360" w:lineRule="auto"/>
              <w:ind w:firstLine="420" w:firstLineChars="200"/>
              <w:jc w:val="left"/>
              <w:rPr>
                <w:rFonts w:hint="eastAsia" w:ascii="Times New Roman" w:hAnsi="Times New Roman"/>
                <w:color w:val="auto"/>
              </w:rPr>
            </w:pPr>
            <w:r>
              <w:rPr>
                <w:rFonts w:hint="eastAsia" w:ascii="Times New Roman" w:hAnsi="Times New Roman"/>
                <w:color w:val="auto"/>
              </w:rPr>
              <w:t>①水环境保护控制：规划以《地表水环境质量标准》（GB 3838-2002）为依据，首祉溪、垅下溪水环境质量必须按Ⅲ类标准严格控制。</w:t>
            </w:r>
            <w:r>
              <w:rPr>
                <w:rFonts w:hint="eastAsia" w:ascii="Times New Roman" w:hAnsi="Times New Roman"/>
                <w:color w:val="auto"/>
                <w:lang w:eastAsia="zh-CN"/>
              </w:rPr>
              <w:t>不断完善</w:t>
            </w:r>
            <w:r>
              <w:rPr>
                <w:rFonts w:hint="eastAsia" w:ascii="Times New Roman" w:hAnsi="Times New Roman"/>
                <w:color w:val="auto"/>
              </w:rPr>
              <w:t>污水管道系统，使生活污水处理率、工业废水处理率、工业废水达标率到规划期末达到100%。</w:t>
            </w:r>
          </w:p>
          <w:p w14:paraId="6D0A5267">
            <w:pPr>
              <w:autoSpaceDE w:val="0"/>
              <w:autoSpaceDN w:val="0"/>
              <w:adjustRightInd w:val="0"/>
              <w:snapToGrid w:val="0"/>
              <w:spacing w:line="360" w:lineRule="auto"/>
              <w:ind w:firstLine="420" w:firstLineChars="200"/>
              <w:jc w:val="left"/>
              <w:rPr>
                <w:rFonts w:hint="eastAsia" w:ascii="Times New Roman" w:hAnsi="Times New Roman" w:eastAsia="宋体" w:cs="Times New Roman"/>
                <w:color w:val="auto"/>
              </w:rPr>
            </w:pPr>
            <w:r>
              <w:rPr>
                <w:rFonts w:hint="eastAsia" w:ascii="Times New Roman" w:hAnsi="Times New Roman"/>
                <w:color w:val="auto"/>
              </w:rPr>
              <w:t>②大气环境保护控制：环境空气质量执行《环境空气质量标准》</w:t>
            </w:r>
            <w:r>
              <w:rPr>
                <w:rFonts w:hint="eastAsia" w:ascii="Times New Roman" w:hAnsi="Times New Roman" w:eastAsia="宋体" w:cs="Times New Roman"/>
                <w:color w:val="auto"/>
              </w:rPr>
              <w:t>（GB3095-2012）中规定的二级标准，区域二氧化硫、氮氧化物、细颗粒物等各类大气因子年平均浓度应优于二级标准。工业废气处理率要求达到100%；烟尘控制区覆盖率达到100%；汽车尾气达标率达到100%。</w:t>
            </w:r>
          </w:p>
          <w:p w14:paraId="63051272">
            <w:pPr>
              <w:autoSpaceDE w:val="0"/>
              <w:autoSpaceDN w:val="0"/>
              <w:adjustRightInd w:val="0"/>
              <w:snapToGrid w:val="0"/>
              <w:spacing w:line="360" w:lineRule="auto"/>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③噪声控制：生活空间与工业区之间以道路或绿化带进行分隔，减少噪声、废气对规划区生态环境的破坏。居住区环境噪声控制在昼间60dB、夜间50dB；工业区环境噪声控制在昼间65dB、夜间55dB；交通干线两侧噪声控制在昼间70dB、夜间55dB。噪声达标区覆盖率为100%。</w:t>
            </w:r>
          </w:p>
          <w:p w14:paraId="39EC9CF3">
            <w:pPr>
              <w:autoSpaceDE w:val="0"/>
              <w:autoSpaceDN w:val="0"/>
              <w:adjustRightInd w:val="0"/>
              <w:snapToGrid w:val="0"/>
              <w:spacing w:line="360" w:lineRule="auto"/>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④固体废弃物控制：至规划期末，规划区生活垃圾及粪便无害化处理率达到100%；工业固体废弃物综合处理率争取达100%，综合利用率超过98%；有毒有害废弃物均处理至无害化程度。</w:t>
            </w:r>
          </w:p>
          <w:p w14:paraId="1E3B998E">
            <w:pPr>
              <w:autoSpaceDE w:val="0"/>
              <w:autoSpaceDN w:val="0"/>
              <w:adjustRightInd w:val="0"/>
              <w:snapToGrid w:val="0"/>
              <w:spacing w:line="360" w:lineRule="auto"/>
              <w:ind w:firstLine="422" w:firstLineChars="200"/>
              <w:jc w:val="left"/>
              <w:rPr>
                <w:rFonts w:hint="eastAsia" w:ascii="Times New Roman" w:hAnsi="Times New Roman"/>
                <w:color w:val="auto"/>
              </w:rPr>
            </w:pPr>
            <w:r>
              <w:rPr>
                <w:rFonts w:hint="eastAsia" w:ascii="Times New Roman" w:hAnsi="Times New Roman"/>
                <w:b/>
                <w:bCs/>
                <w:color w:val="auto"/>
              </w:rPr>
              <w:t>符合性分析：</w:t>
            </w:r>
            <w:r>
              <w:rPr>
                <w:rFonts w:hint="eastAsia" w:ascii="Times New Roman" w:hAnsi="Times New Roman"/>
                <w:color w:val="auto"/>
              </w:rPr>
              <w:t>本项目</w:t>
            </w:r>
            <w:r>
              <w:rPr>
                <w:rFonts w:hint="eastAsia" w:ascii="Times New Roman" w:hAnsi="Times New Roman"/>
                <w:color w:val="auto"/>
                <w:lang w:val="en-US" w:eastAsia="zh-CN"/>
              </w:rPr>
              <w:t>产生的清洁废水、作业区露天区域初期雨水经处理后全部回用，不外排，</w:t>
            </w:r>
            <w:r>
              <w:rPr>
                <w:rFonts w:hint="eastAsia" w:ascii="Times New Roman" w:hAnsi="Times New Roman"/>
                <w:color w:val="auto"/>
              </w:rPr>
              <w:t>生活污水</w:t>
            </w:r>
            <w:r>
              <w:rPr>
                <w:rFonts w:hint="eastAsia" w:ascii="Times New Roman" w:hAnsi="Times New Roman"/>
                <w:color w:val="auto"/>
                <w:lang w:val="en-US" w:eastAsia="zh-CN"/>
              </w:rPr>
              <w:t>经预处理</w:t>
            </w:r>
            <w:r>
              <w:rPr>
                <w:rFonts w:hint="eastAsia" w:ascii="Times New Roman" w:hAnsi="Times New Roman"/>
                <w:color w:val="auto"/>
              </w:rPr>
              <w:t>达标后</w:t>
            </w:r>
            <w:r>
              <w:rPr>
                <w:rFonts w:hint="eastAsia" w:ascii="Times New Roman" w:hAnsi="Times New Roman"/>
                <w:color w:val="auto"/>
                <w:lang w:val="en-US" w:eastAsia="zh-CN"/>
              </w:rPr>
              <w:t>通过</w:t>
            </w:r>
            <w:r>
              <w:rPr>
                <w:rFonts w:hint="eastAsia" w:ascii="Times New Roman" w:hAnsi="Times New Roman"/>
                <w:color w:val="auto"/>
              </w:rPr>
              <w:t>松下镇山前村污水管网</w:t>
            </w:r>
            <w:r>
              <w:rPr>
                <w:rFonts w:hint="eastAsia" w:ascii="Times New Roman" w:hAnsi="Times New Roman"/>
                <w:color w:val="auto"/>
                <w:lang w:eastAsia="zh-CN"/>
              </w:rPr>
              <w:t>，</w:t>
            </w:r>
            <w:r>
              <w:rPr>
                <w:rFonts w:hint="eastAsia" w:ascii="Times New Roman" w:hAnsi="Times New Roman"/>
                <w:color w:val="auto"/>
                <w:lang w:val="en-US" w:eastAsia="zh-CN"/>
              </w:rPr>
              <w:t>排入福州市长乐区松下镇山前村污水处理站集中处理，不直接排放，基本不会改变区域地表水现状质量等级；项目各废气经处理后达标排放，排放量小，对周边环境影响较小，基本不会改变区域大气环境现状质量等级；项目采取选用低噪声设备、合理布局、隔声减振等综合降噪措施，厂界噪声可达标排放，对周边声环境影响小，基本不会改变所在区域声环境现状质量等级；项目</w:t>
            </w:r>
            <w:r>
              <w:rPr>
                <w:rFonts w:hint="eastAsia" w:ascii="Times New Roman" w:hAnsi="Times New Roman"/>
                <w:color w:val="auto"/>
              </w:rPr>
              <w:t>产生的</w:t>
            </w:r>
            <w:r>
              <w:rPr>
                <w:rFonts w:hint="eastAsia" w:ascii="Times New Roman" w:hAnsi="Times New Roman"/>
                <w:color w:val="auto"/>
                <w:lang w:val="en-US" w:eastAsia="zh-CN"/>
              </w:rPr>
              <w:t>各类</w:t>
            </w:r>
            <w:r>
              <w:rPr>
                <w:rFonts w:hint="eastAsia" w:ascii="Times New Roman" w:hAnsi="Times New Roman"/>
                <w:color w:val="auto"/>
              </w:rPr>
              <w:t>固体废物</w:t>
            </w:r>
            <w:r>
              <w:rPr>
                <w:rFonts w:hint="eastAsia" w:ascii="Times New Roman" w:hAnsi="Times New Roman"/>
                <w:color w:val="auto"/>
                <w:lang w:val="en-US" w:eastAsia="zh-CN"/>
              </w:rPr>
              <w:t>均妥善处理，</w:t>
            </w:r>
            <w:r>
              <w:rPr>
                <w:rFonts w:hint="eastAsia" w:ascii="Times New Roman" w:hAnsi="Times New Roman"/>
                <w:color w:val="auto"/>
              </w:rPr>
              <w:t>处理</w:t>
            </w:r>
            <w:r>
              <w:rPr>
                <w:rFonts w:hint="eastAsia" w:ascii="Times New Roman" w:hAnsi="Times New Roman"/>
                <w:color w:val="auto"/>
                <w:lang w:val="en-US" w:eastAsia="zh-CN"/>
              </w:rPr>
              <w:t>率达</w:t>
            </w:r>
            <w:r>
              <w:rPr>
                <w:rFonts w:hint="eastAsia" w:ascii="Times New Roman" w:hAnsi="Times New Roman"/>
                <w:color w:val="auto"/>
              </w:rPr>
              <w:t>100%。因此，本项目建设与</w:t>
            </w:r>
            <w:r>
              <w:rPr>
                <w:rFonts w:hint="eastAsia" w:ascii="Times New Roman" w:hAnsi="Times New Roman"/>
                <w:color w:val="auto"/>
                <w:lang w:val="en-US" w:eastAsia="zh-CN"/>
              </w:rPr>
              <w:t>规划环评中“</w:t>
            </w:r>
            <w:r>
              <w:rPr>
                <w:rFonts w:hint="eastAsia" w:ascii="Times New Roman" w:hAnsi="Times New Roman"/>
                <w:color w:val="auto"/>
              </w:rPr>
              <w:t>生态建设和环境保护规划</w:t>
            </w:r>
            <w:r>
              <w:rPr>
                <w:rFonts w:hint="eastAsia" w:ascii="Times New Roman" w:hAnsi="Times New Roman"/>
                <w:color w:val="auto"/>
                <w:lang w:eastAsia="zh-CN"/>
              </w:rPr>
              <w:t>”</w:t>
            </w:r>
            <w:r>
              <w:rPr>
                <w:rFonts w:hint="eastAsia" w:ascii="Times New Roman" w:hAnsi="Times New Roman"/>
                <w:color w:val="auto"/>
                <w:lang w:val="en-US" w:eastAsia="zh-CN"/>
              </w:rPr>
              <w:t>要求</w:t>
            </w:r>
            <w:r>
              <w:rPr>
                <w:rFonts w:hint="eastAsia" w:ascii="Times New Roman" w:hAnsi="Times New Roman"/>
                <w:color w:val="auto"/>
              </w:rPr>
              <w:t>相符。</w:t>
            </w:r>
          </w:p>
          <w:p w14:paraId="55DFBC8E">
            <w:pPr>
              <w:autoSpaceDE w:val="0"/>
              <w:autoSpaceDN w:val="0"/>
              <w:adjustRightInd w:val="0"/>
              <w:snapToGrid w:val="0"/>
              <w:spacing w:line="360" w:lineRule="auto"/>
              <w:ind w:firstLine="422" w:firstLineChars="200"/>
              <w:jc w:val="left"/>
              <w:rPr>
                <w:rFonts w:hint="eastAsia" w:ascii="Times New Roman" w:hAnsi="Times New Roman"/>
                <w:b/>
                <w:bCs/>
                <w:color w:val="auto"/>
              </w:rPr>
            </w:pPr>
            <w:r>
              <w:rPr>
                <w:rFonts w:hint="eastAsia" w:ascii="Times New Roman" w:hAnsi="Times New Roman"/>
                <w:b/>
                <w:bCs/>
                <w:color w:val="auto"/>
              </w:rPr>
              <w:t>（</w:t>
            </w:r>
            <w:r>
              <w:rPr>
                <w:rFonts w:hint="eastAsia" w:ascii="Times New Roman" w:hAnsi="Times New Roman"/>
                <w:b/>
                <w:bCs/>
                <w:color w:val="auto"/>
                <w:lang w:val="en-US" w:eastAsia="zh-CN"/>
              </w:rPr>
              <w:t>4</w:t>
            </w:r>
            <w:r>
              <w:rPr>
                <w:rFonts w:hint="eastAsia" w:ascii="Times New Roman" w:hAnsi="Times New Roman"/>
                <w:b/>
                <w:bCs/>
                <w:color w:val="auto"/>
              </w:rPr>
              <w:t>）与规划产业结构和产业定位调整建议符合性分析</w:t>
            </w:r>
          </w:p>
          <w:p w14:paraId="4D036541">
            <w:pPr>
              <w:autoSpaceDE w:val="0"/>
              <w:autoSpaceDN w:val="0"/>
              <w:adjustRightInd w:val="0"/>
              <w:snapToGrid w:val="0"/>
              <w:spacing w:line="360" w:lineRule="auto"/>
              <w:ind w:firstLine="420" w:firstLineChars="200"/>
              <w:jc w:val="left"/>
              <w:rPr>
                <w:rFonts w:hint="eastAsia" w:ascii="Times New Roman" w:hAnsi="Times New Roman"/>
                <w:color w:val="auto"/>
              </w:rPr>
            </w:pPr>
            <w:r>
              <w:rPr>
                <w:rFonts w:hint="eastAsia" w:ascii="Times New Roman" w:hAnsi="Times New Roman"/>
                <w:color w:val="auto"/>
              </w:rPr>
              <w:t>对照《福州市滨海工业区（松下组团）总体规划（2015-2030）环境影响报告书》中“规划产业结构和产业定位调整建议”：</w:t>
            </w:r>
          </w:p>
          <w:p w14:paraId="2808A9DD">
            <w:pPr>
              <w:autoSpaceDE w:val="0"/>
              <w:autoSpaceDN w:val="0"/>
              <w:adjustRightInd w:val="0"/>
              <w:snapToGrid w:val="0"/>
              <w:spacing w:line="360" w:lineRule="auto"/>
              <w:ind w:firstLine="420" w:firstLineChars="200"/>
              <w:jc w:val="left"/>
              <w:rPr>
                <w:rFonts w:hint="eastAsia" w:ascii="Times New Roman" w:hAnsi="Times New Roman"/>
                <w:color w:val="auto"/>
              </w:rPr>
            </w:pPr>
            <w:r>
              <w:rPr>
                <w:rFonts w:hint="eastAsia" w:ascii="Times New Roman" w:hAnsi="Times New Roman"/>
                <w:color w:val="auto"/>
              </w:rPr>
              <w:t>①松下片区应以产业的高端形态、高附加值为发展目标，充分发挥区位和政策优势，优化产业结构，不断发展壮大第三产业。产业结构的优化调整有利于水耗、能耗的降低，减少污染物的排放，改善区域环境质量，有利于生态文明建设。引进的各类企业应符合环境准入负面清单。</w:t>
            </w:r>
          </w:p>
          <w:p w14:paraId="055E1B2C">
            <w:pPr>
              <w:autoSpaceDE w:val="0"/>
              <w:autoSpaceDN w:val="0"/>
              <w:adjustRightInd w:val="0"/>
              <w:snapToGrid w:val="0"/>
              <w:spacing w:line="360" w:lineRule="auto"/>
              <w:ind w:firstLine="420" w:firstLineChars="200"/>
              <w:jc w:val="left"/>
              <w:rPr>
                <w:rFonts w:hint="eastAsia" w:ascii="Times New Roman" w:hAnsi="Times New Roman"/>
                <w:color w:val="auto"/>
              </w:rPr>
            </w:pPr>
            <w:r>
              <w:rPr>
                <w:rFonts w:hint="eastAsia" w:ascii="Times New Roman" w:hAnsi="Times New Roman"/>
                <w:color w:val="auto"/>
              </w:rPr>
              <w:t>②区内机械行业禁止引进电镀项目和铅蓄电池制造，生产工序中涉及电镀工序应外协，禁止新建普通锻铸件项目，严禁新建或改建项目使用中频炉连铸机生产法兰盘。在国家有关政策未明确前，严禁新建或改造采用中频炉、连铸机工艺生产“四轮一带”铸锻件等机械类产品的项目。</w:t>
            </w:r>
          </w:p>
          <w:p w14:paraId="12CDA9D4">
            <w:pPr>
              <w:autoSpaceDE w:val="0"/>
              <w:autoSpaceDN w:val="0"/>
              <w:adjustRightInd w:val="0"/>
              <w:snapToGrid w:val="0"/>
              <w:spacing w:line="360" w:lineRule="auto"/>
              <w:ind w:firstLine="420" w:firstLineChars="200"/>
              <w:jc w:val="left"/>
              <w:rPr>
                <w:rFonts w:hint="eastAsia" w:ascii="Times New Roman" w:hAnsi="Times New Roman"/>
                <w:color w:val="auto"/>
              </w:rPr>
            </w:pPr>
            <w:r>
              <w:rPr>
                <w:rFonts w:hint="eastAsia" w:ascii="Times New Roman" w:hAnsi="Times New Roman"/>
                <w:color w:val="auto"/>
              </w:rPr>
              <w:t>③松下片区不属于福建省国控、省控重金属污染重点防控区域，但涉及排放废水中含镉、铬、汞、砷、铅等重金属的行业，应实施区域总量控制和调剂，必须进行“等量置换”或“减量置换”，实现重金属污染物排放零增长。</w:t>
            </w:r>
          </w:p>
          <w:p w14:paraId="443C6524">
            <w:pPr>
              <w:autoSpaceDE w:val="0"/>
              <w:autoSpaceDN w:val="0"/>
              <w:adjustRightInd w:val="0"/>
              <w:snapToGrid w:val="0"/>
              <w:spacing w:line="360" w:lineRule="auto"/>
              <w:ind w:firstLine="420" w:firstLineChars="200"/>
              <w:jc w:val="left"/>
              <w:rPr>
                <w:rFonts w:hint="eastAsia" w:ascii="Times New Roman" w:hAnsi="Times New Roman"/>
                <w:color w:val="auto"/>
              </w:rPr>
            </w:pPr>
            <w:r>
              <w:rPr>
                <w:rFonts w:hint="eastAsia" w:ascii="Times New Roman" w:hAnsi="Times New Roman"/>
                <w:color w:val="auto"/>
              </w:rPr>
              <w:t>④严格控制产生挥发性有机物的机械行业表面涂装、印染产业发展规模。VOCs是形成雾霾的前体物，VOCs的排放有增加区域雾霾天气发生的</w:t>
            </w:r>
            <w:r>
              <w:rPr>
                <w:rFonts w:hint="eastAsia" w:ascii="Times New Roman" w:hAnsi="Times New Roman"/>
                <w:color w:val="auto"/>
                <w:lang w:eastAsia="zh-CN"/>
              </w:rPr>
              <w:t>机</w:t>
            </w:r>
            <w:r>
              <w:rPr>
                <w:rFonts w:hint="eastAsia" w:ascii="Times New Roman" w:hAnsi="Times New Roman"/>
                <w:color w:val="auto"/>
              </w:rPr>
              <w:t>率，应严格控制VOCs的排放。</w:t>
            </w:r>
          </w:p>
          <w:p w14:paraId="301EC287">
            <w:pPr>
              <w:autoSpaceDE w:val="0"/>
              <w:autoSpaceDN w:val="0"/>
              <w:adjustRightInd w:val="0"/>
              <w:snapToGrid w:val="0"/>
              <w:spacing w:line="360" w:lineRule="auto"/>
              <w:ind w:firstLine="420" w:firstLineChars="200"/>
              <w:jc w:val="left"/>
              <w:rPr>
                <w:rFonts w:hint="eastAsia" w:ascii="Times New Roman" w:hAnsi="Times New Roman"/>
                <w:color w:val="auto"/>
              </w:rPr>
            </w:pPr>
            <w:r>
              <w:rPr>
                <w:rFonts w:hint="eastAsia" w:ascii="Times New Roman" w:hAnsi="Times New Roman"/>
                <w:color w:val="auto"/>
              </w:rPr>
              <w:t>⑤区内不新上钢铁冶炼厂，大东海钢铁厂规模控制炼铁产能550万t/a、炼钢550万t/a。禁止使用中频炉生产普碳钢、“地条钢”，或作为主要冶炼设备生产不锈钢。</w:t>
            </w:r>
          </w:p>
          <w:p w14:paraId="6FF7488B">
            <w:pPr>
              <w:autoSpaceDE w:val="0"/>
              <w:autoSpaceDN w:val="0"/>
              <w:adjustRightInd w:val="0"/>
              <w:snapToGrid w:val="0"/>
              <w:spacing w:line="360" w:lineRule="auto"/>
              <w:ind w:firstLine="420" w:firstLineChars="200"/>
              <w:jc w:val="left"/>
              <w:rPr>
                <w:rFonts w:hint="eastAsia" w:ascii="Times New Roman" w:hAnsi="Times New Roman"/>
                <w:color w:val="auto"/>
              </w:rPr>
            </w:pPr>
            <w:r>
              <w:rPr>
                <w:rFonts w:hint="eastAsia" w:ascii="Times New Roman" w:hAnsi="Times New Roman"/>
                <w:color w:val="auto"/>
              </w:rPr>
              <w:t>⑥在松下组团印染集控区建成之前，不得扩大区内印染产能。</w:t>
            </w:r>
          </w:p>
          <w:p w14:paraId="43319DBD">
            <w:pPr>
              <w:autoSpaceDE w:val="0"/>
              <w:autoSpaceDN w:val="0"/>
              <w:adjustRightInd w:val="0"/>
              <w:snapToGrid w:val="0"/>
              <w:spacing w:line="360" w:lineRule="auto"/>
              <w:ind w:firstLine="420" w:firstLineChars="200"/>
              <w:jc w:val="left"/>
              <w:rPr>
                <w:rFonts w:hint="eastAsia" w:ascii="Times New Roman" w:hAnsi="Times New Roman"/>
                <w:color w:val="auto"/>
              </w:rPr>
            </w:pPr>
            <w:r>
              <w:rPr>
                <w:rFonts w:hint="eastAsia" w:ascii="Times New Roman" w:hAnsi="Times New Roman"/>
                <w:color w:val="auto"/>
              </w:rPr>
              <w:t>⑦调整产业定位，禁止新的精细化工企业入区。</w:t>
            </w:r>
          </w:p>
          <w:p w14:paraId="0A5371BD">
            <w:pPr>
              <w:autoSpaceDE w:val="0"/>
              <w:autoSpaceDN w:val="0"/>
              <w:adjustRightInd w:val="0"/>
              <w:snapToGrid w:val="0"/>
              <w:spacing w:line="360" w:lineRule="auto"/>
              <w:ind w:firstLine="422" w:firstLineChars="200"/>
              <w:jc w:val="left"/>
              <w:rPr>
                <w:rFonts w:hint="eastAsia" w:ascii="Times New Roman" w:hAnsi="Times New Roman"/>
                <w:color w:val="auto"/>
              </w:rPr>
            </w:pPr>
            <w:r>
              <w:rPr>
                <w:rFonts w:hint="eastAsia" w:ascii="Times New Roman" w:hAnsi="Times New Roman"/>
                <w:b/>
                <w:bCs/>
                <w:color w:val="auto"/>
              </w:rPr>
              <w:t>符合性分析：</w:t>
            </w:r>
            <w:r>
              <w:rPr>
                <w:rFonts w:hint="eastAsia" w:ascii="Times New Roman" w:hAnsi="Times New Roman" w:eastAsia="宋体" w:cs="Times New Roman"/>
                <w:color w:val="auto"/>
                <w:lang w:val="en-US" w:eastAsia="zh-CN"/>
              </w:rPr>
              <w:t>根据上文产业准入清单及生态环境准入清单分析，项目符合准入清单要求，项目主要从事废机动车、废电机、废变压器拆解回收，不属于调整建议中禁止类、控制类项目，不进行调整建议中所列锻造、铸造、电镀等工序，不涉及重金属的排放，项目产生的VOCs主要为废油废液抽取过程产生，拟配套“过滤棉+双级活性炭吸附装置”处理后达标高空排放，排放量小，对周边环境影响较小。</w:t>
            </w:r>
            <w:r>
              <w:rPr>
                <w:rFonts w:hint="eastAsia" w:ascii="Times New Roman" w:hAnsi="Times New Roman"/>
                <w:color w:val="auto"/>
              </w:rPr>
              <w:t>因此，本项目与</w:t>
            </w:r>
            <w:r>
              <w:rPr>
                <w:rFonts w:hint="eastAsia" w:ascii="Times New Roman" w:hAnsi="Times New Roman"/>
                <w:color w:val="auto"/>
                <w:lang w:eastAsia="zh-CN"/>
              </w:rPr>
              <w:t>“</w:t>
            </w:r>
            <w:r>
              <w:rPr>
                <w:rFonts w:hint="eastAsia" w:ascii="Times New Roman" w:hAnsi="Times New Roman"/>
                <w:color w:val="auto"/>
              </w:rPr>
              <w:t>规划产业结构和产业定位调整建议</w:t>
            </w:r>
            <w:r>
              <w:rPr>
                <w:rFonts w:hint="eastAsia" w:ascii="Times New Roman" w:hAnsi="Times New Roman"/>
                <w:color w:val="auto"/>
                <w:lang w:eastAsia="zh-CN"/>
              </w:rPr>
              <w:t>”</w:t>
            </w:r>
            <w:r>
              <w:rPr>
                <w:rFonts w:hint="eastAsia" w:ascii="Times New Roman" w:hAnsi="Times New Roman"/>
                <w:color w:val="auto"/>
              </w:rPr>
              <w:t>相符。</w:t>
            </w:r>
            <w:r>
              <w:rPr>
                <w:rFonts w:hint="eastAsia" w:ascii="Times New Roman" w:hAnsi="Times New Roman"/>
                <w:color w:val="auto"/>
                <w:lang w:val="en-US" w:eastAsia="zh-CN"/>
              </w:rPr>
              <w:t>根据园区管委会出具的园区项目审批表（详见附件六），同意建设单位在</w:t>
            </w:r>
            <w:r>
              <w:rPr>
                <w:rFonts w:hint="eastAsia" w:ascii="Times New Roman" w:hAnsi="Times New Roman"/>
                <w:color w:val="auto"/>
              </w:rPr>
              <w:t>福州市长乐区松下镇山前村新村东区66号</w:t>
            </w:r>
            <w:r>
              <w:rPr>
                <w:rFonts w:hint="eastAsia" w:ascii="Times New Roman" w:hAnsi="Times New Roman"/>
                <w:color w:val="auto"/>
                <w:lang w:val="en-US" w:eastAsia="zh-CN"/>
              </w:rPr>
              <w:t>从事“一般生产性废旧金属回收；再生资源加工；报废机动车回收、拆解”类经营活动。</w:t>
            </w:r>
          </w:p>
          <w:p w14:paraId="17887909">
            <w:pPr>
              <w:autoSpaceDE w:val="0"/>
              <w:autoSpaceDN w:val="0"/>
              <w:adjustRightInd w:val="0"/>
              <w:snapToGrid w:val="0"/>
              <w:spacing w:line="360" w:lineRule="auto"/>
              <w:ind w:firstLine="420" w:firstLineChars="200"/>
              <w:jc w:val="left"/>
              <w:rPr>
                <w:rFonts w:hint="eastAsia" w:ascii="Times New Roman" w:hAnsi="Times New Roman" w:eastAsia="宋体" w:cs="Times New Roman"/>
                <w:b/>
                <w:bCs/>
                <w:color w:val="auto"/>
              </w:rPr>
            </w:pPr>
            <w:r>
              <w:rPr>
                <w:rFonts w:hint="eastAsia" w:ascii="Times New Roman" w:hAnsi="Times New Roman" w:eastAsia="宋体" w:cs="Times New Roman"/>
                <w:color w:val="auto"/>
              </w:rPr>
              <w:t>综上所述，本项目符合《福州市滨海工业区（松下组团）总体规划2015-2030）环境影响报告书》</w:t>
            </w:r>
            <w:r>
              <w:rPr>
                <w:rFonts w:hint="eastAsia" w:ascii="Times New Roman" w:hAnsi="Times New Roman" w:eastAsia="宋体" w:cs="Times New Roman"/>
                <w:color w:val="auto"/>
                <w:lang w:val="en-US" w:eastAsia="zh-CN"/>
              </w:rPr>
              <w:t>中相关准入要求</w:t>
            </w:r>
            <w:r>
              <w:rPr>
                <w:rFonts w:hint="eastAsia" w:ascii="Times New Roman" w:hAnsi="Times New Roman" w:eastAsia="宋体" w:cs="Times New Roman"/>
                <w:color w:val="auto"/>
              </w:rPr>
              <w:t>。</w:t>
            </w:r>
          </w:p>
          <w:p w14:paraId="24035015">
            <w:pPr>
              <w:autoSpaceDE w:val="0"/>
              <w:autoSpaceDN w:val="0"/>
              <w:adjustRightInd w:val="0"/>
              <w:snapToGrid w:val="0"/>
              <w:spacing w:line="360" w:lineRule="auto"/>
              <w:jc w:val="left"/>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3、与</w:t>
            </w:r>
            <w:r>
              <w:rPr>
                <w:rFonts w:hint="eastAsia" w:ascii="Times New Roman" w:hAnsi="Times New Roman" w:eastAsia="宋体" w:cs="Times New Roman"/>
                <w:b/>
                <w:bCs/>
                <w:color w:val="auto"/>
                <w:lang w:val="en-US" w:eastAsia="zh-CN"/>
              </w:rPr>
              <w:t>《</w:t>
            </w:r>
            <w:r>
              <w:rPr>
                <w:rFonts w:hint="eastAsia" w:ascii="Times New Roman" w:hAnsi="Times New Roman" w:eastAsia="宋体" w:cs="Times New Roman"/>
                <w:b/>
                <w:bCs/>
                <w:color w:val="auto"/>
              </w:rPr>
              <w:t>福州市滨海工业区（松下组团）总体规划（2015-2030）环境影响报告书审查意见</w:t>
            </w:r>
            <w:r>
              <w:rPr>
                <w:rFonts w:hint="eastAsia" w:ascii="Times New Roman" w:hAnsi="Times New Roman" w:eastAsia="宋体" w:cs="Times New Roman"/>
                <w:b/>
                <w:bCs/>
                <w:color w:val="auto"/>
                <w:lang w:val="en-US" w:eastAsia="zh-CN"/>
              </w:rPr>
              <w:t>》（榕环保评[2020]23号）</w:t>
            </w:r>
            <w:r>
              <w:rPr>
                <w:rFonts w:hint="eastAsia" w:ascii="Times New Roman" w:hAnsi="Times New Roman" w:eastAsia="宋体" w:cs="Times New Roman"/>
                <w:b/>
                <w:bCs/>
                <w:color w:val="auto"/>
              </w:rPr>
              <w:t>符合性分析</w:t>
            </w:r>
          </w:p>
          <w:p w14:paraId="0833D5EE">
            <w:pPr>
              <w:autoSpaceDE w:val="0"/>
              <w:autoSpaceDN w:val="0"/>
              <w:adjustRightInd w:val="0"/>
              <w:snapToGrid w:val="0"/>
              <w:spacing w:line="360" w:lineRule="auto"/>
              <w:ind w:firstLine="420" w:firstLineChars="200"/>
              <w:jc w:val="left"/>
              <w:rPr>
                <w:rFonts w:hint="eastAsia" w:ascii="Times New Roman" w:hAnsi="Times New Roman"/>
                <w:color w:val="auto"/>
                <w:lang w:val="en-US" w:eastAsia="zh-CN"/>
              </w:rPr>
            </w:pPr>
            <w:r>
              <w:rPr>
                <w:rFonts w:hint="eastAsia" w:ascii="Times New Roman" w:hAnsi="Times New Roman"/>
                <w:color w:val="auto"/>
              </w:rPr>
              <w:t>对照《</w:t>
            </w:r>
            <w:r>
              <w:rPr>
                <w:rFonts w:hint="eastAsia" w:ascii="Times New Roman" w:hAnsi="Times New Roman"/>
                <w:color w:val="auto"/>
                <w:kern w:val="0"/>
                <w:szCs w:val="21"/>
              </w:rPr>
              <w:t>福州市滨海工业区（松下组团）总体规划（2015-2030）环境影响报告书审查意见</w:t>
            </w:r>
            <w:r>
              <w:rPr>
                <w:rFonts w:hint="eastAsia" w:ascii="Times New Roman" w:hAnsi="Times New Roman"/>
                <w:color w:val="auto"/>
              </w:rPr>
              <w:t>》（详见附件</w:t>
            </w:r>
            <w:r>
              <w:rPr>
                <w:rFonts w:hint="eastAsia" w:ascii="Times New Roman" w:hAnsi="Times New Roman"/>
                <w:color w:val="auto"/>
                <w:lang w:eastAsia="zh-CN"/>
              </w:rPr>
              <w:t>七</w:t>
            </w:r>
            <w:r>
              <w:rPr>
                <w:rFonts w:hint="eastAsia" w:ascii="Times New Roman" w:hAnsi="Times New Roman"/>
                <w:color w:val="auto"/>
              </w:rPr>
              <w:t>）中</w:t>
            </w:r>
            <w:r>
              <w:rPr>
                <w:rFonts w:hint="eastAsia" w:ascii="Times New Roman" w:hAnsi="Times New Roman"/>
                <w:color w:val="auto"/>
                <w:lang w:val="en-US" w:eastAsia="zh-CN"/>
              </w:rPr>
              <w:t>相关要求（摘录）：</w:t>
            </w:r>
          </w:p>
          <w:p w14:paraId="23F44FF6">
            <w:pPr>
              <w:autoSpaceDE w:val="0"/>
              <w:autoSpaceDN w:val="0"/>
              <w:adjustRightInd w:val="0"/>
              <w:snapToGrid w:val="0"/>
              <w:spacing w:line="360" w:lineRule="auto"/>
              <w:ind w:firstLine="420" w:firstLineChars="200"/>
              <w:jc w:val="left"/>
              <w:rPr>
                <w:rFonts w:hint="default" w:ascii="Times New Roman" w:hAnsi="Times New Roman"/>
                <w:color w:val="auto"/>
                <w:lang w:val="en-US" w:eastAsia="zh-CN"/>
              </w:rPr>
            </w:pPr>
            <w:r>
              <w:rPr>
                <w:rFonts w:hint="eastAsia" w:ascii="Times New Roman" w:hAnsi="Times New Roman"/>
                <w:color w:val="auto"/>
                <w:lang w:val="en-US" w:eastAsia="zh-CN"/>
              </w:rPr>
              <w:t>（1）严格空间管控。将省道201以西的松下镇居住用地及西部山体调出规划范围。落实《报告书》划定的生态红线控制和用地布局调整要求，规划区涉及的基本农田、生态公益林、沿海基干林带应作为区域开发建设的生态空间，不得挤压侵占。钢铁等大气环境影响突出的项目选址应远离居住用地。工业用地与居住用地之间应规划足够距离的环保控制带，控制带内严格限制新增居住、学校、医院等用地，妥善做好可能受影响范围内居民的搬迁安置。</w:t>
            </w:r>
          </w:p>
          <w:p w14:paraId="3FDB4E18">
            <w:pPr>
              <w:autoSpaceDE w:val="0"/>
              <w:autoSpaceDN w:val="0"/>
              <w:adjustRightInd w:val="0"/>
              <w:snapToGrid w:val="0"/>
              <w:spacing w:line="360" w:lineRule="auto"/>
              <w:ind w:firstLine="420" w:firstLineChars="200"/>
              <w:jc w:val="left"/>
              <w:rPr>
                <w:rFonts w:hint="eastAsia" w:ascii="Times New Roman" w:hAnsi="Times New Roman" w:eastAsia="宋体" w:cs="Times New Roman"/>
                <w:color w:val="auto"/>
              </w:rPr>
            </w:pPr>
            <w:r>
              <w:rPr>
                <w:rFonts w:hint="eastAsia" w:ascii="Times New Roman" w:hAnsi="Times New Roman"/>
                <w:color w:val="auto"/>
                <w:lang w:val="en-US" w:eastAsia="zh-CN"/>
              </w:rPr>
              <w:t>（2）</w:t>
            </w:r>
            <w:r>
              <w:rPr>
                <w:rFonts w:hint="eastAsia" w:ascii="Times New Roman" w:hAnsi="Times New Roman"/>
                <w:color w:val="auto"/>
              </w:rPr>
              <w:t>严格环境准入。取消规划的精细化工、能源产业，禁止引进电镀项目及电镀工序。根据区域产业发展规划，严格控制钢铁冶炼规模，引进的钢</w:t>
            </w:r>
            <w:r>
              <w:rPr>
                <w:rFonts w:hint="eastAsia" w:ascii="Times New Roman" w:hAnsi="Times New Roman" w:eastAsia="宋体" w:cs="Times New Roman"/>
                <w:color w:val="auto"/>
              </w:rPr>
              <w:t>铁项目能耗、物耗、产排污应达到清洁生产国际先进水平，大气污染物执行钢铁行业超低排放限值，生产废水应全部回用不外排。严格控制新建VOCs排放量大的项目，加强区内企业VOCs的排放控制和综合整治，避免区域大气复合型污染。禁止新建、扩建印染项目，现有印染企业应提升改造，适时调整、退出。</w:t>
            </w:r>
          </w:p>
          <w:p w14:paraId="32CA7583">
            <w:pPr>
              <w:autoSpaceDE w:val="0"/>
              <w:autoSpaceDN w:val="0"/>
              <w:adjustRightInd w:val="0"/>
              <w:snapToGrid w:val="0"/>
              <w:spacing w:line="360" w:lineRule="auto"/>
              <w:ind w:firstLine="422" w:firstLineChars="200"/>
              <w:jc w:val="left"/>
              <w:rPr>
                <w:rFonts w:hint="default" w:ascii="Times New Roman" w:hAnsi="Times New Roman"/>
                <w:color w:val="auto"/>
                <w:lang w:val="en-US" w:eastAsia="zh-CN"/>
              </w:rPr>
            </w:pPr>
            <w:r>
              <w:rPr>
                <w:rFonts w:hint="eastAsia" w:ascii="Times New Roman" w:hAnsi="Times New Roman" w:eastAsia="宋体" w:cs="Times New Roman"/>
                <w:b/>
                <w:bCs/>
                <w:color w:val="auto"/>
              </w:rPr>
              <w:t>符合性分析：</w:t>
            </w:r>
            <w:r>
              <w:rPr>
                <w:rFonts w:hint="eastAsia" w:ascii="Times New Roman" w:hAnsi="Times New Roman" w:eastAsia="宋体" w:cs="Times New Roman"/>
                <w:color w:val="auto"/>
                <w:lang w:val="en-US" w:eastAsia="zh-CN"/>
              </w:rPr>
              <w:t>本项目租赁现有工业厂区，不涉及新增用地，因此选址不涉及基本农田、生态公益林、沿海基干林带等禁止开发生态空间，本项目主要从事废机动车、废电机、废变压器回收拆解，不属于上述钢铁、精细化工、印染等限制及禁止类产业，</w:t>
            </w:r>
            <w:r>
              <w:rPr>
                <w:rFonts w:hint="default" w:ascii="Times New Roman" w:hAnsi="Times New Roman" w:eastAsia="宋体" w:cs="Times New Roman"/>
                <w:color w:val="auto"/>
                <w:lang w:val="en-US" w:eastAsia="zh-CN"/>
              </w:rPr>
              <w:t>根据园区管委会出具的园区项目审批表（详见附件六），同意项目入驻</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rPr>
              <w:t>项目产生的VOCs</w:t>
            </w:r>
            <w:r>
              <w:rPr>
                <w:rFonts w:hint="eastAsia" w:ascii="Times New Roman" w:hAnsi="Times New Roman" w:eastAsia="宋体" w:cs="Times New Roman"/>
                <w:color w:val="auto"/>
                <w:lang w:val="en-US" w:eastAsia="zh-CN"/>
              </w:rPr>
              <w:t>拟配套“过滤棉+双级活性炭吸附装置”处理后达标高空排放，排放量较小，项目运营期各类污染物将经妥善处理，对周边环境影响较小，</w:t>
            </w:r>
            <w:r>
              <w:rPr>
                <w:rFonts w:hint="eastAsia" w:ascii="Times New Roman" w:hAnsi="Times New Roman" w:eastAsia="宋体" w:cs="Times New Roman"/>
                <w:color w:val="auto"/>
              </w:rPr>
              <w:t>因此，本项目</w:t>
            </w:r>
            <w:r>
              <w:rPr>
                <w:rFonts w:hint="eastAsia" w:ascii="Times New Roman" w:hAnsi="Times New Roman" w:eastAsia="宋体" w:cs="Times New Roman"/>
                <w:color w:val="auto"/>
                <w:lang w:val="en-US" w:eastAsia="zh-CN"/>
              </w:rPr>
              <w:t>符合</w:t>
            </w:r>
            <w:r>
              <w:rPr>
                <w:rFonts w:hint="eastAsia" w:ascii="Times New Roman" w:hAnsi="Times New Roman" w:eastAsia="宋体" w:cs="Times New Roman"/>
                <w:color w:val="auto"/>
              </w:rPr>
              <w:t>规划环评审查</w:t>
            </w:r>
            <w:r>
              <w:rPr>
                <w:rFonts w:hint="eastAsia" w:ascii="Times New Roman" w:hAnsi="Times New Roman" w:eastAsia="宋体" w:cs="Times New Roman"/>
                <w:color w:val="auto"/>
                <w:lang w:eastAsia="zh-CN"/>
              </w:rPr>
              <w:t>意见（榕环保评[2020]23号）</w:t>
            </w:r>
            <w:r>
              <w:rPr>
                <w:rFonts w:hint="eastAsia" w:ascii="Times New Roman" w:hAnsi="Times New Roman" w:eastAsia="宋体" w:cs="Times New Roman"/>
                <w:color w:val="auto"/>
                <w:lang w:val="en-US" w:eastAsia="zh-CN"/>
              </w:rPr>
              <w:t>中相关要求</w:t>
            </w:r>
            <w:r>
              <w:rPr>
                <w:rFonts w:hint="eastAsia" w:ascii="Times New Roman" w:hAnsi="Times New Roman" w:eastAsia="宋体" w:cs="Times New Roman"/>
                <w:color w:val="auto"/>
              </w:rPr>
              <w:t>。</w:t>
            </w:r>
          </w:p>
        </w:tc>
      </w:tr>
      <w:tr w14:paraId="0B021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2167" w:type="dxa"/>
            <w:noWrap w:val="0"/>
            <w:vAlign w:val="center"/>
          </w:tcPr>
          <w:p w14:paraId="5B7E821F">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其他符合性分析</w:t>
            </w:r>
          </w:p>
        </w:tc>
        <w:tc>
          <w:tcPr>
            <w:tcW w:w="6703" w:type="dxa"/>
            <w:gridSpan w:val="3"/>
            <w:noWrap w:val="0"/>
            <w:vAlign w:val="center"/>
          </w:tcPr>
          <w:p w14:paraId="212F659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b/>
                <w:bCs/>
                <w:color w:val="auto"/>
                <w:lang w:val="en-US" w:eastAsia="zh-CN"/>
              </w:rPr>
            </w:pPr>
            <w:r>
              <w:rPr>
                <w:rFonts w:hint="default" w:ascii="Times New Roman" w:hAnsi="Times New Roman"/>
                <w:b/>
                <w:bCs/>
                <w:color w:val="auto"/>
                <w:lang w:val="en-US" w:eastAsia="zh-CN"/>
              </w:rPr>
              <w:t>1、产业政策适宜性分析</w:t>
            </w:r>
          </w:p>
          <w:p w14:paraId="43A1D9D6">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0"/>
                <w:sz w:val="21"/>
                <w:szCs w:val="21"/>
                <w:highlight w:val="none"/>
              </w:rPr>
              <w:t>项目主要</w:t>
            </w:r>
            <w:r>
              <w:rPr>
                <w:rFonts w:hint="default" w:ascii="Times New Roman" w:hAnsi="Times New Roman" w:eastAsia="宋体" w:cs="Times New Roman"/>
                <w:color w:val="auto"/>
                <w:spacing w:val="0"/>
                <w:sz w:val="21"/>
                <w:szCs w:val="21"/>
                <w:highlight w:val="none"/>
                <w:lang w:eastAsia="zh-CN"/>
              </w:rPr>
              <w:t>从事</w:t>
            </w:r>
            <w:r>
              <w:rPr>
                <w:rFonts w:hint="eastAsia" w:ascii="Times New Roman" w:hAnsi="Times New Roman" w:eastAsia="宋体" w:cs="Times New Roman"/>
                <w:color w:val="auto"/>
                <w:spacing w:val="0"/>
                <w:sz w:val="21"/>
                <w:szCs w:val="21"/>
                <w:highlight w:val="none"/>
                <w:lang w:eastAsia="zh-CN"/>
              </w:rPr>
              <w:t>废机动车、</w:t>
            </w:r>
            <w:r>
              <w:rPr>
                <w:rFonts w:hint="eastAsia" w:ascii="Times New Roman" w:hAnsi="Times New Roman" w:eastAsia="宋体" w:cs="Times New Roman"/>
                <w:color w:val="auto"/>
                <w:sz w:val="21"/>
                <w:szCs w:val="21"/>
                <w:lang w:eastAsia="zh-CN"/>
              </w:rPr>
              <w:t>废机电、废变压器的回收拆解</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eastAsia="zh-CN"/>
              </w:rPr>
              <w:t>根据对照，项目</w:t>
            </w:r>
            <w:r>
              <w:rPr>
                <w:rFonts w:ascii="Times New Roman" w:hAnsi="Times New Roman" w:eastAsia="宋体" w:cs="Times New Roman"/>
                <w:color w:val="auto"/>
                <w:sz w:val="21"/>
                <w:szCs w:val="21"/>
              </w:rPr>
              <w:t>属于《产业结构调整指导目录</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2024</w:t>
            </w:r>
            <w:r>
              <w:rPr>
                <w:rFonts w:ascii="Times New Roman" w:hAnsi="Times New Roman" w:eastAsia="宋体" w:cs="Times New Roman"/>
                <w:color w:val="auto"/>
                <w:sz w:val="21"/>
                <w:szCs w:val="21"/>
              </w:rPr>
              <w:t>年本</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》中</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b w:val="0"/>
                <w:bCs w:val="0"/>
                <w:color w:val="auto"/>
                <w:sz w:val="21"/>
                <w:szCs w:val="21"/>
              </w:rPr>
              <w:t>鼓励类</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中</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四十</w:t>
            </w:r>
            <w:r>
              <w:rPr>
                <w:rFonts w:hint="eastAsia" w:ascii="Times New Roman" w:hAnsi="Times New Roman" w:eastAsia="宋体" w:cs="Times New Roman"/>
                <w:color w:val="auto"/>
                <w:sz w:val="21"/>
                <w:szCs w:val="21"/>
                <w:lang w:eastAsia="zh-CN"/>
              </w:rPr>
              <w:t>二</w:t>
            </w:r>
            <w:r>
              <w:rPr>
                <w:rFonts w:ascii="Times New Roman" w:hAnsi="Times New Roman" w:eastAsia="宋体" w:cs="Times New Roman"/>
                <w:color w:val="auto"/>
                <w:sz w:val="21"/>
                <w:szCs w:val="21"/>
              </w:rPr>
              <w:t>、环境保护与资源节约综合利用</w:t>
            </w:r>
            <w:r>
              <w:rPr>
                <w:rFonts w:hint="eastAsia" w:ascii="Times New Roman" w:hAnsi="Times New Roman" w:eastAsia="宋体" w:cs="Times New Roman"/>
                <w:color w:val="auto"/>
                <w:sz w:val="21"/>
                <w:szCs w:val="21"/>
                <w:lang w:val="en-US" w:eastAsia="zh-CN"/>
              </w:rPr>
              <w:t>-8</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废弃物循环利用：废钢铁、废有色金属、废纸、废橡胶、废玻璃、废塑料、废旧木材以及</w:t>
            </w:r>
            <w:r>
              <w:rPr>
                <w:rFonts w:hint="eastAsia" w:ascii="Times New Roman" w:hAnsi="Times New Roman" w:eastAsia="宋体" w:cs="Times New Roman"/>
                <w:b/>
                <w:bCs/>
                <w:color w:val="auto"/>
                <w:sz w:val="21"/>
                <w:szCs w:val="21"/>
              </w:rPr>
              <w:t>报废汽车</w:t>
            </w:r>
            <w:r>
              <w:rPr>
                <w:rFonts w:hint="eastAsia" w:ascii="Times New Roman" w:hAnsi="Times New Roman" w:eastAsia="宋体" w:cs="Times New Roman"/>
                <w:color w:val="auto"/>
                <w:sz w:val="21"/>
                <w:szCs w:val="21"/>
              </w:rPr>
              <w:t>、废弃电器电子产品、废旧船舶、废旧电池、废轮胎、废弃木质材料、废旧农具、废旧纺织品及纺织废料和边角料、废旧光伏组件、废旧风机叶片、废弃油脂</w:t>
            </w:r>
            <w:r>
              <w:rPr>
                <w:rFonts w:hint="eastAsia" w:ascii="Times New Roman" w:hAnsi="Times New Roman" w:eastAsia="宋体" w:cs="Times New Roman"/>
                <w:b/>
                <w:bCs/>
                <w:color w:val="auto"/>
                <w:sz w:val="21"/>
                <w:szCs w:val="21"/>
              </w:rPr>
              <w:t>等城市典型废弃物循环利用</w:t>
            </w:r>
            <w:r>
              <w:rPr>
                <w:rFonts w:hint="eastAsia" w:ascii="Times New Roman" w:hAnsi="Times New Roman" w:eastAsia="宋体" w:cs="Times New Roman"/>
                <w:color w:val="auto"/>
                <w:sz w:val="21"/>
                <w:szCs w:val="21"/>
              </w:rPr>
              <w:t>、技术设备开发及应用，废旧动力电池自动化拆解、自动化快速分选成组、电池剩余寿命及一致性评估、有价组分综合回收、梯次利用、再生利用技术装备开发及应用，低值可回收物回收利用，“城市矿产”基地和资源循环利用基地建设，煤矸石、粉煤灰、尾矿（共伴生矿）、冶炼渣、工业副产石膏、赤泥、建筑垃圾等工业废弃物循环利用，农作物秸秆、畜禽粪污、农药包装等农林废弃物循环利用，生物质能技术装备（发电、供热、制油、沼气）</w:t>
            </w:r>
            <w:r>
              <w:rPr>
                <w:rFonts w:hint="eastAsia" w:ascii="Times New Roman" w:hAnsi="Times New Roman" w:eastAsia="宋体" w:cs="Times New Roman"/>
                <w:color w:val="auto"/>
                <w:sz w:val="21"/>
                <w:szCs w:val="21"/>
                <w:lang w:eastAsia="zh-CN"/>
              </w:rPr>
              <w:t>”类项目，</w:t>
            </w:r>
            <w:r>
              <w:rPr>
                <w:rFonts w:hint="eastAsia" w:ascii="Times New Roman" w:hAnsi="Times New Roman" w:eastAsia="宋体" w:cs="Times New Roman"/>
                <w:b/>
                <w:bCs/>
                <w:color w:val="auto"/>
                <w:sz w:val="21"/>
                <w:szCs w:val="21"/>
                <w:lang w:eastAsia="zh-CN"/>
              </w:rPr>
              <w:t>为鼓励类项目</w:t>
            </w:r>
            <w:r>
              <w:rPr>
                <w:rFonts w:hint="eastAsia" w:ascii="Times New Roman" w:hAnsi="Times New Roman" w:eastAsia="宋体" w:cs="Times New Roman"/>
                <w:color w:val="auto"/>
                <w:sz w:val="21"/>
                <w:szCs w:val="21"/>
                <w:lang w:eastAsia="zh-CN"/>
              </w:rPr>
              <w:t>。</w:t>
            </w:r>
          </w:p>
          <w:p w14:paraId="6A0C9A0A">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color w:val="auto"/>
                <w:lang w:val="en-US" w:eastAsia="zh-CN"/>
              </w:rPr>
              <w:t>根据园区管委会出具的园区项目审批表（详见附件六），同意建设单位在</w:t>
            </w:r>
            <w:r>
              <w:rPr>
                <w:rFonts w:hint="eastAsia" w:ascii="Times New Roman" w:hAnsi="Times New Roman"/>
                <w:color w:val="auto"/>
              </w:rPr>
              <w:t>福州市长乐区松下镇山前村新村东区66号</w:t>
            </w:r>
            <w:r>
              <w:rPr>
                <w:rFonts w:hint="eastAsia" w:ascii="Times New Roman" w:hAnsi="Times New Roman"/>
                <w:color w:val="auto"/>
                <w:lang w:val="en-US" w:eastAsia="zh-CN"/>
              </w:rPr>
              <w:t>从事“一般生产性废旧金属回收；再生资源加工；报废机动车回收、拆解”类经营活动。</w:t>
            </w:r>
            <w:r>
              <w:rPr>
                <w:rFonts w:hint="default" w:ascii="Times New Roman" w:hAnsi="Times New Roman" w:eastAsia="宋体" w:cs="Times New Roman"/>
                <w:color w:val="auto"/>
                <w:spacing w:val="0"/>
                <w:sz w:val="21"/>
                <w:szCs w:val="21"/>
                <w:highlight w:val="none"/>
              </w:rPr>
              <w:t>该项目于</w:t>
            </w:r>
            <w:r>
              <w:rPr>
                <w:rFonts w:hint="eastAsia" w:ascii="Times New Roman" w:hAnsi="Times New Roman" w:eastAsia="宋体" w:cs="Times New Roman"/>
                <w:color w:val="auto"/>
                <w:spacing w:val="0"/>
                <w:sz w:val="21"/>
                <w:szCs w:val="21"/>
                <w:highlight w:val="none"/>
                <w:lang w:eastAsia="zh-CN"/>
              </w:rPr>
              <w:t>202</w:t>
            </w:r>
            <w:r>
              <w:rPr>
                <w:rFonts w:hint="eastAsia" w:ascii="Times New Roman" w:hAnsi="Times New Roman" w:eastAsia="宋体" w:cs="Times New Roman"/>
                <w:color w:val="auto"/>
                <w:spacing w:val="0"/>
                <w:sz w:val="21"/>
                <w:szCs w:val="21"/>
                <w:highlight w:val="none"/>
                <w:lang w:val="en-US" w:eastAsia="zh-CN"/>
              </w:rPr>
              <w:t>4</w:t>
            </w:r>
            <w:r>
              <w:rPr>
                <w:rFonts w:hint="eastAsia" w:ascii="Times New Roman" w:hAnsi="Times New Roman" w:eastAsia="宋体" w:cs="Times New Roman"/>
                <w:color w:val="auto"/>
                <w:spacing w:val="0"/>
                <w:sz w:val="21"/>
                <w:szCs w:val="21"/>
                <w:highlight w:val="none"/>
                <w:lang w:eastAsia="zh-CN"/>
              </w:rPr>
              <w:t>年</w:t>
            </w:r>
            <w:r>
              <w:rPr>
                <w:rFonts w:hint="eastAsia" w:ascii="Times New Roman" w:hAnsi="Times New Roman" w:eastAsia="宋体" w:cs="Times New Roman"/>
                <w:color w:val="auto"/>
                <w:spacing w:val="0"/>
                <w:sz w:val="21"/>
                <w:szCs w:val="21"/>
                <w:highlight w:val="none"/>
                <w:lang w:val="en-US" w:eastAsia="zh-CN"/>
              </w:rPr>
              <w:t>9</w:t>
            </w:r>
            <w:r>
              <w:rPr>
                <w:rFonts w:hint="eastAsia" w:ascii="Times New Roman" w:hAnsi="Times New Roman" w:eastAsia="宋体" w:cs="Times New Roman"/>
                <w:color w:val="auto"/>
                <w:spacing w:val="0"/>
                <w:sz w:val="21"/>
                <w:szCs w:val="21"/>
                <w:highlight w:val="none"/>
                <w:lang w:eastAsia="zh-CN"/>
              </w:rPr>
              <w:t>月</w:t>
            </w:r>
            <w:r>
              <w:rPr>
                <w:rFonts w:hint="eastAsia" w:ascii="Times New Roman" w:hAnsi="Times New Roman" w:eastAsia="宋体" w:cs="Times New Roman"/>
                <w:color w:val="auto"/>
                <w:spacing w:val="0"/>
                <w:sz w:val="21"/>
                <w:szCs w:val="21"/>
                <w:highlight w:val="none"/>
                <w:lang w:val="en-US" w:eastAsia="zh-CN"/>
              </w:rPr>
              <w:t>14</w:t>
            </w:r>
            <w:r>
              <w:rPr>
                <w:rFonts w:hint="eastAsia" w:ascii="Times New Roman" w:hAnsi="Times New Roman" w:eastAsia="宋体" w:cs="Times New Roman"/>
                <w:color w:val="auto"/>
                <w:spacing w:val="0"/>
                <w:sz w:val="21"/>
                <w:szCs w:val="21"/>
                <w:highlight w:val="none"/>
                <w:lang w:eastAsia="zh-CN"/>
              </w:rPr>
              <w:t>日</w:t>
            </w:r>
            <w:r>
              <w:rPr>
                <w:rFonts w:hint="default" w:ascii="Times New Roman" w:hAnsi="Times New Roman" w:eastAsia="宋体" w:cs="Times New Roman"/>
                <w:color w:val="auto"/>
                <w:spacing w:val="0"/>
                <w:sz w:val="21"/>
                <w:szCs w:val="21"/>
                <w:highlight w:val="none"/>
              </w:rPr>
              <w:t>通过了</w:t>
            </w:r>
            <w:r>
              <w:rPr>
                <w:rFonts w:hint="eastAsia" w:ascii="Times New Roman" w:hAnsi="Times New Roman" w:eastAsia="宋体" w:cs="Times New Roman"/>
                <w:color w:val="auto"/>
                <w:spacing w:val="0"/>
                <w:sz w:val="21"/>
                <w:szCs w:val="21"/>
                <w:highlight w:val="none"/>
                <w:lang w:eastAsia="zh-CN"/>
              </w:rPr>
              <w:t>福州市长乐区发展和</w:t>
            </w:r>
            <w:r>
              <w:rPr>
                <w:rFonts w:hint="default" w:ascii="Times New Roman" w:hAnsi="Times New Roman" w:eastAsia="宋体" w:cs="Times New Roman"/>
                <w:color w:val="auto"/>
                <w:spacing w:val="0"/>
                <w:sz w:val="21"/>
                <w:szCs w:val="21"/>
                <w:highlight w:val="none"/>
                <w:lang w:eastAsia="zh-CN"/>
              </w:rPr>
              <w:t>改革局</w:t>
            </w:r>
            <w:r>
              <w:rPr>
                <w:rFonts w:hint="default" w:ascii="Times New Roman" w:hAnsi="Times New Roman" w:eastAsia="宋体" w:cs="Times New Roman"/>
                <w:color w:val="auto"/>
                <w:spacing w:val="0"/>
                <w:sz w:val="21"/>
                <w:szCs w:val="21"/>
                <w:highlight w:val="none"/>
              </w:rPr>
              <w:t>的备案</w:t>
            </w:r>
            <w:r>
              <w:rPr>
                <w:rFonts w:hint="eastAsia"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z w:val="21"/>
                <w:szCs w:val="21"/>
                <w:highlight w:val="none"/>
                <w:lang w:eastAsia="zh-CN"/>
              </w:rPr>
              <w:t>闽发改备[2024]0357号）（</w:t>
            </w:r>
            <w:r>
              <w:rPr>
                <w:rFonts w:hint="default" w:ascii="Times New Roman" w:hAnsi="Times New Roman" w:eastAsia="宋体" w:cs="Times New Roman"/>
                <w:color w:val="auto"/>
                <w:spacing w:val="0"/>
                <w:sz w:val="21"/>
                <w:szCs w:val="21"/>
                <w:highlight w:val="none"/>
              </w:rPr>
              <w:t>详见附件</w:t>
            </w:r>
            <w:r>
              <w:rPr>
                <w:rFonts w:hint="eastAsia" w:ascii="Times New Roman" w:hAnsi="Times New Roman" w:eastAsia="宋体" w:cs="Times New Roman"/>
                <w:color w:val="auto"/>
                <w:spacing w:val="0"/>
                <w:sz w:val="21"/>
                <w:szCs w:val="21"/>
                <w:highlight w:val="none"/>
                <w:lang w:val="en-US" w:eastAsia="zh-CN"/>
              </w:rPr>
              <w:t>二），</w:t>
            </w:r>
            <w:r>
              <w:rPr>
                <w:rFonts w:hint="default" w:ascii="Times New Roman" w:hAnsi="Times New Roman" w:eastAsia="宋体" w:cs="Times New Roman"/>
                <w:color w:val="auto"/>
                <w:spacing w:val="0"/>
                <w:sz w:val="21"/>
                <w:szCs w:val="21"/>
                <w:highlight w:val="none"/>
              </w:rPr>
              <w:t>因此</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项目的建设内容符合当前国家</w:t>
            </w:r>
            <w:r>
              <w:rPr>
                <w:rFonts w:hint="default" w:ascii="Times New Roman" w:hAnsi="Times New Roman" w:eastAsia="宋体" w:cs="Times New Roman"/>
                <w:color w:val="auto"/>
                <w:spacing w:val="0"/>
                <w:sz w:val="21"/>
                <w:szCs w:val="21"/>
                <w:highlight w:val="none"/>
                <w:lang w:eastAsia="zh-CN"/>
              </w:rPr>
              <w:t>和地方</w:t>
            </w:r>
            <w:r>
              <w:rPr>
                <w:rFonts w:hint="default" w:ascii="Times New Roman" w:hAnsi="Times New Roman" w:eastAsia="宋体" w:cs="Times New Roman"/>
                <w:color w:val="auto"/>
                <w:spacing w:val="0"/>
                <w:sz w:val="21"/>
                <w:szCs w:val="21"/>
                <w:highlight w:val="none"/>
              </w:rPr>
              <w:t>的产业政策。</w:t>
            </w:r>
          </w:p>
          <w:p w14:paraId="20C8C95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2、与城市土地利用规划符合性分析</w:t>
            </w:r>
          </w:p>
          <w:p w14:paraId="65CDE753">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Times New Roman" w:hAnsi="Times New Roman" w:eastAsia="宋体" w:cs="Times New Roman"/>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lang w:eastAsia="zh-CN"/>
              </w:rPr>
              <w:t>根据《福州市滨海工业区（松下组团）土地利用规划图》（详见附图</w:t>
            </w:r>
            <w:r>
              <w:rPr>
                <w:rFonts w:hint="eastAsia" w:ascii="Times New Roman" w:hAnsi="Times New Roman" w:eastAsia="宋体" w:cs="Times New Roman"/>
                <w:color w:val="auto"/>
                <w:spacing w:val="0"/>
                <w:sz w:val="21"/>
                <w:szCs w:val="21"/>
                <w:highlight w:val="none"/>
                <w:lang w:val="en-US" w:eastAsia="zh-CN"/>
              </w:rPr>
              <w:t>8</w:t>
            </w:r>
            <w:r>
              <w:rPr>
                <w:rFonts w:hint="eastAsia" w:ascii="Times New Roman" w:hAnsi="Times New Roman" w:eastAsia="宋体" w:cs="Times New Roman"/>
                <w:color w:val="auto"/>
                <w:spacing w:val="0"/>
                <w:sz w:val="21"/>
                <w:szCs w:val="21"/>
                <w:highlight w:val="none"/>
                <w:lang w:eastAsia="zh-CN"/>
              </w:rPr>
              <w:t>），项目所在区域属于弹性用地，根据《福州市滨海工业区（松下组团）总体规划（2015-2030）》中内容“根据松下组团发展定位，将作为福州都市区的临港产业基地。从产业发展和人居环境改善的角度看，相当部分村庄将逐步整合或整体搬迁至未来主要生活片区中。本次规划列为弹性用地，2030 年之后远景布局为工业用地。”</w:t>
            </w:r>
          </w:p>
          <w:p w14:paraId="37A21EE1">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eastAsia="zh-CN"/>
              </w:rPr>
              <w:t>本项目租赁现有场地从事生产经营活动，</w:t>
            </w:r>
            <w:r>
              <w:rPr>
                <w:rFonts w:hint="default" w:ascii="Times New Roman" w:hAnsi="Times New Roman" w:eastAsia="宋体" w:cs="Times New Roman"/>
                <w:color w:val="auto"/>
                <w:spacing w:val="0"/>
                <w:sz w:val="21"/>
                <w:szCs w:val="21"/>
                <w:highlight w:val="none"/>
              </w:rPr>
              <w:t>根据建设单位提供的土地证（</w:t>
            </w:r>
            <w:r>
              <w:rPr>
                <w:rFonts w:hint="eastAsia" w:ascii="Times New Roman" w:hAnsi="Times New Roman" w:eastAsia="宋体" w:cs="Times New Roman"/>
                <w:color w:val="auto"/>
                <w:spacing w:val="0"/>
                <w:sz w:val="21"/>
                <w:szCs w:val="21"/>
                <w:highlight w:val="none"/>
                <w:lang w:eastAsia="zh-CN"/>
              </w:rPr>
              <w:t>闽航集用（</w:t>
            </w:r>
            <w:r>
              <w:rPr>
                <w:rFonts w:hint="eastAsia" w:ascii="Times New Roman" w:hAnsi="Times New Roman" w:eastAsia="宋体" w:cs="Times New Roman"/>
                <w:color w:val="auto"/>
                <w:spacing w:val="0"/>
                <w:sz w:val="21"/>
                <w:szCs w:val="21"/>
                <w:highlight w:val="none"/>
                <w:lang w:val="en-US" w:eastAsia="zh-CN"/>
              </w:rPr>
              <w:t>2007</w:t>
            </w:r>
            <w:r>
              <w:rPr>
                <w:rFonts w:hint="eastAsia" w:ascii="Times New Roman" w:hAnsi="Times New Roman" w:eastAsia="宋体" w:cs="Times New Roman"/>
                <w:color w:val="auto"/>
                <w:spacing w:val="0"/>
                <w:sz w:val="21"/>
                <w:szCs w:val="21"/>
                <w:highlight w:val="none"/>
                <w:lang w:eastAsia="zh-CN"/>
              </w:rPr>
              <w:t>）第</w:t>
            </w:r>
            <w:r>
              <w:rPr>
                <w:rFonts w:hint="eastAsia" w:ascii="Times New Roman" w:hAnsi="Times New Roman" w:eastAsia="宋体" w:cs="Times New Roman"/>
                <w:color w:val="auto"/>
                <w:spacing w:val="0"/>
                <w:sz w:val="21"/>
                <w:szCs w:val="21"/>
                <w:highlight w:val="none"/>
                <w:lang w:val="en-US" w:eastAsia="zh-CN"/>
              </w:rPr>
              <w:t>614896号），详见附件四，</w:t>
            </w:r>
            <w:r>
              <w:rPr>
                <w:rFonts w:hint="default" w:ascii="Times New Roman" w:hAnsi="Times New Roman" w:eastAsia="宋体" w:cs="Times New Roman"/>
                <w:color w:val="auto"/>
                <w:spacing w:val="0"/>
                <w:sz w:val="21"/>
                <w:szCs w:val="21"/>
                <w:highlight w:val="none"/>
              </w:rPr>
              <w:t>项目土地用途为工业用地，</w:t>
            </w:r>
            <w:r>
              <w:rPr>
                <w:rFonts w:hint="eastAsia" w:ascii="Times New Roman" w:hAnsi="Times New Roman" w:eastAsia="宋体" w:cs="Times New Roman"/>
                <w:color w:val="auto"/>
                <w:spacing w:val="0"/>
                <w:sz w:val="21"/>
                <w:szCs w:val="21"/>
                <w:highlight w:val="none"/>
                <w:lang w:eastAsia="zh-CN"/>
              </w:rPr>
              <w:t>根据变更土地登记申请审批表（编号</w:t>
            </w:r>
            <w:r>
              <w:rPr>
                <w:rFonts w:hint="eastAsia" w:ascii="Times New Roman" w:hAnsi="Times New Roman" w:eastAsia="宋体" w:cs="Times New Roman"/>
                <w:color w:val="auto"/>
                <w:spacing w:val="0"/>
                <w:sz w:val="21"/>
                <w:szCs w:val="21"/>
                <w:highlight w:val="none"/>
                <w:lang w:val="en-US" w:eastAsia="zh-CN"/>
              </w:rPr>
              <w:t>614896，详见附件四</w:t>
            </w:r>
            <w:r>
              <w:rPr>
                <w:rFonts w:hint="eastAsia" w:ascii="Times New Roman" w:hAnsi="Times New Roman" w:eastAsia="宋体" w:cs="Times New Roman"/>
                <w:color w:val="auto"/>
                <w:spacing w:val="0"/>
                <w:sz w:val="21"/>
                <w:szCs w:val="21"/>
                <w:highlight w:val="none"/>
                <w:lang w:eastAsia="zh-CN"/>
              </w:rPr>
              <w:t>），地上建筑物类别为工业属。根据园区项目审批表（详见附件六），项目选址用地性质为工业用地。项目主要从事废机动车、废机电、废变压器回收拆解，属于工业企业，</w:t>
            </w:r>
            <w:r>
              <w:rPr>
                <w:rFonts w:hint="default" w:ascii="Times New Roman" w:hAnsi="Times New Roman" w:eastAsia="宋体" w:cs="Times New Roman"/>
                <w:color w:val="auto"/>
                <w:spacing w:val="0"/>
                <w:sz w:val="21"/>
                <w:szCs w:val="21"/>
                <w:highlight w:val="none"/>
              </w:rPr>
              <w:t>选址符合土地利用规划要求。</w:t>
            </w:r>
          </w:p>
          <w:p w14:paraId="525EAD4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lang w:val="en-US" w:eastAsia="zh-CN"/>
              </w:rPr>
              <w:t>、环境功能区划符合性分析</w:t>
            </w:r>
          </w:p>
          <w:p w14:paraId="37F96C3C">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项目运营期废气采取有效的治理措施后，对周围环境空气不会产生显著影响，不会改变区域环境空气质量等级；项目</w:t>
            </w:r>
            <w:r>
              <w:rPr>
                <w:rFonts w:hint="eastAsia" w:ascii="Times New Roman" w:hAnsi="Times New Roman"/>
                <w:color w:val="auto"/>
                <w:lang w:val="en-US" w:eastAsia="zh-CN"/>
              </w:rPr>
              <w:t>产生的清洁废水、作业区露天区域初期雨水经处理后全部回用，不外排，</w:t>
            </w:r>
            <w:r>
              <w:rPr>
                <w:rFonts w:hint="eastAsia" w:ascii="Times New Roman" w:hAnsi="Times New Roman" w:eastAsia="宋体" w:cs="Times New Roman"/>
                <w:color w:val="auto"/>
                <w:sz w:val="21"/>
                <w:szCs w:val="21"/>
                <w:lang w:val="en-US" w:eastAsia="zh-CN"/>
              </w:rPr>
              <w:t>生活污水依托出租方化粪池</w:t>
            </w:r>
            <w:r>
              <w:rPr>
                <w:rFonts w:hint="default" w:ascii="Times New Roman" w:hAnsi="Times New Roman" w:eastAsia="宋体" w:cs="Times New Roman"/>
                <w:color w:val="auto"/>
                <w:sz w:val="21"/>
                <w:szCs w:val="21"/>
                <w:lang w:eastAsia="zh-CN"/>
              </w:rPr>
              <w:t>预处理</w:t>
            </w:r>
            <w:r>
              <w:rPr>
                <w:rFonts w:hint="eastAsia" w:ascii="Times New Roman" w:hAnsi="Times New Roman" w:eastAsia="宋体" w:cs="Times New Roman"/>
                <w:color w:val="auto"/>
                <w:sz w:val="21"/>
                <w:szCs w:val="21"/>
                <w:lang w:val="en-US" w:eastAsia="zh-CN"/>
              </w:rPr>
              <w:t>后达标排入松下镇山前村污水管网，送往福州市长乐区松下镇山前村污水处理站集中处理，不直接排入地表水，</w:t>
            </w:r>
            <w:r>
              <w:rPr>
                <w:rFonts w:hint="eastAsia" w:ascii="Times New Roman" w:hAnsi="Times New Roman" w:eastAsia="宋体" w:cs="Times New Roman"/>
                <w:color w:val="auto"/>
                <w:spacing w:val="0"/>
                <w:sz w:val="21"/>
                <w:szCs w:val="21"/>
                <w:highlight w:val="none"/>
                <w:lang w:val="en-US" w:eastAsia="zh-CN"/>
              </w:rPr>
              <w:t>不会改变区域</w:t>
            </w:r>
            <w:r>
              <w:rPr>
                <w:rFonts w:hint="default" w:ascii="Times New Roman" w:hAnsi="Times New Roman" w:eastAsia="宋体" w:cs="Times New Roman"/>
                <w:color w:val="auto"/>
                <w:spacing w:val="0"/>
                <w:sz w:val="21"/>
                <w:szCs w:val="21"/>
                <w:highlight w:val="none"/>
                <w:lang w:val="en-US" w:eastAsia="zh-CN"/>
              </w:rPr>
              <w:t>地表水环境质量</w:t>
            </w:r>
            <w:r>
              <w:rPr>
                <w:rFonts w:hint="eastAsia" w:ascii="Times New Roman" w:hAnsi="Times New Roman" w:eastAsia="宋体" w:cs="Times New Roman"/>
                <w:color w:val="auto"/>
                <w:spacing w:val="0"/>
                <w:sz w:val="21"/>
                <w:szCs w:val="21"/>
                <w:highlight w:val="none"/>
                <w:lang w:val="en-US" w:eastAsia="zh-CN"/>
              </w:rPr>
              <w:t>等级</w:t>
            </w:r>
            <w:r>
              <w:rPr>
                <w:rFonts w:hint="default" w:ascii="Times New Roman" w:hAnsi="Times New Roman" w:eastAsia="宋体"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项目在采取一定的噪声污染防治措施后，项目产生的噪声不会对周围环境产生显著影响，不会改变区域环境噪声质量等级；项目采取有效的防渗措施后，项目对地下水、土壤环境影响小，不会改变地下水环境、土壤环境质量现状等级，因此，项目建设符合环境功能。</w:t>
            </w:r>
          </w:p>
          <w:p w14:paraId="450C341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lang w:val="en-US" w:eastAsia="zh-CN"/>
              </w:rPr>
              <w:t>、与周边相容性分析</w:t>
            </w:r>
          </w:p>
          <w:p w14:paraId="0BB2FA3F">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color w:val="auto"/>
                <w:spacing w:val="0"/>
                <w:sz w:val="21"/>
                <w:szCs w:val="21"/>
                <w:highlight w:val="none"/>
                <w:lang w:eastAsia="zh-CN"/>
              </w:rPr>
            </w:pPr>
            <w:r>
              <w:rPr>
                <w:rFonts w:hint="eastAsia" w:ascii="Times New Roman" w:hAnsi="Times New Roman" w:eastAsia="宋体" w:cs="Times New Roman"/>
                <w:color w:val="auto"/>
                <w:sz w:val="21"/>
                <w:szCs w:val="21"/>
                <w:lang w:val="en-US" w:eastAsia="zh-CN"/>
              </w:rPr>
              <w:t>项目厂址不位于自然保护区、风景名胜区、饮用水水源保护区和其他需要特别保护等法律法规禁止开发建设的区域。</w:t>
            </w:r>
            <w:r>
              <w:rPr>
                <w:rFonts w:hint="default" w:ascii="Times New Roman" w:hAnsi="Times New Roman" w:eastAsia="宋体" w:cs="Times New Roman"/>
                <w:color w:val="auto"/>
                <w:spacing w:val="0"/>
                <w:sz w:val="21"/>
                <w:szCs w:val="21"/>
                <w:highlight w:val="none"/>
                <w:lang w:val="en-US" w:eastAsia="zh-CN"/>
              </w:rPr>
              <w:t>根据现场勘查，</w:t>
            </w:r>
            <w:r>
              <w:rPr>
                <w:rFonts w:hint="default" w:ascii="Times New Roman" w:hAnsi="Times New Roman" w:eastAsia="宋体" w:cs="Times New Roman"/>
                <w:color w:val="auto"/>
                <w:spacing w:val="0"/>
                <w:sz w:val="21"/>
                <w:szCs w:val="21"/>
                <w:highlight w:val="none"/>
                <w:lang w:eastAsia="zh-CN"/>
              </w:rPr>
              <w:t>周边</w:t>
            </w:r>
            <w:r>
              <w:rPr>
                <w:rFonts w:hint="eastAsia" w:ascii="Times New Roman" w:hAnsi="Times New Roman" w:eastAsia="宋体" w:cs="Times New Roman"/>
                <w:color w:val="auto"/>
                <w:spacing w:val="0"/>
                <w:sz w:val="21"/>
                <w:szCs w:val="21"/>
                <w:highlight w:val="none"/>
                <w:lang w:val="en-US" w:eastAsia="zh-CN"/>
              </w:rPr>
              <w:t>以工业企业、</w:t>
            </w:r>
            <w:r>
              <w:rPr>
                <w:rFonts w:hint="eastAsia" w:ascii="Times New Roman" w:hAnsi="Times New Roman"/>
                <w:color w:val="auto"/>
                <w:sz w:val="21"/>
                <w:szCs w:val="21"/>
                <w:lang w:eastAsia="zh-CN"/>
              </w:rPr>
              <w:t>山林空地、</w:t>
            </w:r>
            <w:r>
              <w:rPr>
                <w:rFonts w:hint="eastAsia" w:ascii="Times New Roman" w:hAnsi="Times New Roman" w:eastAsia="宋体" w:cs="Times New Roman"/>
                <w:color w:val="auto"/>
                <w:spacing w:val="0"/>
                <w:sz w:val="21"/>
                <w:szCs w:val="21"/>
                <w:highlight w:val="none"/>
                <w:lang w:val="en-US" w:eastAsia="zh-CN"/>
              </w:rPr>
              <w:t>居住区等为主</w:t>
            </w:r>
            <w:r>
              <w:rPr>
                <w:rFonts w:hint="eastAsia" w:ascii="Times New Roman" w:hAnsi="Times New Roman" w:eastAsia="宋体" w:cs="Times New Roman"/>
                <w:color w:val="auto"/>
                <w:spacing w:val="0"/>
                <w:sz w:val="21"/>
                <w:szCs w:val="21"/>
                <w:highlight w:val="none"/>
                <w:lang w:eastAsia="zh-CN"/>
              </w:rPr>
              <w:t>，项目周边环境现状示意图详见附图</w:t>
            </w:r>
            <w:r>
              <w:rPr>
                <w:rFonts w:hint="eastAsia" w:ascii="Times New Roman" w:hAnsi="Times New Roman" w:eastAsia="宋体" w:cs="Times New Roman"/>
                <w:color w:val="auto"/>
                <w:spacing w:val="0"/>
                <w:sz w:val="21"/>
                <w:szCs w:val="21"/>
                <w:highlight w:val="none"/>
                <w:lang w:val="en-US" w:eastAsia="zh-CN"/>
              </w:rPr>
              <w:t>2，</w:t>
            </w:r>
            <w:r>
              <w:rPr>
                <w:rFonts w:hint="eastAsia" w:ascii="Times New Roman" w:hAnsi="Times New Roman" w:eastAsia="宋体" w:cs="Times New Roman"/>
                <w:color w:val="auto"/>
                <w:spacing w:val="0"/>
                <w:sz w:val="21"/>
                <w:szCs w:val="21"/>
                <w:highlight w:val="none"/>
                <w:lang w:eastAsia="zh-CN"/>
              </w:rPr>
              <w:t>项目周边环境现状拍摄图详见附图</w:t>
            </w:r>
            <w:r>
              <w:rPr>
                <w:rFonts w:hint="eastAsia" w:ascii="Times New Roman" w:hAnsi="Times New Roman" w:eastAsia="宋体" w:cs="Times New Roman"/>
                <w:color w:val="auto"/>
                <w:spacing w:val="0"/>
                <w:sz w:val="21"/>
                <w:szCs w:val="21"/>
                <w:highlight w:val="none"/>
                <w:lang w:val="en-US" w:eastAsia="zh-CN"/>
              </w:rPr>
              <w:t>3</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lang w:eastAsia="zh-CN"/>
              </w:rPr>
              <w:t>建设单位在</w:t>
            </w:r>
            <w:r>
              <w:rPr>
                <w:rFonts w:hint="eastAsia" w:ascii="Times New Roman" w:hAnsi="Times New Roman" w:eastAsia="宋体" w:cs="Times New Roman"/>
                <w:color w:val="auto"/>
                <w:spacing w:val="0"/>
                <w:sz w:val="21"/>
                <w:szCs w:val="21"/>
                <w:highlight w:val="none"/>
                <w:lang w:eastAsia="zh-CN"/>
              </w:rPr>
              <w:t>切实落实</w:t>
            </w:r>
            <w:r>
              <w:rPr>
                <w:rFonts w:hint="default" w:ascii="Times New Roman" w:hAnsi="Times New Roman" w:eastAsia="宋体" w:cs="Times New Roman"/>
                <w:color w:val="auto"/>
                <w:spacing w:val="0"/>
                <w:sz w:val="21"/>
                <w:szCs w:val="21"/>
                <w:highlight w:val="none"/>
                <w:lang w:eastAsia="zh-CN"/>
              </w:rPr>
              <w:t>本评价提出的各项污染治理措施的前提下，可实现污染物达标排放，且各污染物排放源强较低，运营期产生的“三废”及噪声对周边环境影响不明显，因此，项目建设与周边环境基本相容。</w:t>
            </w:r>
          </w:p>
          <w:p w14:paraId="50D9264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lang w:val="en-US" w:eastAsia="zh-CN"/>
              </w:rPr>
              <w:t>、</w:t>
            </w:r>
            <w:r>
              <w:rPr>
                <w:rFonts w:hint="eastAsia" w:ascii="Times New Roman" w:hAnsi="Times New Roman" w:eastAsia="宋体" w:cs="Times New Roman"/>
                <w:b/>
                <w:bCs/>
                <w:color w:val="auto"/>
                <w:lang w:val="en-US" w:eastAsia="zh-CN"/>
              </w:rPr>
              <w:t>生态环境分区管控要求的符合性分析</w:t>
            </w:r>
          </w:p>
          <w:p w14:paraId="5B977F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bookmarkStart w:id="3" w:name="_Toc3067"/>
            <w:bookmarkStart w:id="4" w:name="_Toc7228"/>
            <w:bookmarkStart w:id="5" w:name="_Toc16029"/>
            <w:bookmarkStart w:id="6" w:name="_Toc27236"/>
            <w:bookmarkStart w:id="7" w:name="_Toc3746"/>
            <w:r>
              <w:rPr>
                <w:rFonts w:hint="eastAsia" w:ascii="Times New Roman" w:hAnsi="Times New Roman" w:eastAsia="宋体" w:cs="Times New Roman"/>
                <w:color w:val="auto"/>
                <w:sz w:val="21"/>
                <w:szCs w:val="21"/>
                <w:lang w:val="en-US" w:eastAsia="zh-CN"/>
              </w:rPr>
              <w:t>根据</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GB" w:eastAsia="zh-CN"/>
              </w:rPr>
              <w:t>福州市人民政府办公厅关于印发</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GB" w:eastAsia="zh-CN"/>
              </w:rPr>
              <w:t>福州市生态环境分区管控方案（2023年更新）</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GB" w:eastAsia="zh-CN"/>
              </w:rPr>
              <w:t>的通知</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榕政办规〔2024〕20号</w:t>
            </w:r>
            <w:r>
              <w:rPr>
                <w:rFonts w:hint="eastAsia" w:ascii="Times New Roman" w:hAnsi="Times New Roman" w:eastAsia="宋体" w:cs="Times New Roman"/>
                <w:color w:val="auto"/>
                <w:sz w:val="21"/>
                <w:szCs w:val="21"/>
                <w:lang w:val="en-US" w:eastAsia="zh-CN"/>
              </w:rPr>
              <w:t>），项目与福州市生态环境分区管控要求符合性分析如下：</w:t>
            </w:r>
          </w:p>
          <w:p w14:paraId="6BA037F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生态保护红线与一般生态空间</w:t>
            </w:r>
          </w:p>
          <w:p w14:paraId="334371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w:t>
            </w:r>
            <w:r>
              <w:rPr>
                <w:rFonts w:hint="eastAsia" w:ascii="Times New Roman" w:hAnsi="Times New Roman" w:eastAsia="宋体" w:cs="Times New Roman"/>
                <w:color w:val="auto"/>
                <w:sz w:val="21"/>
                <w:szCs w:val="21"/>
                <w:lang w:val="en-US" w:eastAsia="zh-CN"/>
              </w:rPr>
              <w:t>生态保护红线</w:t>
            </w:r>
          </w:p>
          <w:p w14:paraId="74CB5C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完整利用福建省“三区三线”生态保护红线划定成果，福州市生态保护红线划定面积为5082.05平方千米，其中陆域面积为2410.32平方千米，海域面积为2671.73平方千米。生态保护红线最终面积以省政府发布结果为准。</w:t>
            </w:r>
          </w:p>
          <w:p w14:paraId="4A72BC1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w:t>
            </w:r>
            <w:r>
              <w:rPr>
                <w:rFonts w:hint="eastAsia" w:ascii="Times New Roman" w:hAnsi="Times New Roman" w:eastAsia="宋体" w:cs="Times New Roman"/>
                <w:color w:val="auto"/>
                <w:sz w:val="21"/>
                <w:szCs w:val="21"/>
                <w:lang w:val="en-US" w:eastAsia="zh-CN"/>
              </w:rPr>
              <w:t>一般生态空间</w:t>
            </w:r>
          </w:p>
          <w:p w14:paraId="7F999F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一般生态空间面积为5022.51平方千米，其中陆域面积为3703.34平方千米、海域面积为1319.17平方千米。一般生态空间将随生态保护红线最终发布成果做调整。</w:t>
            </w:r>
          </w:p>
          <w:p w14:paraId="3EDC69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陆域一般生态空间主要包括生态评估得到的生态功能重要区域和生态环境敏感区域以及未纳入生态保护红线的各类法定保护地、饮用水水源保护区等需要保护的区域。</w:t>
            </w:r>
          </w:p>
          <w:p w14:paraId="1F7ABE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项目位于陆域范围，经对照福建省“三区三线”生态保护红线划定成果</w:t>
            </w:r>
            <w:r>
              <w:rPr>
                <w:rFonts w:hint="eastAsia" w:ascii="Times New Roman" w:hAnsi="Times New Roman" w:eastAsia="宋体" w:cs="Times New Roman"/>
                <w:color w:val="auto"/>
                <w:sz w:val="21"/>
                <w:szCs w:val="21"/>
                <w:lang w:val="en-US" w:eastAsia="zh-CN"/>
              </w:rPr>
              <w:t>和一般生态空间划定成果</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本项目位于“长乐区一般生态空间—生物多样性</w:t>
            </w:r>
            <w:r>
              <w:rPr>
                <w:rFonts w:hint="eastAsia"/>
                <w:color w:val="auto"/>
                <w:lang w:eastAsia="zh-CN"/>
              </w:rPr>
              <w:t>生态功能重要区域</w:t>
            </w:r>
            <w:r>
              <w:rPr>
                <w:rFonts w:hint="eastAsia" w:ascii="Times New Roman" w:hAnsi="Times New Roman" w:eastAsia="宋体" w:cs="Times New Roman"/>
                <w:color w:val="auto"/>
                <w:sz w:val="21"/>
                <w:szCs w:val="21"/>
                <w:lang w:val="en-US" w:eastAsia="zh-CN"/>
              </w:rPr>
              <w:t>”（环境管控单元编码ZH35011210007），项目租赁现有工业厂区进行生产经营活动，经调查，用地范围内无珍稀濒危物种种群、极小种群等，项目运营期污染物经妥善处理达标排放、回用或委托处理处置，不会对周边生态环境产生明显不利影响，不会对区域生态功能造成破坏，根据表1-4对照分析，</w:t>
            </w:r>
            <w:r>
              <w:rPr>
                <w:rFonts w:hint="default" w:ascii="Times New Roman" w:hAnsi="Times New Roman" w:eastAsia="宋体" w:cs="Times New Roman"/>
                <w:color w:val="auto"/>
                <w:sz w:val="21"/>
                <w:szCs w:val="21"/>
                <w:lang w:val="en-US" w:eastAsia="zh-CN"/>
              </w:rPr>
              <w:t>项目建设与</w:t>
            </w:r>
            <w:r>
              <w:rPr>
                <w:rFonts w:hint="eastAsia" w:ascii="Times New Roman" w:hAnsi="Times New Roman" w:eastAsia="宋体" w:cs="Times New Roman"/>
                <w:color w:val="auto"/>
                <w:sz w:val="21"/>
                <w:szCs w:val="21"/>
                <w:lang w:val="en-US" w:eastAsia="zh-CN"/>
              </w:rPr>
              <w:t>所在</w:t>
            </w:r>
            <w:r>
              <w:rPr>
                <w:rFonts w:hint="default" w:ascii="Times New Roman" w:hAnsi="Times New Roman" w:eastAsia="宋体" w:cs="Times New Roman"/>
                <w:color w:val="auto"/>
                <w:sz w:val="21"/>
                <w:szCs w:val="21"/>
                <w:lang w:val="en-US" w:eastAsia="zh-CN"/>
              </w:rPr>
              <w:t>一般生态空间管控要求不冲突。</w:t>
            </w:r>
          </w:p>
          <w:p w14:paraId="684EE7C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 xml:space="preserve">环境质量底线 </w:t>
            </w:r>
          </w:p>
          <w:p w14:paraId="17BE86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w:t>
            </w:r>
            <w:r>
              <w:rPr>
                <w:rFonts w:hint="eastAsia" w:ascii="Times New Roman" w:hAnsi="Times New Roman" w:eastAsia="宋体" w:cs="Times New Roman"/>
                <w:color w:val="auto"/>
                <w:sz w:val="21"/>
                <w:szCs w:val="21"/>
                <w:lang w:val="en-US" w:eastAsia="zh-CN"/>
              </w:rPr>
              <w:t>地表水</w:t>
            </w:r>
            <w:r>
              <w:rPr>
                <w:rFonts w:hint="default" w:ascii="Times New Roman" w:hAnsi="Times New Roman" w:eastAsia="宋体" w:cs="Times New Roman"/>
                <w:color w:val="auto"/>
                <w:sz w:val="21"/>
                <w:szCs w:val="21"/>
                <w:lang w:val="en-US" w:eastAsia="zh-CN"/>
              </w:rPr>
              <w:t>水环境质量底线</w:t>
            </w:r>
          </w:p>
          <w:p w14:paraId="3577FF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到2025年，国省控断面水质优良（达到或优于Ⅲ类）比例总体达97.2%以上；县级以上集中式饮用水水源水质达标率达100%。到2035年，国省控断面水质优良（达到或优于Ⅲ类）比例总体达到100%；生态系统实现良性循环。</w:t>
            </w:r>
          </w:p>
          <w:p w14:paraId="34E57B0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②</w:t>
            </w:r>
            <w:r>
              <w:rPr>
                <w:rFonts w:hint="default" w:ascii="Times New Roman" w:hAnsi="Times New Roman" w:eastAsia="宋体" w:cs="Times New Roman"/>
                <w:color w:val="auto"/>
                <w:sz w:val="21"/>
                <w:szCs w:val="21"/>
                <w:lang w:val="en-US" w:eastAsia="zh-CN"/>
              </w:rPr>
              <w:t>近岸海域环境质量底线</w:t>
            </w:r>
          </w:p>
          <w:p w14:paraId="4458D4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到2025年，近岸海域水质持续改善，重要河口海湾水质稳定好转，鉴江半岛—黄岐半岛东部海域湾区、长乐东部海域湾区建成美丽海湾，近岸海域优良水质面积比例不低于85%（国控点优良水质面积不低于84.0%）。到2035年，海洋生态环境显著改善，重要河口海湾水质大幅提升，近岸海域优良水质面积比例不低于89%，全面建成美丽海湾。</w:t>
            </w:r>
          </w:p>
          <w:p w14:paraId="64BA8E8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项目不涉及近岸海域使用，</w:t>
            </w:r>
            <w:r>
              <w:rPr>
                <w:rFonts w:hint="eastAsia" w:ascii="Times New Roman" w:hAnsi="Times New Roman" w:eastAsia="宋体" w:cs="Times New Roman"/>
                <w:color w:val="auto"/>
                <w:spacing w:val="0"/>
                <w:sz w:val="21"/>
                <w:szCs w:val="21"/>
                <w:highlight w:val="none"/>
                <w:lang w:val="en-US" w:eastAsia="zh-CN"/>
              </w:rPr>
              <w:t>项目运营期项目</w:t>
            </w:r>
            <w:r>
              <w:rPr>
                <w:rFonts w:hint="eastAsia" w:ascii="Times New Roman" w:hAnsi="Times New Roman"/>
                <w:color w:val="auto"/>
                <w:lang w:val="en-US" w:eastAsia="zh-CN"/>
              </w:rPr>
              <w:t>产生的清洁废水、作业区露天区域初期雨水经处理后全部回用，不外排，</w:t>
            </w:r>
            <w:r>
              <w:rPr>
                <w:rFonts w:hint="eastAsia" w:ascii="Times New Roman" w:hAnsi="Times New Roman" w:eastAsia="宋体" w:cs="Times New Roman"/>
                <w:color w:val="auto"/>
                <w:sz w:val="21"/>
                <w:szCs w:val="21"/>
                <w:lang w:val="en-US" w:eastAsia="zh-CN"/>
              </w:rPr>
              <w:t>生活污水依托出租方化粪池</w:t>
            </w:r>
            <w:r>
              <w:rPr>
                <w:rFonts w:hint="default" w:ascii="Times New Roman" w:hAnsi="Times New Roman" w:eastAsia="宋体" w:cs="Times New Roman"/>
                <w:color w:val="auto"/>
                <w:sz w:val="21"/>
                <w:szCs w:val="21"/>
                <w:lang w:eastAsia="zh-CN"/>
              </w:rPr>
              <w:t>预处理</w:t>
            </w:r>
            <w:r>
              <w:rPr>
                <w:rFonts w:hint="eastAsia" w:ascii="Times New Roman" w:hAnsi="Times New Roman" w:eastAsia="宋体" w:cs="Times New Roman"/>
                <w:color w:val="auto"/>
                <w:sz w:val="21"/>
                <w:szCs w:val="21"/>
                <w:lang w:eastAsia="zh-CN"/>
              </w:rPr>
              <w:t>达标后</w:t>
            </w:r>
            <w:r>
              <w:rPr>
                <w:rFonts w:hint="eastAsia" w:ascii="Times New Roman" w:hAnsi="Times New Roman" w:eastAsia="宋体" w:cs="Times New Roman"/>
                <w:color w:val="auto"/>
                <w:sz w:val="21"/>
                <w:szCs w:val="21"/>
                <w:lang w:val="en-US" w:eastAsia="zh-CN"/>
              </w:rPr>
              <w:t>排入松下镇山前村污水管网，最终统一送往福州市长乐区松下镇山前村污水处理站集中处理</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最终排入牛头湾近岸海域，因此</w:t>
            </w:r>
            <w:r>
              <w:rPr>
                <w:rFonts w:hint="eastAsia" w:ascii="Times New Roman" w:hAnsi="Times New Roman" w:eastAsia="宋体" w:cs="Times New Roman"/>
                <w:color w:val="auto"/>
                <w:sz w:val="21"/>
                <w:szCs w:val="21"/>
                <w:highlight w:val="none"/>
                <w:lang w:val="en-US" w:eastAsia="zh-CN"/>
              </w:rPr>
              <w:t>项目外排废水不直接排入近岸海域环境</w:t>
            </w:r>
            <w:r>
              <w:rPr>
                <w:rFonts w:ascii="Times New Roman" w:hAnsi="Times New Roman"/>
                <w:color w:val="auto"/>
                <w:sz w:val="21"/>
                <w:szCs w:val="21"/>
              </w:rPr>
              <w:t>，</w:t>
            </w:r>
            <w:r>
              <w:rPr>
                <w:rFonts w:hint="eastAsia" w:ascii="Times New Roman" w:hAnsi="Times New Roman"/>
                <w:color w:val="auto"/>
                <w:sz w:val="21"/>
                <w:szCs w:val="21"/>
                <w:lang w:eastAsia="zh-CN"/>
              </w:rPr>
              <w:t>不会</w:t>
            </w:r>
            <w:r>
              <w:rPr>
                <w:rFonts w:hint="eastAsia" w:ascii="Times New Roman" w:hAnsi="Times New Roman" w:eastAsia="宋体" w:cs="Times New Roman"/>
                <w:color w:val="auto"/>
                <w:spacing w:val="0"/>
                <w:sz w:val="21"/>
                <w:szCs w:val="21"/>
                <w:highlight w:val="none"/>
                <w:lang w:val="en-US" w:eastAsia="zh-CN"/>
              </w:rPr>
              <w:t>改变区域近岸海域</w:t>
            </w:r>
            <w:r>
              <w:rPr>
                <w:rFonts w:hint="default" w:ascii="Times New Roman" w:hAnsi="Times New Roman" w:eastAsia="宋体" w:cs="Times New Roman"/>
                <w:color w:val="auto"/>
                <w:spacing w:val="0"/>
                <w:sz w:val="21"/>
                <w:szCs w:val="21"/>
                <w:highlight w:val="none"/>
                <w:lang w:val="en-US" w:eastAsia="zh-CN"/>
              </w:rPr>
              <w:t>环境质量</w:t>
            </w:r>
            <w:r>
              <w:rPr>
                <w:rFonts w:hint="eastAsia" w:ascii="Times New Roman" w:hAnsi="Times New Roman" w:eastAsia="宋体" w:cs="Times New Roman"/>
                <w:color w:val="auto"/>
                <w:spacing w:val="0"/>
                <w:sz w:val="21"/>
                <w:szCs w:val="21"/>
                <w:highlight w:val="none"/>
                <w:lang w:val="en-US" w:eastAsia="zh-CN"/>
              </w:rPr>
              <w:t>等级，</w:t>
            </w:r>
            <w:r>
              <w:rPr>
                <w:rFonts w:hint="default" w:ascii="Times New Roman" w:hAnsi="Times New Roman" w:eastAsia="宋体" w:cs="Times New Roman"/>
                <w:color w:val="auto"/>
                <w:sz w:val="21"/>
                <w:szCs w:val="21"/>
                <w:lang w:val="en-US" w:eastAsia="zh-CN"/>
              </w:rPr>
              <w:t>项目建设不会突破区域</w:t>
            </w:r>
            <w:r>
              <w:rPr>
                <w:rFonts w:hint="eastAsia" w:ascii="Times New Roman" w:hAnsi="Times New Roman" w:eastAsia="宋体" w:cs="Times New Roman"/>
                <w:color w:val="auto"/>
                <w:sz w:val="21"/>
                <w:szCs w:val="21"/>
                <w:lang w:val="en-US" w:eastAsia="zh-CN"/>
              </w:rPr>
              <w:t>近岸海域</w:t>
            </w:r>
            <w:r>
              <w:rPr>
                <w:rFonts w:hint="default" w:ascii="Times New Roman" w:hAnsi="Times New Roman" w:eastAsia="宋体" w:cs="Times New Roman"/>
                <w:color w:val="auto"/>
                <w:sz w:val="21"/>
                <w:szCs w:val="21"/>
                <w:lang w:val="en-US" w:eastAsia="zh-CN"/>
              </w:rPr>
              <w:t>环境质量底线。</w:t>
            </w:r>
          </w:p>
          <w:p w14:paraId="51A574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③大气环境质量底线</w:t>
            </w:r>
          </w:p>
          <w:p w14:paraId="143D68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到2025年，环境空气质量持续改善，细颗粒物（PM</w:t>
            </w:r>
            <w:r>
              <w:rPr>
                <w:rFonts w:hint="default" w:ascii="Times New Roman" w:hAnsi="Times New Roman" w:eastAsia="宋体" w:cs="Times New Roman"/>
                <w:color w:val="auto"/>
                <w:sz w:val="21"/>
                <w:szCs w:val="21"/>
                <w:vertAlign w:val="subscript"/>
                <w:lang w:val="en-US" w:eastAsia="zh-CN"/>
              </w:rPr>
              <w:t>2.5</w:t>
            </w:r>
            <w:r>
              <w:rPr>
                <w:rFonts w:hint="default" w:ascii="Times New Roman" w:hAnsi="Times New Roman" w:eastAsia="宋体" w:cs="Times New Roman"/>
                <w:color w:val="auto"/>
                <w:sz w:val="21"/>
                <w:szCs w:val="21"/>
                <w:lang w:val="en-US" w:eastAsia="zh-CN"/>
              </w:rPr>
              <w:t>）年均浓度降至18.6μg/m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。到2035年，县级城市细颗粒物（PM</w:t>
            </w:r>
            <w:r>
              <w:rPr>
                <w:rFonts w:hint="default" w:ascii="Times New Roman" w:hAnsi="Times New Roman" w:eastAsia="宋体" w:cs="Times New Roman"/>
                <w:color w:val="auto"/>
                <w:sz w:val="21"/>
                <w:szCs w:val="21"/>
                <w:vertAlign w:val="subscript"/>
                <w:lang w:val="en-US" w:eastAsia="zh-CN"/>
              </w:rPr>
              <w:t>2.5</w:t>
            </w:r>
            <w:r>
              <w:rPr>
                <w:rFonts w:hint="default" w:ascii="Times New Roman" w:hAnsi="Times New Roman" w:eastAsia="宋体" w:cs="Times New Roman"/>
                <w:color w:val="auto"/>
                <w:sz w:val="21"/>
                <w:szCs w:val="21"/>
                <w:lang w:val="en-US" w:eastAsia="zh-CN"/>
              </w:rPr>
              <w:t>）年均浓度小于15μg/m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，最终指标值以省下达指标为准。</w:t>
            </w:r>
          </w:p>
          <w:p w14:paraId="13BEF5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项目废气经采取有效的污染防治措施后，各污染物均可实现达标排放，</w:t>
            </w:r>
            <w:r>
              <w:rPr>
                <w:rFonts w:hint="default" w:ascii="Times New Roman" w:hAnsi="Times New Roman" w:eastAsia="宋体" w:cs="Times New Roman"/>
                <w:color w:val="auto"/>
                <w:sz w:val="21"/>
                <w:szCs w:val="21"/>
                <w:lang w:val="en-US" w:eastAsia="zh-CN"/>
              </w:rPr>
              <w:t>项目的建设不会突破区域大气环境质量底线。</w:t>
            </w:r>
          </w:p>
          <w:p w14:paraId="7DFC76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④土壤环境风险防控底线</w:t>
            </w:r>
          </w:p>
          <w:p w14:paraId="18B645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到2025年，受污染耕地安全利用率达到95%（含）以上，重点建设用地安全利用率得到有效保障，重点行业企业用地优先管控名录地块风险管控率达到95%（含）以上，开垦耕地土壤污染调查覆盖率达90%以上，畜禽粪污综合利用率预期达95%（含）以上。</w:t>
            </w:r>
          </w:p>
          <w:p w14:paraId="44DE43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项目建设后，厂区除绿化带外地面全部硬化，生产过程不排放持久性及重金属等污染物，并严格按照要求进行分区防渗防控，不会改变地下水环境、土壤环境质量现状等级，符合土壤环境风险防控底线要求。</w:t>
            </w:r>
          </w:p>
          <w:p w14:paraId="29C1424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（3）资源利用上线 </w:t>
            </w:r>
          </w:p>
          <w:p w14:paraId="2A8FBD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①水资源利用上线</w:t>
            </w:r>
          </w:p>
          <w:p w14:paraId="2B6688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到2025年，全市总用水量目标值为28亿立方米，万元工业增加值用水量达到12立方米、万元GDP用水量达到19立方米、农田灌溉有效利用系数达到0.586。2035年指标以省人民政府下达为准</w:t>
            </w:r>
            <w:r>
              <w:rPr>
                <w:rFonts w:hint="default" w:ascii="Times New Roman" w:hAnsi="Times New Roman" w:eastAsia="宋体" w:cs="Times New Roman"/>
                <w:color w:val="auto"/>
                <w:sz w:val="21"/>
                <w:szCs w:val="21"/>
                <w:lang w:val="en-US" w:eastAsia="zh-CN"/>
              </w:rPr>
              <w:t>。</w:t>
            </w:r>
          </w:p>
          <w:p w14:paraId="5C6F23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项目运营期用水均来自市政供水，用水量不大，不属于高耗水项目，因此项目建设不会突破水资源利用上线。</w:t>
            </w:r>
          </w:p>
          <w:p w14:paraId="6E65E2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②土地资源利用上线</w:t>
            </w:r>
          </w:p>
          <w:p w14:paraId="078789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到2025年，耕地保有量达到947.53平方千米，基本农田保护面积达到844.82平方千米。2035年指标与2025年保持一致。</w:t>
            </w:r>
          </w:p>
          <w:p w14:paraId="16057F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项目租赁现有工业用地作为生产经营场所，出租方用地用房已取得土地证、产权证，符合土地资源利用上线管控要求，因此项目建设不会突破土地资源利用上线。</w:t>
            </w:r>
          </w:p>
          <w:p w14:paraId="373758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③能源资源利用上线</w:t>
            </w:r>
          </w:p>
          <w:p w14:paraId="7153E4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到2025年，单位地区生产总值二氧化碳排放降低率达到19.5%，单位地区生产总值能源消耗降低率达到14%，非化石能源占一次能源消费比例达到32%。2035年指标以省人民政府下达为准。</w:t>
            </w:r>
          </w:p>
          <w:p w14:paraId="4CE449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项目设备使用电能作为能源，不涉及高污染燃料，项目与福州市能源资源利用上线要求相符。</w:t>
            </w:r>
          </w:p>
          <w:p w14:paraId="219FE07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生态环境准入清单</w:t>
            </w:r>
          </w:p>
          <w:p w14:paraId="485878D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olor w:val="auto"/>
              </w:rPr>
            </w:pPr>
            <w:r>
              <w:rPr>
                <w:rFonts w:hint="eastAsia" w:ascii="Times New Roman" w:hAnsi="Times New Roman" w:eastAsia="宋体" w:cs="Times New Roman"/>
                <w:color w:val="auto"/>
                <w:sz w:val="21"/>
                <w:szCs w:val="21"/>
                <w:lang w:val="en-US" w:eastAsia="zh-CN"/>
              </w:rPr>
              <w:t>对照《福州市人民政府办公厅关于印发〈福州市生态环境分区管控方案（2023年更新）〉的通知》（榕政办规</w:t>
            </w:r>
            <w:r>
              <w:rPr>
                <w:rFonts w:hint="eastAsia" w:ascii="Times New Roman" w:hAnsi="Times New Roman" w:eastAsia="宋体" w:cs="Times New Roman"/>
                <w:color w:val="auto"/>
                <w:sz w:val="21"/>
                <w:szCs w:val="21"/>
                <w:highlight w:val="none"/>
                <w:lang w:val="en-US" w:eastAsia="zh-CN"/>
              </w:rPr>
              <w:t>〔2024〕20号）和福建省生态环境分区管控数据平台查询结果，项目与福州市陆域总体准入要求符合性分析见表1-3，与</w:t>
            </w:r>
            <w:r>
              <w:rPr>
                <w:rFonts w:hint="eastAsia" w:ascii="Times New Roman" w:hAnsi="Times New Roman" w:eastAsia="宋体" w:cs="Times New Roman"/>
                <w:color w:val="auto"/>
                <w:sz w:val="21"/>
                <w:szCs w:val="21"/>
                <w:lang w:val="en-US" w:eastAsia="zh-CN"/>
              </w:rPr>
              <w:t>“长乐区一般生态空间—生物多样性”（环境管控单元编码ZH35011210007）准入要求符合性分析见表1-4。福建省生态环境分区管控数据应用平台查询结果截图详见附图12，福建省生态环境分区管控综合查询报告详见附图13。</w:t>
            </w:r>
            <w:bookmarkEnd w:id="3"/>
            <w:bookmarkEnd w:id="4"/>
            <w:bookmarkEnd w:id="5"/>
            <w:bookmarkEnd w:id="6"/>
            <w:bookmarkEnd w:id="7"/>
          </w:p>
        </w:tc>
      </w:tr>
    </w:tbl>
    <w:p w14:paraId="74459B27">
      <w:pPr>
        <w:pStyle w:val="17"/>
        <w:jc w:val="center"/>
        <w:outlineLvl w:val="0"/>
        <w:rPr>
          <w:rFonts w:hint="default" w:ascii="Times New Roman" w:hAnsi="Times New Roman" w:eastAsia="黑体" w:cs="Times New Roman"/>
          <w:snapToGrid w:val="0"/>
          <w:color w:val="auto"/>
          <w:sz w:val="30"/>
          <w:szCs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945"/>
      </w:tblGrid>
      <w:tr w14:paraId="2F1E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4" w:hRule="atLeast"/>
        </w:trPr>
        <w:tc>
          <w:tcPr>
            <w:tcW w:w="707" w:type="dxa"/>
            <w:noWrap w:val="0"/>
            <w:vAlign w:val="top"/>
          </w:tcPr>
          <w:p w14:paraId="110517E0">
            <w:pPr>
              <w:pStyle w:val="17"/>
              <w:jc w:val="both"/>
              <w:outlineLvl w:val="0"/>
              <w:rPr>
                <w:rFonts w:hint="default" w:ascii="Times New Roman" w:hAnsi="Times New Roman" w:eastAsia="黑体" w:cs="Times New Roman"/>
                <w:snapToGrid w:val="0"/>
                <w:color w:val="auto"/>
                <w:sz w:val="30"/>
                <w:szCs w:val="30"/>
                <w:vertAlign w:val="baseline"/>
              </w:rPr>
            </w:pPr>
          </w:p>
        </w:tc>
        <w:tc>
          <w:tcPr>
            <w:tcW w:w="12945" w:type="dxa"/>
            <w:noWrap w:val="0"/>
            <w:vAlign w:val="top"/>
          </w:tcPr>
          <w:p w14:paraId="77375DBF">
            <w:pPr>
              <w:keepNext w:val="0"/>
              <w:keepLines w:val="0"/>
              <w:pageBreakBefore w:val="0"/>
              <w:widowControl w:val="0"/>
              <w:kinsoku/>
              <w:wordWrap/>
              <w:overflowPunct/>
              <w:topLinePunct w:val="0"/>
              <w:autoSpaceDE/>
              <w:autoSpaceDN/>
              <w:bidi w:val="0"/>
              <w:adjustRightInd/>
              <w:snapToGrid/>
              <w:spacing w:before="313" w:beforeLines="100" w:line="240" w:lineRule="auto"/>
              <w:ind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表</w:t>
            </w:r>
            <w:r>
              <w:rPr>
                <w:rFonts w:hint="eastAsia" w:ascii="Times New Roman" w:hAnsi="Times New Roman" w:eastAsia="黑体" w:cs="Times New Roman"/>
                <w:color w:val="auto"/>
                <w:sz w:val="21"/>
                <w:szCs w:val="21"/>
                <w:highlight w:val="none"/>
                <w:lang w:val="en-US" w:eastAsia="zh-CN"/>
              </w:rPr>
              <w:t>1-3 与全市总体准入要求的符合性分析</w:t>
            </w:r>
          </w:p>
          <w:tbl>
            <w:tblPr>
              <w:tblStyle w:val="20"/>
              <w:tblW w:w="4994"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557"/>
              <w:gridCol w:w="580"/>
              <w:gridCol w:w="8276"/>
              <w:gridCol w:w="2747"/>
              <w:gridCol w:w="554"/>
            </w:tblGrid>
            <w:tr w14:paraId="4C10B2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219" w:type="pct"/>
                  <w:noWrap w:val="0"/>
                  <w:vAlign w:val="center"/>
                </w:tcPr>
                <w:p w14:paraId="737FC6D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适用范围</w:t>
                  </w:r>
                </w:p>
              </w:tc>
              <w:tc>
                <w:tcPr>
                  <w:tcW w:w="3482" w:type="pct"/>
                  <w:gridSpan w:val="2"/>
                  <w:noWrap w:val="0"/>
                  <w:vAlign w:val="center"/>
                </w:tcPr>
                <w:p w14:paraId="446096D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准入要求</w:t>
                  </w:r>
                </w:p>
              </w:tc>
              <w:tc>
                <w:tcPr>
                  <w:tcW w:w="1080" w:type="pct"/>
                  <w:noWrap w:val="0"/>
                  <w:vAlign w:val="center"/>
                </w:tcPr>
                <w:p w14:paraId="0D748A7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217" w:type="pct"/>
                  <w:noWrap w:val="0"/>
                  <w:vAlign w:val="center"/>
                </w:tcPr>
                <w:p w14:paraId="02152E2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14:paraId="1772A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219" w:type="pct"/>
                  <w:vMerge w:val="restart"/>
                  <w:noWrap w:val="0"/>
                  <w:vAlign w:val="center"/>
                </w:tcPr>
                <w:p w14:paraId="77700C4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福州市</w:t>
                  </w:r>
                  <w:r>
                    <w:rPr>
                      <w:rFonts w:hint="default" w:ascii="Times New Roman" w:hAnsi="Times New Roman" w:cs="Times New Roman"/>
                      <w:color w:val="auto"/>
                      <w:sz w:val="21"/>
                      <w:szCs w:val="21"/>
                    </w:rPr>
                    <w:t>陆域</w:t>
                  </w:r>
                </w:p>
              </w:tc>
              <w:tc>
                <w:tcPr>
                  <w:tcW w:w="228" w:type="pct"/>
                  <w:vMerge w:val="restart"/>
                  <w:noWrap w:val="0"/>
                  <w:vAlign w:val="center"/>
                </w:tcPr>
                <w:p w14:paraId="1619C3F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3254" w:type="pct"/>
                  <w:noWrap w:val="0"/>
                  <w:vAlign w:val="center"/>
                </w:tcPr>
                <w:p w14:paraId="3DEE17A5">
                  <w:pPr>
                    <w:keepNext w:val="0"/>
                    <w:keepLines w:val="0"/>
                    <w:pageBreakBefore w:val="0"/>
                    <w:widowControl w:val="0"/>
                    <w:numPr>
                      <w:ilvl w:val="0"/>
                      <w:numId w:val="5"/>
                    </w:numPr>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优先保护单元中的生态保护红线</w:t>
                  </w:r>
                </w:p>
                <w:p w14:paraId="4BCD4244">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40" w:lineRule="exact"/>
                    <w:ind w:right="0" w:rightChars="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val="en-US" w:eastAsia="zh-CN"/>
                    </w:rPr>
                    <w:t>1.</w:t>
                  </w:r>
                  <w:r>
                    <w:rPr>
                      <w:rFonts w:hint="eastAsia" w:ascii="Times New Roman" w:hAnsi="Times New Roman"/>
                      <w:color w:val="auto"/>
                      <w:sz w:val="21"/>
                      <w:szCs w:val="21"/>
                      <w:lang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7E765FB0">
                  <w:pPr>
                    <w:pStyle w:val="9"/>
                    <w:keepNext w:val="0"/>
                    <w:keepLines w:val="0"/>
                    <w:pageBreakBefore w:val="0"/>
                    <w:widowControl/>
                    <w:numPr>
                      <w:ilvl w:val="0"/>
                      <w:numId w:val="6"/>
                    </w:numPr>
                    <w:kinsoku/>
                    <w:wordWrap/>
                    <w:overflowPunct/>
                    <w:topLinePunct w:val="0"/>
                    <w:autoSpaceDE/>
                    <w:autoSpaceDN/>
                    <w:bidi w:val="0"/>
                    <w:adjustRightInd/>
                    <w:snapToGrid w:val="0"/>
                    <w:spacing w:before="0" w:after="0" w:line="340" w:lineRule="exact"/>
                    <w:ind w:right="0" w:rightChars="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管护巡护、保护执法、科学研究、调查监测、测绘导航、防灾减灾救灾、军事国防、疫情防控等活动及相关的必要设施修筑。</w:t>
                  </w:r>
                </w:p>
                <w:p w14:paraId="7E6891BA">
                  <w:pPr>
                    <w:pStyle w:val="9"/>
                    <w:keepNext w:val="0"/>
                    <w:keepLines w:val="0"/>
                    <w:pageBreakBefore w:val="0"/>
                    <w:widowControl/>
                    <w:numPr>
                      <w:ilvl w:val="0"/>
                      <w:numId w:val="6"/>
                    </w:numPr>
                    <w:kinsoku/>
                    <w:wordWrap/>
                    <w:overflowPunct/>
                    <w:topLinePunct w:val="0"/>
                    <w:autoSpaceDE/>
                    <w:autoSpaceDN/>
                    <w:bidi w:val="0"/>
                    <w:adjustRightInd/>
                    <w:snapToGrid w:val="0"/>
                    <w:spacing w:before="0" w:after="0" w:line="340" w:lineRule="exact"/>
                    <w:ind w:left="0" w:leftChars="0" w:right="0" w:rightChars="0" w:firstLine="0" w:firstLineChars="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6B7388F7">
                  <w:pPr>
                    <w:pStyle w:val="9"/>
                    <w:keepNext w:val="0"/>
                    <w:keepLines w:val="0"/>
                    <w:pageBreakBefore w:val="0"/>
                    <w:widowControl/>
                    <w:numPr>
                      <w:ilvl w:val="0"/>
                      <w:numId w:val="6"/>
                    </w:numPr>
                    <w:kinsoku/>
                    <w:wordWrap/>
                    <w:overflowPunct/>
                    <w:topLinePunct w:val="0"/>
                    <w:autoSpaceDE/>
                    <w:autoSpaceDN/>
                    <w:bidi w:val="0"/>
                    <w:adjustRightInd/>
                    <w:snapToGrid w:val="0"/>
                    <w:spacing w:before="0" w:after="0" w:line="340" w:lineRule="exact"/>
                    <w:ind w:left="0" w:leftChars="0" w:right="0" w:rightChars="0" w:firstLine="0" w:firstLineChars="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经依法批准的考古调查发掘、古生物化石调查发掘、标本采集和文物保护活动。</w:t>
                  </w:r>
                </w:p>
                <w:p w14:paraId="573D94A6">
                  <w:pPr>
                    <w:pStyle w:val="9"/>
                    <w:keepNext w:val="0"/>
                    <w:keepLines w:val="0"/>
                    <w:pageBreakBefore w:val="0"/>
                    <w:widowControl/>
                    <w:numPr>
                      <w:ilvl w:val="0"/>
                      <w:numId w:val="6"/>
                    </w:numPr>
                    <w:kinsoku/>
                    <w:wordWrap/>
                    <w:overflowPunct/>
                    <w:topLinePunct w:val="0"/>
                    <w:autoSpaceDE/>
                    <w:autoSpaceDN/>
                    <w:bidi w:val="0"/>
                    <w:adjustRightInd/>
                    <w:snapToGrid w:val="0"/>
                    <w:spacing w:before="0" w:after="0" w:line="340" w:lineRule="exact"/>
                    <w:ind w:left="0" w:leftChars="0" w:right="0" w:rightChars="0" w:firstLine="0" w:firstLineChars="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按规定对人工商品林进行抚育采伐，或以提升森林质量、优化栖息地、建设生物防火隔离带等为目的的树种更新，依法开展的竹林采伐经营。</w:t>
                  </w:r>
                </w:p>
                <w:p w14:paraId="30B7F022">
                  <w:pPr>
                    <w:pStyle w:val="9"/>
                    <w:keepNext w:val="0"/>
                    <w:keepLines w:val="0"/>
                    <w:pageBreakBefore w:val="0"/>
                    <w:widowControl/>
                    <w:numPr>
                      <w:ilvl w:val="0"/>
                      <w:numId w:val="6"/>
                    </w:numPr>
                    <w:kinsoku/>
                    <w:wordWrap/>
                    <w:overflowPunct/>
                    <w:topLinePunct w:val="0"/>
                    <w:autoSpaceDE/>
                    <w:autoSpaceDN/>
                    <w:bidi w:val="0"/>
                    <w:adjustRightInd/>
                    <w:snapToGrid w:val="0"/>
                    <w:spacing w:before="0" w:after="0" w:line="340" w:lineRule="exact"/>
                    <w:ind w:left="0" w:leftChars="0" w:right="0" w:rightChars="0" w:firstLine="0" w:firstLineChars="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不破坏生态功能的适度参观旅游、科普宣教及符合相关规划的配套性服务设施和相关的必要公共设施建设及维护。</w:t>
                  </w:r>
                </w:p>
                <w:p w14:paraId="0D71D4EC">
                  <w:pPr>
                    <w:pStyle w:val="9"/>
                    <w:keepNext w:val="0"/>
                    <w:keepLines w:val="0"/>
                    <w:pageBreakBefore w:val="0"/>
                    <w:widowControl/>
                    <w:numPr>
                      <w:ilvl w:val="0"/>
                      <w:numId w:val="6"/>
                    </w:numPr>
                    <w:kinsoku/>
                    <w:wordWrap/>
                    <w:overflowPunct/>
                    <w:topLinePunct w:val="0"/>
                    <w:autoSpaceDE/>
                    <w:autoSpaceDN/>
                    <w:bidi w:val="0"/>
                    <w:adjustRightInd/>
                    <w:snapToGrid w:val="0"/>
                    <w:spacing w:before="0" w:after="0" w:line="340" w:lineRule="exact"/>
                    <w:ind w:left="0" w:leftChars="0" w:right="0" w:rightChars="0" w:firstLine="0" w:firstLineChars="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必须且无法避让、符合县级以上国土空间规划的线性基础设施、通讯和防洪、供水设施建设和船舶航行、航道疏浚清淤等活动；已有的合法水利、交通运输等设施运行维护改造。</w:t>
                  </w:r>
                </w:p>
                <w:p w14:paraId="5CC71F75">
                  <w:pPr>
                    <w:pStyle w:val="9"/>
                    <w:keepNext w:val="0"/>
                    <w:keepLines w:val="0"/>
                    <w:pageBreakBefore w:val="0"/>
                    <w:widowControl/>
                    <w:numPr>
                      <w:ilvl w:val="0"/>
                      <w:numId w:val="6"/>
                    </w:numPr>
                    <w:kinsoku/>
                    <w:wordWrap/>
                    <w:overflowPunct/>
                    <w:topLinePunct w:val="0"/>
                    <w:autoSpaceDE/>
                    <w:autoSpaceDN/>
                    <w:bidi w:val="0"/>
                    <w:adjustRightInd/>
                    <w:snapToGrid w:val="0"/>
                    <w:spacing w:before="0" w:after="0" w:line="340" w:lineRule="exact"/>
                    <w:ind w:left="0" w:leftChars="0" w:right="0" w:rightChars="0" w:firstLine="0" w:firstLineChars="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706230DD">
                  <w:pPr>
                    <w:pStyle w:val="9"/>
                    <w:keepNext w:val="0"/>
                    <w:keepLines w:val="0"/>
                    <w:pageBreakBefore w:val="0"/>
                    <w:widowControl/>
                    <w:numPr>
                      <w:ilvl w:val="0"/>
                      <w:numId w:val="6"/>
                    </w:numPr>
                    <w:kinsoku/>
                    <w:wordWrap/>
                    <w:overflowPunct/>
                    <w:topLinePunct w:val="0"/>
                    <w:autoSpaceDE/>
                    <w:autoSpaceDN/>
                    <w:bidi w:val="0"/>
                    <w:adjustRightInd/>
                    <w:snapToGrid w:val="0"/>
                    <w:spacing w:before="0" w:after="0" w:line="340" w:lineRule="exact"/>
                    <w:ind w:left="0" w:leftChars="0" w:right="0" w:rightChars="0" w:firstLine="0" w:firstLineChars="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依据县级以上国土空间规划和生态保护修复专项规划开展的生态修复。</w:t>
                  </w:r>
                </w:p>
                <w:p w14:paraId="5D40FBA6">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40" w:lineRule="exact"/>
                    <w:ind w:leftChars="0" w:right="0" w:rightChars="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（9）法律法规规定允许的其他人为活动。</w:t>
                  </w:r>
                </w:p>
                <w:p w14:paraId="263C1D09">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2.依据《福建省自然资源厅福建省生态环境厅福建省林业局关于进一步加强生态保护红线监管的通知（试行）》（闽自然资发〔2023〕56号），允许占用生态保护红线的重大项目范围：</w:t>
                  </w:r>
                </w:p>
                <w:p w14:paraId="6FE18A56">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（1）党中央、国务院发布文件或批准规划中明确具体名称的项目和国务院批准的项目。</w:t>
                  </w:r>
                </w:p>
                <w:p w14:paraId="7484E4BD">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（2）中央军委及其有关部门批准的军事国防项目。</w:t>
                  </w:r>
                </w:p>
                <w:p w14:paraId="6D78E3E4">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（3）国家级规划（指国务院及其有关部门正式颁布）明确的交通、水利项目。</w:t>
                  </w:r>
                </w:p>
                <w:p w14:paraId="02A54E67">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（4）国家级规划明确的电网项目，国家级规划明确的且符合国家产业政策的能源矿产勘查开采、油气管线、水电、核电项目。</w:t>
                  </w:r>
                </w:p>
                <w:p w14:paraId="5910A9E5">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（5）为贯彻落实党中央、国务院重大决策部署，国务院投资主管部门或国务院投资主管部门会同有关部门确认的交通、能源、水利等基础设施项目。</w:t>
                  </w:r>
                </w:p>
                <w:p w14:paraId="58A10C3B">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（6）按照国家重大项目用地保障工作机制要求，国家发展改革委会同有关部门确认的需中央加大建</w:t>
                  </w:r>
                  <w:r>
                    <w:rPr>
                      <w:rFonts w:hint="eastAsia" w:ascii="Times New Roman" w:hAnsi="Times New Roman" w:eastAsia="宋体" w:cs="Times New Roman"/>
                      <w:color w:val="auto"/>
                      <w:sz w:val="21"/>
                      <w:szCs w:val="21"/>
                      <w:lang w:eastAsia="zh-CN"/>
                    </w:rPr>
                    <w:t>设用地保障力度，确实难以避让的国家重大项目。</w:t>
                  </w:r>
                </w:p>
              </w:tc>
              <w:tc>
                <w:tcPr>
                  <w:tcW w:w="1080" w:type="pct"/>
                  <w:noWrap w:val="0"/>
                  <w:vAlign w:val="center"/>
                </w:tcPr>
                <w:p w14:paraId="60FE66B8">
                  <w:pPr>
                    <w:pStyle w:val="9"/>
                    <w:keepNext w:val="0"/>
                    <w:keepLines w:val="0"/>
                    <w:pageBreakBefore w:val="0"/>
                    <w:kinsoku/>
                    <w:wordWrap/>
                    <w:overflowPunct/>
                    <w:topLinePunct w:val="0"/>
                    <w:autoSpaceDE/>
                    <w:autoSpaceDN/>
                    <w:bidi w:val="0"/>
                    <w:spacing w:before="0" w:after="0" w:line="340" w:lineRule="exact"/>
                    <w:ind w:right="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本项目位于福州市长乐区松下镇山前村新村东区66号，</w:t>
                  </w:r>
                </w:p>
                <w:p w14:paraId="7FFB7141">
                  <w:pPr>
                    <w:pStyle w:val="9"/>
                    <w:keepNext w:val="0"/>
                    <w:keepLines w:val="0"/>
                    <w:pageBreakBefore w:val="0"/>
                    <w:kinsoku/>
                    <w:wordWrap/>
                    <w:overflowPunct/>
                    <w:topLinePunct w:val="0"/>
                    <w:autoSpaceDE/>
                    <w:autoSpaceDN/>
                    <w:bidi w:val="0"/>
                    <w:spacing w:before="0" w:after="0" w:line="340" w:lineRule="exact"/>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color w:val="auto"/>
                      <w:sz w:val="21"/>
                      <w:szCs w:val="21"/>
                      <w:lang w:eastAsia="zh-CN"/>
                    </w:rPr>
                    <w:t>项目</w:t>
                  </w:r>
                  <w:r>
                    <w:rPr>
                      <w:rFonts w:hint="eastAsia" w:ascii="Times New Roman" w:hAnsi="Times New Roman"/>
                      <w:color w:val="auto"/>
                      <w:sz w:val="21"/>
                      <w:szCs w:val="21"/>
                      <w:lang w:val="en-US" w:eastAsia="zh-CN"/>
                    </w:rPr>
                    <w:t>不</w:t>
                  </w:r>
                  <w:r>
                    <w:rPr>
                      <w:rFonts w:hint="eastAsia" w:ascii="Times New Roman" w:hAnsi="Times New Roman"/>
                      <w:color w:val="auto"/>
                      <w:sz w:val="21"/>
                      <w:szCs w:val="21"/>
                      <w:lang w:eastAsia="zh-CN"/>
                    </w:rPr>
                    <w:t>涉及生态保护红线。</w:t>
                  </w:r>
                </w:p>
              </w:tc>
              <w:tc>
                <w:tcPr>
                  <w:tcW w:w="217" w:type="pct"/>
                  <w:noWrap w:val="0"/>
                  <w:vAlign w:val="center"/>
                </w:tcPr>
                <w:p w14:paraId="563513E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符合</w:t>
                  </w:r>
                </w:p>
              </w:tc>
            </w:tr>
            <w:tr w14:paraId="5D1504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219" w:type="pct"/>
                  <w:vMerge w:val="continue"/>
                  <w:noWrap w:val="0"/>
                  <w:vAlign w:val="center"/>
                </w:tcPr>
                <w:p w14:paraId="22A4DF0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p>
              </w:tc>
              <w:tc>
                <w:tcPr>
                  <w:tcW w:w="228" w:type="pct"/>
                  <w:vMerge w:val="continue"/>
                  <w:noWrap w:val="0"/>
                  <w:vAlign w:val="center"/>
                </w:tcPr>
                <w:p w14:paraId="3C28627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p>
              </w:tc>
              <w:tc>
                <w:tcPr>
                  <w:tcW w:w="3254" w:type="pct"/>
                  <w:noWrap w:val="0"/>
                  <w:vAlign w:val="center"/>
                </w:tcPr>
                <w:p w14:paraId="0A52CB0A">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二、优先保护单元中的一般生态空间</w:t>
                  </w:r>
                </w:p>
                <w:p w14:paraId="5EB5E0B5">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1.一般生态空间以保护和修复生态环境、提供生态产品和服务为首要任务，因地制宜地发展不影响主体功能定位的适宜产业。</w:t>
                  </w:r>
                </w:p>
                <w:p w14:paraId="6082E6CF">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2.一般生态空间内未纳入生态保护红线的饮用水水源保护区等各类法定保护地，其管控要求依照相关法律法规执行。</w:t>
                  </w:r>
                </w:p>
                <w:p w14:paraId="1CA51D67">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color w:val="auto"/>
                      <w:sz w:val="21"/>
                      <w:szCs w:val="21"/>
                      <w:lang w:eastAsia="zh-CN"/>
                    </w:rPr>
                    <w:t>3.一般生态空间内现有合法的水泥厂、矿山开发等生产性设施及生活垃圾处置等民生工程予以保留，应按照法律法规要求落实污染防治和生态保护措施，避免对生态功能造成破坏。</w:t>
                  </w:r>
                </w:p>
              </w:tc>
              <w:tc>
                <w:tcPr>
                  <w:tcW w:w="1080" w:type="pct"/>
                  <w:noWrap w:val="0"/>
                  <w:vAlign w:val="center"/>
                </w:tcPr>
                <w:p w14:paraId="18556CF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本项目位于福州市长乐区松下镇山前村新村东区66号，经对照，项目位于“长乐区一般生态空间—生物多样性生态功能重要区域”（环境管控单元编码ZH35011210007）。</w:t>
                  </w:r>
                </w:p>
                <w:p w14:paraId="751EDE9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eastAsia" w:ascii="Times New Roman" w:hAnsi="Times New Roman"/>
                      <w:color w:val="auto"/>
                      <w:sz w:val="21"/>
                      <w:szCs w:val="21"/>
                      <w:lang w:eastAsia="zh-CN"/>
                    </w:rPr>
                  </w:pPr>
                  <w:r>
                    <w:rPr>
                      <w:rFonts w:hint="eastAsia" w:ascii="Times New Roman" w:hAnsi="Times New Roman" w:eastAsia="宋体" w:cs="Times New Roman"/>
                      <w:color w:val="auto"/>
                      <w:kern w:val="0"/>
                      <w:sz w:val="21"/>
                      <w:szCs w:val="21"/>
                      <w:lang w:val="en-US" w:eastAsia="zh-CN" w:bidi="ar-SA"/>
                    </w:rPr>
                    <w:t>项目租赁现有工业厂区进行生产经营活动，用地不涉及饮用水源保护区等各类法定保护区，运营期将采取防治措施，对污染物处理达标排放或妥善委托处置，避免对生态功能造成破坏</w:t>
                  </w:r>
                </w:p>
              </w:tc>
              <w:tc>
                <w:tcPr>
                  <w:tcW w:w="217" w:type="pct"/>
                  <w:noWrap w:val="0"/>
                  <w:vAlign w:val="center"/>
                </w:tcPr>
                <w:p w14:paraId="60F31E9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符合</w:t>
                  </w:r>
                </w:p>
              </w:tc>
            </w:tr>
            <w:tr w14:paraId="41649E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219" w:type="pct"/>
                  <w:vMerge w:val="continue"/>
                  <w:noWrap w:val="0"/>
                  <w:vAlign w:val="center"/>
                </w:tcPr>
                <w:p w14:paraId="36C0871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p>
              </w:tc>
              <w:tc>
                <w:tcPr>
                  <w:tcW w:w="228" w:type="pct"/>
                  <w:vMerge w:val="continue"/>
                  <w:noWrap w:val="0"/>
                  <w:vAlign w:val="center"/>
                </w:tcPr>
                <w:p w14:paraId="1C9713B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p>
              </w:tc>
              <w:tc>
                <w:tcPr>
                  <w:tcW w:w="3254" w:type="pct"/>
                  <w:noWrap w:val="0"/>
                  <w:vAlign w:val="center"/>
                </w:tcPr>
                <w:p w14:paraId="40420EE0">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left"/>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b/>
                      <w:bCs/>
                      <w:color w:val="auto"/>
                      <w:sz w:val="21"/>
                      <w:szCs w:val="21"/>
                      <w:lang w:eastAsia="zh-CN"/>
                    </w:rPr>
                    <w:t>三</w:t>
                  </w:r>
                  <w:r>
                    <w:rPr>
                      <w:rFonts w:hint="eastAsia" w:ascii="Times New Roman" w:hAnsi="Times New Roman" w:eastAsia="宋体" w:cs="Times New Roman"/>
                      <w:b/>
                      <w:bCs/>
                      <w:color w:val="auto"/>
                      <w:sz w:val="21"/>
                      <w:szCs w:val="21"/>
                      <w:lang w:eastAsia="zh-CN"/>
                    </w:rPr>
                    <w:t>、其他要求</w:t>
                  </w:r>
                </w:p>
                <w:p w14:paraId="6331094D">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1.福州市石化中上游项目重点在福州江阴港城经济区、可门港经济区化工新材料产业园布局。</w:t>
                  </w:r>
                </w:p>
                <w:p w14:paraId="1ABF3E92">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2.禁止在闽江马尾罗星塔以上流域范围新、扩建制革项目，严控新（扩）建植物制浆、印染、合成革及人造革、电镀项目。</w:t>
                  </w:r>
                </w:p>
                <w:p w14:paraId="2B252BBE">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3.禁止在通风廊道和主导风向的上风向布局大气重污染企业，推进建成区大气重污染企业搬迁或升级改造、环境风险企业搬迁或关闭退出。</w:t>
                  </w:r>
                </w:p>
                <w:p w14:paraId="7931815F">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4.禁止新、改、扩建生产高VOCs含量有机溶剂型涂料、油墨和胶黏剂的项目。</w:t>
                  </w:r>
                </w:p>
                <w:p w14:paraId="26703DDD">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5.持续加强闽清等地建陶产业的环境综合治理，充分衔接国土空间规划和生态环境分区管控，并对照产业政策、城市总体发展规划等要求，进一步明确发展定位，优化产业布局和规模。</w:t>
                  </w:r>
                </w:p>
                <w:p w14:paraId="23F876C0">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6.新建、扩建的涉及重点重金属污染物</w:t>
                  </w:r>
                  <w:r>
                    <w:rPr>
                      <w:rFonts w:hint="eastAsia" w:ascii="Times New Roman" w:hAnsi="Times New Roman" w:eastAsia="宋体" w:cs="Times New Roman"/>
                      <w:b w:val="0"/>
                      <w:bCs w:val="0"/>
                      <w:color w:val="auto"/>
                      <w:sz w:val="21"/>
                      <w:szCs w:val="21"/>
                      <w:vertAlign w:val="superscript"/>
                      <w:lang w:val="en-US" w:eastAsia="zh-CN"/>
                    </w:rPr>
                    <w:t>[1]</w:t>
                  </w:r>
                  <w:r>
                    <w:rPr>
                      <w:rFonts w:hint="eastAsia" w:ascii="Times New Roman" w:hAnsi="Times New Roman" w:eastAsia="宋体" w:cs="Times New Roman"/>
                      <w:b w:val="0"/>
                      <w:bCs w:val="0"/>
                      <w:color w:val="auto"/>
                      <w:sz w:val="21"/>
                      <w:szCs w:val="21"/>
                      <w:lang w:eastAsia="zh-CN"/>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25F71A88">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7.禁止在流域上游新建、扩建重污染企业和项目。</w:t>
                  </w:r>
                </w:p>
                <w:p w14:paraId="66689530">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8.重要敏感水体及富营养化湖库生态缓冲带除相关政府部门批准的科学研究活动外，禁止其它可能对保护区构成危害或不良影响的大规模生产、建设活动。</w:t>
                  </w:r>
                </w:p>
                <w:p w14:paraId="54C060A5">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9.新、改、扩建煤电、钢铁、建材、石化、化工等“两高”项目，严格落实国家、省、市产业规划、产业政策、“三线一单”、规划环评，以及产能置换、煤炭消费减量替代、区域污染削减等相关要求。</w:t>
                  </w:r>
                </w:p>
                <w:p w14:paraId="68DC4FB4">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10.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80" w:type="pct"/>
                  <w:noWrap w:val="0"/>
                  <w:vAlign w:val="center"/>
                </w:tcPr>
                <w:p w14:paraId="53DB01E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1.项目不属于石化项目；</w:t>
                  </w:r>
                </w:p>
                <w:p w14:paraId="0682DFDE">
                  <w:pPr>
                    <w:pStyle w:val="9"/>
                    <w:keepNext w:val="0"/>
                    <w:keepLines w:val="0"/>
                    <w:pageBreakBefore w:val="0"/>
                    <w:kinsoku/>
                    <w:wordWrap/>
                    <w:overflowPunct/>
                    <w:topLinePunct w:val="0"/>
                    <w:autoSpaceDE/>
                    <w:autoSpaceDN/>
                    <w:bidi w:val="0"/>
                    <w:spacing w:before="0" w:after="0" w:line="340" w:lineRule="exact"/>
                    <w:ind w:right="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2.项目不属于制革项目，也不属于植物制浆、印染、合成革及人造革、电镀项目；</w:t>
                  </w:r>
                </w:p>
                <w:p w14:paraId="53F5624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3.项目废气经处理后可达标排放，废气排放量较小，不属于大气重污染企业；</w:t>
                  </w:r>
                </w:p>
                <w:p w14:paraId="164EC3A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4.项目不属于生产高VOCs含量有机溶剂型涂料、油墨和胶黏剂的项目；</w:t>
                  </w:r>
                </w:p>
                <w:p w14:paraId="270DAAD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5.项目不属于建陶行业；</w:t>
                  </w:r>
                </w:p>
                <w:p w14:paraId="52EA2C33">
                  <w:pPr>
                    <w:keepNext w:val="0"/>
                    <w:keepLines w:val="0"/>
                    <w:pageBreakBefore w:val="0"/>
                    <w:kinsoku/>
                    <w:wordWrap/>
                    <w:overflowPunct/>
                    <w:topLinePunct w:val="0"/>
                    <w:autoSpaceDE/>
                    <w:autoSpaceDN/>
                    <w:bidi w:val="0"/>
                    <w:spacing w:line="340" w:lineRule="exact"/>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6.项目不涉及重点重金属污染物排放，不属于低端落后产能项目，不涉及使用汞的电石法（聚）氯乙烯生产工艺，不属于电镀企业；</w:t>
                  </w:r>
                </w:p>
                <w:p w14:paraId="43717711">
                  <w:pPr>
                    <w:pStyle w:val="9"/>
                    <w:keepNext w:val="0"/>
                    <w:keepLines w:val="0"/>
                    <w:pageBreakBefore w:val="0"/>
                    <w:kinsoku/>
                    <w:wordWrap/>
                    <w:overflowPunct/>
                    <w:topLinePunct w:val="0"/>
                    <w:autoSpaceDE/>
                    <w:autoSpaceDN/>
                    <w:bidi w:val="0"/>
                    <w:spacing w:before="0" w:after="0" w:line="340" w:lineRule="exact"/>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7.项目不属于重污染企业和项目；</w:t>
                  </w:r>
                </w:p>
                <w:p w14:paraId="21A54CC9">
                  <w:pPr>
                    <w:keepNext w:val="0"/>
                    <w:keepLines w:val="0"/>
                    <w:pageBreakBefore w:val="0"/>
                    <w:kinsoku/>
                    <w:wordWrap/>
                    <w:overflowPunct/>
                    <w:topLinePunct w:val="0"/>
                    <w:autoSpaceDE/>
                    <w:autoSpaceDN/>
                    <w:bidi w:val="0"/>
                    <w:spacing w:line="340" w:lineRule="exact"/>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8.项目不位于重要敏感水体及富营养化湖库生态缓冲带；</w:t>
                  </w:r>
                </w:p>
                <w:p w14:paraId="101F5BEF">
                  <w:pPr>
                    <w:pStyle w:val="9"/>
                    <w:keepNext w:val="0"/>
                    <w:keepLines w:val="0"/>
                    <w:pageBreakBefore w:val="0"/>
                    <w:kinsoku/>
                    <w:wordWrap/>
                    <w:overflowPunct/>
                    <w:topLinePunct w:val="0"/>
                    <w:autoSpaceDE/>
                    <w:autoSpaceDN/>
                    <w:bidi w:val="0"/>
                    <w:spacing w:before="0" w:after="0" w:line="340" w:lineRule="exact"/>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9.项目不属于煤电、钢铁、建材、石化、化工等“两高”项目；</w:t>
                  </w:r>
                </w:p>
                <w:p w14:paraId="0E8ECEF9">
                  <w:pPr>
                    <w:keepNext w:val="0"/>
                    <w:keepLines w:val="0"/>
                    <w:pageBreakBefore w:val="0"/>
                    <w:kinsoku/>
                    <w:wordWrap/>
                    <w:overflowPunct/>
                    <w:topLinePunct w:val="0"/>
                    <w:autoSpaceDE/>
                    <w:autoSpaceDN/>
                    <w:bidi w:val="0"/>
                    <w:spacing w:line="340" w:lineRule="exact"/>
                    <w:ind w:right="0"/>
                    <w:textAlignment w:val="auto"/>
                    <w:rPr>
                      <w:rFonts w:hint="default" w:ascii="Times New Roman" w:hAnsi="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10.项目用地不涉及永久基本农田，不涉及防风固沙林、农田保护林</w:t>
                  </w:r>
                </w:p>
              </w:tc>
              <w:tc>
                <w:tcPr>
                  <w:tcW w:w="217" w:type="pct"/>
                  <w:noWrap w:val="0"/>
                  <w:vAlign w:val="center"/>
                </w:tcPr>
                <w:p w14:paraId="0BBEE3D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符合</w:t>
                  </w:r>
                </w:p>
              </w:tc>
            </w:tr>
            <w:tr w14:paraId="530C28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219" w:type="pct"/>
                  <w:vMerge w:val="continue"/>
                  <w:noWrap w:val="0"/>
                  <w:vAlign w:val="center"/>
                </w:tcPr>
                <w:p w14:paraId="25151AE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p>
              </w:tc>
              <w:tc>
                <w:tcPr>
                  <w:tcW w:w="228" w:type="pct"/>
                  <w:noWrap w:val="0"/>
                  <w:vAlign w:val="center"/>
                </w:tcPr>
                <w:p w14:paraId="24C162A3">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3254" w:type="pct"/>
                  <w:noWrap w:val="0"/>
                  <w:vAlign w:val="center"/>
                </w:tcPr>
                <w:p w14:paraId="21FEA1B3">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right="0" w:rightChars="0"/>
                    <w:jc w:val="left"/>
                    <w:textAlignment w:val="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30E5F01F">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right="0" w:rightChars="0"/>
                    <w:jc w:val="left"/>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2.新、改、扩建涉VOCs排放项目，应从源头加强控制，使用低（无）VOCs含量的原辅材料，实施新建项目VOCs排放区域内1.2及以上倍量替代。</w:t>
                  </w:r>
                </w:p>
                <w:p w14:paraId="7BD134F6">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right="0" w:rightChars="0"/>
                    <w:jc w:val="left"/>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59D2B4BA">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right="0" w:rightChars="0"/>
                    <w:jc w:val="left"/>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4.氟化工、印染、电镀等行业企业实行水污染物特别排放限值。</w:t>
                  </w:r>
                </w:p>
                <w:p w14:paraId="0FD131F5">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right="0" w:rightChars="0"/>
                    <w:jc w:val="left"/>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5.新、改、扩建重点行业</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建设项目要遵循重点重金属污染物排放“等量替代”原则，总量来源原则上应是同一重点行业内的削减量，当同一重点行业无法满足时可从其他重点行业调剂。</w:t>
                  </w:r>
                </w:p>
                <w:p w14:paraId="3636A0C4">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right="0" w:rightChars="0"/>
                    <w:jc w:val="left"/>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6.每小时35（含）—65蒸吨燃煤锅炉和位于县级及以上城市建成区内保留的燃煤、燃油、燃生物质锅炉，原则上2024年底前必须全面实现超低排放。</w:t>
                  </w:r>
                </w:p>
                <w:p w14:paraId="5950610C">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right="0" w:rightChars="0"/>
                    <w:jc w:val="left"/>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7.水泥行业新改扩建项目严格对照超低排放、能效标杆水平建设实施；现有项目超低排放改造应按文件（闽环规〔2023〕2号）的时限要求分步推进，2025年底前全面完成</w:t>
                  </w:r>
                  <w:r>
                    <w:rPr>
                      <w:rFonts w:hint="default" w:ascii="Times New Roman" w:hAnsi="Times New Roman" w:cs="Times New Roman"/>
                      <w:color w:val="auto"/>
                      <w:sz w:val="21"/>
                      <w:szCs w:val="21"/>
                      <w:vertAlign w:val="superscript"/>
                    </w:rPr>
                    <w:t>［3］［4］</w:t>
                  </w:r>
                  <w:r>
                    <w:rPr>
                      <w:rFonts w:hint="default" w:ascii="Times New Roman" w:hAnsi="Times New Roman" w:cs="Times New Roman"/>
                      <w:color w:val="auto"/>
                      <w:sz w:val="21"/>
                      <w:szCs w:val="21"/>
                    </w:rPr>
                    <w:t>。</w:t>
                  </w:r>
                </w:p>
                <w:p w14:paraId="61B5640B">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right="0" w:rightChars="0"/>
                    <w:jc w:val="left"/>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80" w:type="pct"/>
                  <w:noWrap w:val="0"/>
                  <w:vAlign w:val="center"/>
                </w:tcPr>
                <w:p w14:paraId="279FA9B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1.项目不涉及总量指标化学需氧量、氨氮、二氧化硫、氮氧化物；</w:t>
                  </w:r>
                </w:p>
                <w:p w14:paraId="4B04BD5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2.项目VOCs主要为拆解过程废油废液抽取产生，排放量将在区域内按现行规定实施倍量替代；</w:t>
                  </w:r>
                </w:p>
                <w:p w14:paraId="252BD2A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3.项目不属于钢铁、水泥、平板玻璃、有色金属冶炼、化工等工业项目；</w:t>
                  </w:r>
                </w:p>
                <w:p w14:paraId="17D74BF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4.项目不属于氟化工、印染、电镀等行业企业；</w:t>
                  </w:r>
                </w:p>
                <w:p w14:paraId="3F75E40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5.项目不属于重点行业，不涉及重点重金属污染物排放；</w:t>
                  </w:r>
                </w:p>
                <w:p w14:paraId="45F0348A">
                  <w:pPr>
                    <w:pStyle w:val="9"/>
                    <w:keepNext w:val="0"/>
                    <w:keepLines w:val="0"/>
                    <w:pageBreakBefore w:val="0"/>
                    <w:kinsoku/>
                    <w:wordWrap/>
                    <w:overflowPunct/>
                    <w:topLinePunct w:val="0"/>
                    <w:autoSpaceDE/>
                    <w:autoSpaceDN/>
                    <w:bidi w:val="0"/>
                    <w:spacing w:before="0" w:after="0" w:line="340" w:lineRule="exact"/>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6.项目不涉及燃煤、燃油、燃生物质锅炉使用；</w:t>
                  </w:r>
                </w:p>
                <w:p w14:paraId="2E0AB1E9">
                  <w:pPr>
                    <w:keepNext w:val="0"/>
                    <w:keepLines w:val="0"/>
                    <w:pageBreakBefore w:val="0"/>
                    <w:kinsoku/>
                    <w:wordWrap/>
                    <w:overflowPunct/>
                    <w:topLinePunct w:val="0"/>
                    <w:autoSpaceDE/>
                    <w:autoSpaceDN/>
                    <w:bidi w:val="0"/>
                    <w:spacing w:line="340" w:lineRule="exact"/>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7.项目不属于水泥行业；</w:t>
                  </w:r>
                </w:p>
                <w:p w14:paraId="13F1CC9E">
                  <w:pPr>
                    <w:pStyle w:val="9"/>
                    <w:keepNext w:val="0"/>
                    <w:keepLines w:val="0"/>
                    <w:pageBreakBefore w:val="0"/>
                    <w:kinsoku/>
                    <w:wordWrap/>
                    <w:overflowPunct/>
                    <w:topLinePunct w:val="0"/>
                    <w:autoSpaceDE/>
                    <w:autoSpaceDN/>
                    <w:bidi w:val="0"/>
                    <w:spacing w:before="0" w:after="0" w:line="340" w:lineRule="exact"/>
                    <w:ind w:right="0"/>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8.项目不属于化工项目，选址不位于化工园区，不属于印染、皮革、农药、医药、涂料等行业</w:t>
                  </w:r>
                </w:p>
              </w:tc>
              <w:tc>
                <w:tcPr>
                  <w:tcW w:w="217" w:type="pct"/>
                  <w:noWrap w:val="0"/>
                  <w:vAlign w:val="center"/>
                </w:tcPr>
                <w:p w14:paraId="0B7EE0C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17FCB8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49" w:hRule="atLeast"/>
              </w:trPr>
              <w:tc>
                <w:tcPr>
                  <w:tcW w:w="219" w:type="pct"/>
                  <w:vMerge w:val="continue"/>
                  <w:noWrap w:val="0"/>
                  <w:vAlign w:val="center"/>
                </w:tcPr>
                <w:p w14:paraId="7CD8E5A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p>
              </w:tc>
              <w:tc>
                <w:tcPr>
                  <w:tcW w:w="228" w:type="pct"/>
                  <w:noWrap w:val="0"/>
                  <w:vAlign w:val="center"/>
                </w:tcPr>
                <w:p w14:paraId="05AACF11">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环境风险防控</w:t>
                  </w:r>
                </w:p>
              </w:tc>
              <w:tc>
                <w:tcPr>
                  <w:tcW w:w="3254" w:type="pct"/>
                  <w:noWrap w:val="0"/>
                  <w:vAlign w:val="center"/>
                </w:tcPr>
                <w:p w14:paraId="6AD26BB1">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right="0" w:rightChars="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无</w:t>
                  </w:r>
                </w:p>
              </w:tc>
              <w:tc>
                <w:tcPr>
                  <w:tcW w:w="1080" w:type="pct"/>
                  <w:noWrap w:val="0"/>
                  <w:vAlign w:val="center"/>
                </w:tcPr>
                <w:p w14:paraId="27749426">
                  <w:pPr>
                    <w:pStyle w:val="9"/>
                    <w:keepNext w:val="0"/>
                    <w:keepLines w:val="0"/>
                    <w:pageBreakBefore w:val="0"/>
                    <w:kinsoku/>
                    <w:wordWrap/>
                    <w:overflowPunct/>
                    <w:topLinePunct w:val="0"/>
                    <w:autoSpaceDE/>
                    <w:autoSpaceDN/>
                    <w:bidi w:val="0"/>
                    <w:spacing w:before="0" w:after="0" w:line="340" w:lineRule="exact"/>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17" w:type="pct"/>
                  <w:noWrap w:val="0"/>
                  <w:vAlign w:val="center"/>
                </w:tcPr>
                <w:p w14:paraId="0273317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785E02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219" w:type="pct"/>
                  <w:vMerge w:val="continue"/>
                  <w:noWrap w:val="0"/>
                  <w:vAlign w:val="center"/>
                </w:tcPr>
                <w:p w14:paraId="45B8FB7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cs="Times New Roman"/>
                      <w:color w:val="auto"/>
                      <w:sz w:val="21"/>
                      <w:szCs w:val="21"/>
                    </w:rPr>
                  </w:pPr>
                </w:p>
              </w:tc>
              <w:tc>
                <w:tcPr>
                  <w:tcW w:w="228" w:type="pct"/>
                  <w:noWrap w:val="0"/>
                  <w:vAlign w:val="center"/>
                </w:tcPr>
                <w:p w14:paraId="6E6EF794">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资源开发效率要求</w:t>
                  </w:r>
                </w:p>
              </w:tc>
              <w:tc>
                <w:tcPr>
                  <w:tcW w:w="3254" w:type="pct"/>
                  <w:noWrap w:val="0"/>
                  <w:vAlign w:val="center"/>
                </w:tcPr>
                <w:p w14:paraId="5911DDEA">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right="0" w:right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7E647C73">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leftChars="0" w:right="0" w:rightChars="0"/>
                    <w:jc w:val="left"/>
                    <w:textAlignment w:val="auto"/>
                    <w:outlineLvl w:val="9"/>
                    <w:rPr>
                      <w:rFonts w:hint="eastAsia" w:ascii="Times New Roman" w:hAnsi="Times New Roman" w:cs="Times New Roman"/>
                      <w:color w:val="auto"/>
                      <w:sz w:val="21"/>
                      <w:szCs w:val="21"/>
                      <w:lang w:eastAsia="zh-CN"/>
                    </w:rPr>
                  </w:pPr>
                  <w:r>
                    <w:rPr>
                      <w:rFonts w:hint="eastAsia" w:ascii="Times New Roman" w:hAnsi="Times New Roman" w:eastAsia="宋体" w:cs="Times New Roman"/>
                      <w:color w:val="auto"/>
                      <w:sz w:val="21"/>
                      <w:szCs w:val="21"/>
                      <w:lang w:val="en-US" w:eastAsia="zh-CN"/>
                    </w:rPr>
                    <w:t>2.按照“提气、转电、控煤”的发展思路，推动陶瓷行业进一步优化用能结构，实现能源消费清洁低碳化</w:t>
                  </w:r>
                </w:p>
              </w:tc>
              <w:tc>
                <w:tcPr>
                  <w:tcW w:w="1080" w:type="pct"/>
                  <w:noWrap w:val="0"/>
                  <w:vAlign w:val="center"/>
                </w:tcPr>
                <w:p w14:paraId="3E7266D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1.项目不涉及燃煤、燃油、燃生物质等高污染燃料锅炉的使用；</w:t>
                  </w:r>
                </w:p>
                <w:p w14:paraId="14C3E7A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left"/>
                    <w:textAlignment w:val="auto"/>
                    <w:outlineLvl w:val="9"/>
                    <w:rPr>
                      <w:rFonts w:hint="default" w:ascii="Times New Roman" w:hAnsi="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2.项目不属于陶瓷行业</w:t>
                  </w:r>
                </w:p>
              </w:tc>
              <w:tc>
                <w:tcPr>
                  <w:tcW w:w="217" w:type="pct"/>
                  <w:noWrap w:val="0"/>
                  <w:vAlign w:val="center"/>
                </w:tcPr>
                <w:p w14:paraId="5DE861C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14:paraId="104760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000" w:type="pct"/>
                  <w:gridSpan w:val="5"/>
                  <w:noWrap w:val="0"/>
                  <w:vAlign w:val="center"/>
                </w:tcPr>
                <w:p w14:paraId="318991C6">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备注：</w:t>
                  </w:r>
                  <w:r>
                    <w:rPr>
                      <w:rFonts w:hint="default" w:ascii="Times New Roman" w:hAnsi="Times New Roman" w:eastAsia="宋体" w:cs="Times New Roman"/>
                      <w:b w:val="0"/>
                      <w:bCs w:val="0"/>
                      <w:color w:val="auto"/>
                      <w:sz w:val="21"/>
                      <w:szCs w:val="21"/>
                      <w:lang w:val="en-US" w:eastAsia="zh-CN"/>
                    </w:rPr>
                    <w:t xml:space="preserve">［1］重点重金属污染物：包括铅、汞、镉、铬、砷、铊和锑，对其中铅、汞、镉、铬和砷五种重点重金属污染物排放量实施总量控制。 </w:t>
                  </w:r>
                </w:p>
                <w:p w14:paraId="3BBC74AE">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 </w:t>
                  </w:r>
                </w:p>
                <w:p w14:paraId="4504DA53">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［3］水泥行业超低排放实施范围：包括水泥熟料生产企业和独立水泥粉磨站（含生产特种水泥、协同处置固废的水泥企业）。 </w:t>
                  </w:r>
                </w:p>
                <w:p w14:paraId="55F3646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［4］水泥企业超低排放：是指所有生产环节（破碎、粉磨、配料、熟料煅烧、烘干、协同处置等，以及原料、燃料和产品储存运输）的大气污染物有组织、无组织排放及运输过程达到超低排放要求。</w:t>
                  </w:r>
                </w:p>
              </w:tc>
            </w:tr>
          </w:tbl>
          <w:p w14:paraId="4516D526">
            <w:pPr>
              <w:spacing w:before="120" w:beforeLines="50"/>
              <w:jc w:val="center"/>
              <w:rPr>
                <w:rFonts w:hint="eastAsia"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eastAsia="zh-CN"/>
              </w:rPr>
              <w:t>表</w:t>
            </w:r>
            <w:r>
              <w:rPr>
                <w:rFonts w:hint="eastAsia" w:ascii="Times New Roman" w:hAnsi="Times New Roman" w:eastAsia="黑体" w:cs="Times New Roman"/>
                <w:color w:val="auto"/>
                <w:sz w:val="21"/>
                <w:szCs w:val="21"/>
                <w:lang w:val="en-US" w:eastAsia="zh-CN"/>
              </w:rPr>
              <w:t>1-4 与环境管控单元准入要求符合性分析</w:t>
            </w:r>
          </w:p>
          <w:tbl>
            <w:tblPr>
              <w:tblStyle w:val="2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964"/>
              <w:gridCol w:w="712"/>
              <w:gridCol w:w="700"/>
              <w:gridCol w:w="5584"/>
              <w:gridCol w:w="2759"/>
              <w:gridCol w:w="919"/>
            </w:tblGrid>
            <w:tr w14:paraId="464EC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24" w:type="pct"/>
                  <w:tcBorders>
                    <w:tl2br w:val="nil"/>
                    <w:tr2bl w:val="nil"/>
                  </w:tcBorders>
                  <w:noWrap w:val="0"/>
                  <w:vAlign w:val="center"/>
                </w:tcPr>
                <w:p w14:paraId="2F8951C3">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环境管控</w:t>
                  </w:r>
                </w:p>
                <w:p w14:paraId="2D13581B">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r>
                    <w:rPr>
                      <w:rFonts w:hint="eastAsia" w:ascii="Times New Roman" w:hAnsi="Times New Roman"/>
                      <w:color w:val="auto"/>
                      <w:sz w:val="21"/>
                      <w:szCs w:val="21"/>
                      <w:vertAlign w:val="baseline"/>
                      <w:lang w:eastAsia="zh-CN"/>
                    </w:rPr>
                    <w:t>单元编码</w:t>
                  </w:r>
                </w:p>
              </w:tc>
              <w:tc>
                <w:tcPr>
                  <w:tcW w:w="378" w:type="pct"/>
                  <w:tcBorders>
                    <w:tl2br w:val="nil"/>
                    <w:tr2bl w:val="nil"/>
                  </w:tcBorders>
                  <w:noWrap w:val="0"/>
                  <w:vAlign w:val="center"/>
                </w:tcPr>
                <w:p w14:paraId="26D38AD1">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r>
                    <w:rPr>
                      <w:rFonts w:hint="eastAsia" w:ascii="Times New Roman" w:hAnsi="Times New Roman"/>
                      <w:color w:val="auto"/>
                      <w:sz w:val="21"/>
                      <w:szCs w:val="21"/>
                      <w:vertAlign w:val="baseline"/>
                      <w:lang w:eastAsia="zh-CN"/>
                    </w:rPr>
                    <w:t>环境管控单元名称</w:t>
                  </w:r>
                </w:p>
              </w:tc>
              <w:tc>
                <w:tcPr>
                  <w:tcW w:w="279" w:type="pct"/>
                  <w:tcBorders>
                    <w:tl2br w:val="nil"/>
                    <w:tr2bl w:val="nil"/>
                  </w:tcBorders>
                  <w:noWrap w:val="0"/>
                  <w:vAlign w:val="center"/>
                </w:tcPr>
                <w:p w14:paraId="36160094">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r>
                    <w:rPr>
                      <w:rFonts w:hint="eastAsia" w:ascii="Times New Roman" w:hAnsi="Times New Roman"/>
                      <w:color w:val="auto"/>
                      <w:sz w:val="21"/>
                      <w:szCs w:val="21"/>
                      <w:vertAlign w:val="baseline"/>
                      <w:lang w:eastAsia="zh-CN"/>
                    </w:rPr>
                    <w:t>管控单元分类</w:t>
                  </w:r>
                </w:p>
              </w:tc>
              <w:tc>
                <w:tcPr>
                  <w:tcW w:w="2470" w:type="pct"/>
                  <w:gridSpan w:val="2"/>
                  <w:tcBorders>
                    <w:tl2br w:val="nil"/>
                    <w:tr2bl w:val="nil"/>
                  </w:tcBorders>
                  <w:noWrap w:val="0"/>
                  <w:vAlign w:val="center"/>
                </w:tcPr>
                <w:p w14:paraId="10043C71">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r>
                    <w:rPr>
                      <w:rFonts w:hint="eastAsia" w:ascii="Times New Roman" w:hAnsi="Times New Roman"/>
                      <w:color w:val="auto"/>
                      <w:sz w:val="21"/>
                      <w:szCs w:val="21"/>
                      <w:vertAlign w:val="baseline"/>
                      <w:lang w:eastAsia="zh-CN"/>
                    </w:rPr>
                    <w:t>管控要求</w:t>
                  </w:r>
                </w:p>
              </w:tc>
              <w:tc>
                <w:tcPr>
                  <w:tcW w:w="1084" w:type="pct"/>
                  <w:tcBorders>
                    <w:tl2br w:val="nil"/>
                    <w:tr2bl w:val="nil"/>
                  </w:tcBorders>
                  <w:noWrap w:val="0"/>
                  <w:vAlign w:val="center"/>
                </w:tcPr>
                <w:p w14:paraId="683E7929">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r>
                    <w:rPr>
                      <w:rFonts w:hint="eastAsia" w:ascii="Times New Roman" w:hAnsi="Times New Roman"/>
                      <w:color w:val="auto"/>
                      <w:sz w:val="21"/>
                      <w:szCs w:val="21"/>
                      <w:vertAlign w:val="baseline"/>
                      <w:lang w:eastAsia="zh-CN"/>
                    </w:rPr>
                    <w:t>本项目</w:t>
                  </w:r>
                </w:p>
              </w:tc>
              <w:tc>
                <w:tcPr>
                  <w:tcW w:w="361" w:type="pct"/>
                  <w:tcBorders>
                    <w:tl2br w:val="nil"/>
                    <w:tr2bl w:val="nil"/>
                  </w:tcBorders>
                  <w:noWrap w:val="0"/>
                  <w:vAlign w:val="center"/>
                </w:tcPr>
                <w:p w14:paraId="30EC07C7">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r>
                    <w:rPr>
                      <w:rFonts w:hint="eastAsia" w:ascii="Times New Roman" w:hAnsi="Times New Roman"/>
                      <w:color w:val="auto"/>
                      <w:sz w:val="21"/>
                      <w:szCs w:val="21"/>
                      <w:vertAlign w:val="baseline"/>
                      <w:lang w:eastAsia="zh-CN"/>
                    </w:rPr>
                    <w:t>符合性</w:t>
                  </w:r>
                </w:p>
              </w:tc>
            </w:tr>
            <w:tr w14:paraId="414B6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0" w:hRule="atLeast"/>
              </w:trPr>
              <w:tc>
                <w:tcPr>
                  <w:tcW w:w="424" w:type="pct"/>
                  <w:vMerge w:val="restart"/>
                  <w:tcBorders>
                    <w:tl2br w:val="nil"/>
                    <w:tr2bl w:val="nil"/>
                  </w:tcBorders>
                  <w:noWrap w:val="0"/>
                  <w:vAlign w:val="center"/>
                </w:tcPr>
                <w:p w14:paraId="6630EA0D">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ZH35011210007</w:t>
                  </w:r>
                </w:p>
              </w:tc>
              <w:tc>
                <w:tcPr>
                  <w:tcW w:w="378" w:type="pct"/>
                  <w:vMerge w:val="restart"/>
                  <w:tcBorders>
                    <w:tl2br w:val="nil"/>
                    <w:tr2bl w:val="nil"/>
                  </w:tcBorders>
                  <w:noWrap w:val="0"/>
                  <w:vAlign w:val="center"/>
                </w:tcPr>
                <w:p w14:paraId="3269E33C">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r>
                    <w:rPr>
                      <w:rFonts w:hint="eastAsia" w:ascii="Times New Roman" w:hAnsi="Times New Roman" w:eastAsia="宋体"/>
                      <w:color w:val="auto"/>
                      <w:sz w:val="21"/>
                      <w:szCs w:val="21"/>
                      <w:vertAlign w:val="baseline"/>
                      <w:lang w:eastAsia="zh-CN"/>
                    </w:rPr>
                    <w:t>长乐区一般生态空间—生物多样性</w:t>
                  </w:r>
                </w:p>
              </w:tc>
              <w:tc>
                <w:tcPr>
                  <w:tcW w:w="279" w:type="pct"/>
                  <w:vMerge w:val="restart"/>
                  <w:tcBorders>
                    <w:tl2br w:val="nil"/>
                    <w:tr2bl w:val="nil"/>
                  </w:tcBorders>
                  <w:noWrap w:val="0"/>
                  <w:vAlign w:val="center"/>
                </w:tcPr>
                <w:p w14:paraId="036B53EC">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r>
                    <w:rPr>
                      <w:rFonts w:hint="eastAsia" w:ascii="Times New Roman" w:hAnsi="Times New Roman" w:eastAsia="宋体"/>
                      <w:color w:val="auto"/>
                      <w:sz w:val="21"/>
                      <w:szCs w:val="21"/>
                      <w:vertAlign w:val="baseline"/>
                      <w:lang w:eastAsia="zh-CN"/>
                    </w:rPr>
                    <w:t>优先保护单位</w:t>
                  </w:r>
                </w:p>
              </w:tc>
              <w:tc>
                <w:tcPr>
                  <w:tcW w:w="275" w:type="pct"/>
                  <w:tcBorders>
                    <w:tl2br w:val="nil"/>
                    <w:tr2bl w:val="nil"/>
                  </w:tcBorders>
                  <w:noWrap w:val="0"/>
                  <w:vAlign w:val="center"/>
                </w:tcPr>
                <w:p w14:paraId="7693DFFA">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r>
                    <w:rPr>
                      <w:rFonts w:hint="eastAsia" w:ascii="Times New Roman" w:hAnsi="Times New Roman" w:eastAsia="宋体"/>
                      <w:color w:val="auto"/>
                      <w:sz w:val="21"/>
                      <w:szCs w:val="21"/>
                      <w:vertAlign w:val="baseline"/>
                      <w:lang w:eastAsia="zh-CN"/>
                    </w:rPr>
                    <w:t>空间布局约束</w:t>
                  </w:r>
                </w:p>
              </w:tc>
              <w:tc>
                <w:tcPr>
                  <w:tcW w:w="2195" w:type="pct"/>
                  <w:tcBorders>
                    <w:tl2br w:val="nil"/>
                    <w:tr2bl w:val="nil"/>
                  </w:tcBorders>
                  <w:noWrap w:val="0"/>
                  <w:vAlign w:val="center"/>
                </w:tcPr>
                <w:p w14:paraId="0624AF9E">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40" w:lineRule="exact"/>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除落实一般生态空间的管控要求外，还应依据《全国主体功能区规划》《全国生态功能区划》《国家重点生态功能保护区规划纲要》《福建省主体功能区规划》《关于进一步加强生物多样性保护的意见》等进行管理。统筹考虑生态系统完整性、自然地理单元连续性和经济社会发展可持续性，统筹推进山水林田湖草沙冰一体化保护和修复。科学规范开展重点生态工程建设，加快恢复物种栖息地。加强重点生态功能区、重要自然生态系统、自然遗迹、自然景观及珍稀濒危物种种群、极小种群保护，提升生态系统的稳定性和复原力。完善外来入侵物种防控部际协调机制，统筹协调解决外来入侵物种防控重大问题。推进天然林保护和封山封育，改善树种结构，建设连接重要自然保护区和物种栖息地的森林生态廊道；禁止无序采矿、陡坡开垦，加强生态修复和水土治理；发展可持续林业、生态茶果业和森林生态旅游业，引导超载人口逐步有序转移</w:t>
                  </w:r>
                </w:p>
              </w:tc>
              <w:tc>
                <w:tcPr>
                  <w:tcW w:w="1084" w:type="pct"/>
                  <w:tcBorders>
                    <w:tl2br w:val="nil"/>
                    <w:tr2bl w:val="nil"/>
                  </w:tcBorders>
                  <w:noWrap w:val="0"/>
                  <w:vAlign w:val="center"/>
                </w:tcPr>
                <w:p w14:paraId="2D2A6D61">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40" w:lineRule="exact"/>
                    <w:ind w:right="0" w:righ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项目租赁现有工业厂区进行生产经营活动，经调查，用地范围内无</w:t>
                  </w:r>
                  <w:r>
                    <w:rPr>
                      <w:rFonts w:hint="eastAsia" w:ascii="Times New Roman" w:hAnsi="Times New Roman" w:eastAsia="宋体" w:cs="Times New Roman"/>
                      <w:color w:val="auto"/>
                      <w:sz w:val="21"/>
                      <w:szCs w:val="21"/>
                      <w:highlight w:val="none"/>
                      <w:vertAlign w:val="baseline"/>
                      <w:lang w:val="en-US" w:eastAsia="zh-CN"/>
                    </w:rPr>
                    <w:t>珍稀濒危物种</w:t>
                  </w:r>
                  <w:r>
                    <w:rPr>
                      <w:rFonts w:hint="default" w:ascii="Times New Roman" w:hAnsi="Times New Roman" w:eastAsia="宋体" w:cs="Times New Roman"/>
                      <w:color w:val="auto"/>
                      <w:sz w:val="21"/>
                      <w:szCs w:val="21"/>
                      <w:highlight w:val="none"/>
                      <w:vertAlign w:val="baseline"/>
                      <w:lang w:val="en-US" w:eastAsia="zh-CN"/>
                    </w:rPr>
                    <w:t>种群、极小</w:t>
                  </w:r>
                  <w:r>
                    <w:rPr>
                      <w:rFonts w:hint="eastAsia" w:ascii="Times New Roman" w:hAnsi="Times New Roman" w:eastAsia="宋体" w:cs="Times New Roman"/>
                      <w:color w:val="auto"/>
                      <w:sz w:val="21"/>
                      <w:szCs w:val="21"/>
                      <w:highlight w:val="none"/>
                      <w:vertAlign w:val="baseline"/>
                      <w:lang w:val="en-US" w:eastAsia="zh-CN"/>
                    </w:rPr>
                    <w:t>种群及物种栖息地。</w:t>
                  </w:r>
                </w:p>
                <w:p w14:paraId="0EE6BA39">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40" w:lineRule="exact"/>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项目不属于采矿、开垦等易造成生态破坏和水土流失等项目。</w:t>
                  </w:r>
                </w:p>
                <w:p w14:paraId="5314D418">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40" w:lineRule="exact"/>
                    <w:ind w:right="0" w:right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w:t>
                  </w:r>
                  <w:r>
                    <w:rPr>
                      <w:rFonts w:hint="eastAsia" w:ascii="Times New Roman" w:hAnsi="Times New Roman" w:eastAsia="宋体" w:cs="Times New Roman"/>
                      <w:color w:val="auto"/>
                      <w:sz w:val="21"/>
                      <w:szCs w:val="21"/>
                      <w:highlight w:val="none"/>
                      <w:vertAlign w:val="baseline"/>
                      <w:lang w:val="en-US" w:eastAsia="zh-CN"/>
                    </w:rPr>
                    <w:t>厂区分区防渗，</w:t>
                  </w:r>
                  <w:r>
                    <w:rPr>
                      <w:rFonts w:hint="default" w:ascii="Times New Roman" w:hAnsi="Times New Roman" w:eastAsia="宋体" w:cs="Times New Roman"/>
                      <w:color w:val="auto"/>
                      <w:sz w:val="21"/>
                      <w:szCs w:val="21"/>
                      <w:highlight w:val="none"/>
                      <w:vertAlign w:val="baseline"/>
                      <w:lang w:val="en-US" w:eastAsia="zh-CN"/>
                    </w:rPr>
                    <w:t>运营期污染物经妥善处理达标排放或委托处理处置，不会对周边生态环境产生明显不利影响</w:t>
                  </w:r>
                  <w:r>
                    <w:rPr>
                      <w:rFonts w:hint="eastAsia" w:ascii="Times New Roman" w:hAnsi="Times New Roman" w:eastAsia="宋体" w:cs="Times New Roman"/>
                      <w:color w:val="auto"/>
                      <w:sz w:val="21"/>
                      <w:szCs w:val="21"/>
                      <w:highlight w:val="none"/>
                      <w:vertAlign w:val="baseline"/>
                      <w:lang w:val="en-US" w:eastAsia="zh-CN"/>
                    </w:rPr>
                    <w:t>；因此在落实环境防治措施的情况下，基本</w:t>
                  </w:r>
                  <w:r>
                    <w:rPr>
                      <w:rFonts w:hint="default" w:ascii="Times New Roman" w:hAnsi="Times New Roman" w:eastAsia="宋体" w:cs="Times New Roman"/>
                      <w:color w:val="auto"/>
                      <w:sz w:val="21"/>
                      <w:szCs w:val="21"/>
                      <w:highlight w:val="none"/>
                      <w:vertAlign w:val="baseline"/>
                      <w:lang w:val="en-US" w:eastAsia="zh-CN"/>
                    </w:rPr>
                    <w:t>不会对区域生态功能造成破坏</w:t>
                  </w:r>
                  <w:r>
                    <w:rPr>
                      <w:rFonts w:hint="eastAsia" w:ascii="Times New Roman" w:hAnsi="Times New Roman" w:eastAsia="宋体" w:cs="Times New Roman"/>
                      <w:color w:val="auto"/>
                      <w:sz w:val="21"/>
                      <w:szCs w:val="21"/>
                      <w:highlight w:val="none"/>
                      <w:vertAlign w:val="baseline"/>
                      <w:lang w:val="en-US" w:eastAsia="zh-CN"/>
                    </w:rPr>
                    <w:t>。</w:t>
                  </w:r>
                </w:p>
              </w:tc>
              <w:tc>
                <w:tcPr>
                  <w:tcW w:w="361" w:type="pct"/>
                  <w:tcBorders>
                    <w:tl2br w:val="nil"/>
                    <w:tr2bl w:val="nil"/>
                  </w:tcBorders>
                  <w:noWrap w:val="0"/>
                  <w:vAlign w:val="center"/>
                </w:tcPr>
                <w:p w14:paraId="5BDF0B98">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r>
                    <w:rPr>
                      <w:rFonts w:hint="eastAsia" w:ascii="Times New Roman" w:hAnsi="Times New Roman"/>
                      <w:color w:val="auto"/>
                      <w:sz w:val="21"/>
                      <w:szCs w:val="21"/>
                      <w:vertAlign w:val="baseline"/>
                      <w:lang w:eastAsia="zh-CN"/>
                    </w:rPr>
                    <w:t>符合</w:t>
                  </w:r>
                </w:p>
              </w:tc>
            </w:tr>
            <w:tr w14:paraId="1A9DC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424" w:type="pct"/>
                  <w:vMerge w:val="continue"/>
                  <w:tcBorders>
                    <w:tl2br w:val="nil"/>
                    <w:tr2bl w:val="nil"/>
                  </w:tcBorders>
                  <w:noWrap w:val="0"/>
                  <w:vAlign w:val="center"/>
                </w:tcPr>
                <w:p w14:paraId="6106D563">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color w:val="auto"/>
                      <w:sz w:val="21"/>
                      <w:szCs w:val="21"/>
                      <w:vertAlign w:val="baseline"/>
                      <w:lang w:val="en-US" w:eastAsia="zh-CN"/>
                    </w:rPr>
                  </w:pPr>
                </w:p>
              </w:tc>
              <w:tc>
                <w:tcPr>
                  <w:tcW w:w="378" w:type="pct"/>
                  <w:vMerge w:val="continue"/>
                  <w:tcBorders>
                    <w:tl2br w:val="nil"/>
                    <w:tr2bl w:val="nil"/>
                  </w:tcBorders>
                  <w:noWrap w:val="0"/>
                  <w:vAlign w:val="center"/>
                </w:tcPr>
                <w:p w14:paraId="0F3FDA08">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p>
              </w:tc>
              <w:tc>
                <w:tcPr>
                  <w:tcW w:w="279" w:type="pct"/>
                  <w:vMerge w:val="continue"/>
                  <w:tcBorders>
                    <w:tl2br w:val="nil"/>
                    <w:tr2bl w:val="nil"/>
                  </w:tcBorders>
                  <w:noWrap w:val="0"/>
                  <w:vAlign w:val="center"/>
                </w:tcPr>
                <w:p w14:paraId="013410CE">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p>
              </w:tc>
              <w:tc>
                <w:tcPr>
                  <w:tcW w:w="275" w:type="pct"/>
                  <w:tcBorders>
                    <w:tl2br w:val="nil"/>
                    <w:tr2bl w:val="nil"/>
                  </w:tcBorders>
                  <w:noWrap w:val="0"/>
                  <w:vAlign w:val="center"/>
                </w:tcPr>
                <w:p w14:paraId="0DC87AF5">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eastAsia="宋体"/>
                      <w:color w:val="auto"/>
                      <w:sz w:val="21"/>
                      <w:szCs w:val="21"/>
                      <w:vertAlign w:val="baseline"/>
                      <w:lang w:eastAsia="zh-CN"/>
                    </w:rPr>
                  </w:pPr>
                  <w:r>
                    <w:rPr>
                      <w:rFonts w:hint="eastAsia" w:ascii="Times New Roman" w:hAnsi="Times New Roman" w:eastAsia="宋体"/>
                      <w:color w:val="auto"/>
                      <w:sz w:val="21"/>
                      <w:szCs w:val="21"/>
                      <w:vertAlign w:val="baseline"/>
                      <w:lang w:eastAsia="zh-CN"/>
                    </w:rPr>
                    <w:t>资源开发效率要求</w:t>
                  </w:r>
                </w:p>
              </w:tc>
              <w:tc>
                <w:tcPr>
                  <w:tcW w:w="2195" w:type="pct"/>
                  <w:tcBorders>
                    <w:tl2br w:val="nil"/>
                    <w:tr2bl w:val="nil"/>
                  </w:tcBorders>
                  <w:noWrap w:val="0"/>
                  <w:vAlign w:val="center"/>
                </w:tcPr>
                <w:p w14:paraId="42A15962">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40" w:lineRule="exact"/>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1084" w:type="pct"/>
                  <w:tcBorders>
                    <w:tl2br w:val="nil"/>
                    <w:tr2bl w:val="nil"/>
                  </w:tcBorders>
                  <w:noWrap w:val="0"/>
                  <w:vAlign w:val="center"/>
                </w:tcPr>
                <w:p w14:paraId="0D4BBFB1">
                  <w:pPr>
                    <w:pStyle w:val="9"/>
                    <w:keepNext w:val="0"/>
                    <w:keepLines w:val="0"/>
                    <w:pageBreakBefore w:val="0"/>
                    <w:widowControl/>
                    <w:numPr>
                      <w:ilvl w:val="0"/>
                      <w:numId w:val="0"/>
                    </w:numPr>
                    <w:kinsoku/>
                    <w:wordWrap/>
                    <w:overflowPunct/>
                    <w:topLinePunct w:val="0"/>
                    <w:autoSpaceDE/>
                    <w:autoSpaceDN/>
                    <w:bidi w:val="0"/>
                    <w:adjustRightInd/>
                    <w:snapToGrid w:val="0"/>
                    <w:spacing w:before="0" w:after="0" w:line="340" w:lineRule="exact"/>
                    <w:ind w:right="0" w:right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项目不涉及高污染燃料的使用</w:t>
                  </w:r>
                </w:p>
              </w:tc>
              <w:tc>
                <w:tcPr>
                  <w:tcW w:w="361" w:type="pct"/>
                  <w:tcBorders>
                    <w:tl2br w:val="nil"/>
                    <w:tr2bl w:val="nil"/>
                  </w:tcBorders>
                  <w:noWrap w:val="0"/>
                  <w:vAlign w:val="center"/>
                </w:tcPr>
                <w:p w14:paraId="6FF74D01">
                  <w:pPr>
                    <w:pStyle w:val="9"/>
                    <w:keepNext w:val="0"/>
                    <w:keepLines w:val="0"/>
                    <w:pageBreakBefore w:val="0"/>
                    <w:widowControl/>
                    <w:kinsoku/>
                    <w:wordWrap/>
                    <w:overflowPunct/>
                    <w:topLinePunct w:val="0"/>
                    <w:autoSpaceDE/>
                    <w:autoSpaceDN/>
                    <w:bidi w:val="0"/>
                    <w:adjustRightInd/>
                    <w:snapToGrid w:val="0"/>
                    <w:spacing w:before="0" w:after="0" w:line="340" w:lineRule="exact"/>
                    <w:ind w:right="0"/>
                    <w:jc w:val="center"/>
                    <w:textAlignment w:val="auto"/>
                    <w:rPr>
                      <w:rFonts w:hint="eastAsia" w:ascii="Times New Roman" w:hAnsi="Times New Roman"/>
                      <w:color w:val="auto"/>
                      <w:sz w:val="21"/>
                      <w:szCs w:val="21"/>
                      <w:vertAlign w:val="baseline"/>
                      <w:lang w:eastAsia="zh-CN"/>
                    </w:rPr>
                  </w:pPr>
                  <w:r>
                    <w:rPr>
                      <w:rFonts w:hint="eastAsia" w:ascii="Times New Roman" w:hAnsi="Times New Roman"/>
                      <w:color w:val="auto"/>
                      <w:sz w:val="21"/>
                      <w:szCs w:val="21"/>
                      <w:vertAlign w:val="baseline"/>
                      <w:lang w:eastAsia="zh-CN"/>
                    </w:rPr>
                    <w:t>符合</w:t>
                  </w:r>
                </w:p>
              </w:tc>
            </w:tr>
          </w:tbl>
          <w:p w14:paraId="01CAC97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综上所述，项目建设符合《福州市人民政府办公厅关于印发〈福州市生态环境分区管控方案（2023年更新）〉的通知》（榕政办规〔2024〕20号）中相关要求。</w:t>
            </w:r>
          </w:p>
          <w:p w14:paraId="65F838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bCs/>
                <w:color w:val="auto"/>
                <w:lang w:eastAsia="zh-CN"/>
              </w:rPr>
            </w:pPr>
            <w:r>
              <w:rPr>
                <w:rFonts w:hint="eastAsia" w:ascii="Times New Roman" w:hAnsi="Times New Roman"/>
                <w:b/>
                <w:bCs/>
                <w:color w:val="auto"/>
                <w:lang w:val="en-US" w:eastAsia="zh-CN"/>
              </w:rPr>
              <w:t>6、</w:t>
            </w:r>
            <w:r>
              <w:rPr>
                <w:rFonts w:hint="eastAsia" w:ascii="Times New Roman" w:hAnsi="Times New Roman"/>
                <w:b/>
                <w:bCs/>
                <w:color w:val="auto"/>
              </w:rPr>
              <w:t>与</w:t>
            </w:r>
            <w:r>
              <w:rPr>
                <w:rFonts w:hint="eastAsia" w:ascii="Times New Roman" w:hAnsi="Times New Roman"/>
                <w:b/>
                <w:bCs/>
                <w:color w:val="auto"/>
                <w:lang w:eastAsia="zh-CN"/>
              </w:rPr>
              <w:t>产业规范的符合性分析</w:t>
            </w:r>
          </w:p>
          <w:p w14:paraId="241BAB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olor w:val="auto"/>
                <w:lang w:val="en-US" w:eastAsia="zh-CN"/>
              </w:rPr>
            </w:pPr>
            <w:r>
              <w:rPr>
                <w:rFonts w:hint="eastAsia" w:ascii="Times New Roman" w:hAnsi="Times New Roman"/>
                <w:color w:val="auto"/>
                <w:lang w:val="en-US" w:eastAsia="zh-CN"/>
              </w:rPr>
              <w:t>（1）废机动车拆解产业规范符合性分析</w:t>
            </w:r>
          </w:p>
          <w:p w14:paraId="241FAB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w:t>
            </w:r>
            <w:r>
              <w:rPr>
                <w:rFonts w:hint="eastAsia" w:ascii="Times New Roman" w:hAnsi="Times New Roman" w:eastAsia="宋体" w:cs="Times New Roman"/>
                <w:color w:val="auto"/>
                <w:sz w:val="21"/>
                <w:szCs w:val="21"/>
                <w:lang w:val="en-US" w:eastAsia="zh-CN"/>
              </w:rPr>
              <w:t>与《报废机动车回收拆解企业技术规范》（GB 22128-2019）的相符性分析</w:t>
            </w:r>
          </w:p>
          <w:p w14:paraId="6D8F96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auto"/>
                <w:sz w:val="21"/>
                <w:szCs w:val="21"/>
                <w:lang w:eastAsia="zh-CN"/>
              </w:rPr>
            </w:pPr>
            <w:r>
              <w:rPr>
                <w:rFonts w:hint="default" w:ascii="Times New Roman" w:hAnsi="Times New Roman" w:eastAsia="黑体" w:cs="Times New Roman"/>
                <w:color w:val="auto"/>
                <w:sz w:val="21"/>
                <w:szCs w:val="21"/>
                <w:lang w:eastAsia="zh-CN"/>
              </w:rPr>
              <w:t>表</w:t>
            </w:r>
            <w:r>
              <w:rPr>
                <w:rFonts w:hint="eastAsia" w:ascii="Times New Roman" w:hAnsi="Times New Roman" w:eastAsia="黑体" w:cs="Times New Roman"/>
                <w:color w:val="auto"/>
                <w:sz w:val="21"/>
                <w:szCs w:val="21"/>
                <w:lang w:eastAsia="zh-CN"/>
              </w:rPr>
              <w:t>1</w:t>
            </w:r>
            <w:r>
              <w:rPr>
                <w:rFonts w:hint="eastAsia" w:ascii="Times New Roman" w:hAnsi="Times New Roman" w:eastAsia="黑体" w:cs="Times New Roman"/>
                <w:color w:val="auto"/>
                <w:sz w:val="21"/>
                <w:szCs w:val="21"/>
                <w:lang w:val="en-US" w:eastAsia="zh-CN"/>
              </w:rPr>
              <w:t>-5</w:t>
            </w:r>
            <w:r>
              <w:rPr>
                <w:rFonts w:hint="eastAsia" w:ascii="Times New Roman" w:hAnsi="Times New Roman" w:eastAsia="黑体" w:cs="Times New Roman"/>
                <w:color w:val="auto"/>
                <w:sz w:val="21"/>
                <w:szCs w:val="21"/>
                <w:lang w:eastAsia="zh-CN"/>
              </w:rPr>
              <w:t xml:space="preserve"> </w:t>
            </w:r>
            <w:r>
              <w:rPr>
                <w:rFonts w:hint="default" w:ascii="Times New Roman" w:hAnsi="Times New Roman" w:eastAsia="黑体" w:cs="Times New Roman"/>
                <w:color w:val="auto"/>
                <w:sz w:val="21"/>
                <w:szCs w:val="21"/>
                <w:lang w:eastAsia="zh-CN"/>
              </w:rPr>
              <w:t>项目与《报废机动车回收拆解企业技术规范》（GB 22128-2019）的相符性分析</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1"/>
              <w:gridCol w:w="454"/>
              <w:gridCol w:w="5961"/>
              <w:gridCol w:w="5057"/>
              <w:gridCol w:w="661"/>
            </w:tblGrid>
            <w:tr w14:paraId="2999F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32" w:type="pct"/>
                  <w:noWrap w:val="0"/>
                  <w:vAlign w:val="center"/>
                </w:tcPr>
                <w:p w14:paraId="7BE191AA">
                  <w:pPr>
                    <w:pStyle w:val="25"/>
                    <w:snapToGrid w:val="0"/>
                    <w:spacing w:before="0" w:beforeLines="0" w:beforeAutospacing="0" w:after="0" w:afterLines="0" w:afterAutospacing="0" w:line="240" w:lineRule="auto"/>
                    <w:ind w:left="0"/>
                    <w:rPr>
                      <w:rFonts w:ascii="Times New Roman" w:hAnsi="Times New Roman" w:eastAsia="宋体"/>
                      <w:b/>
                      <w:bCs/>
                      <w:color w:val="auto"/>
                      <w:spacing w:val="0"/>
                      <w:sz w:val="21"/>
                      <w:highlight w:val="none"/>
                      <w:shd w:val="clear" w:color="auto" w:fill="FFFFFF"/>
                    </w:rPr>
                  </w:pPr>
                  <w:r>
                    <w:rPr>
                      <w:rFonts w:ascii="Times New Roman" w:hAnsi="Times New Roman" w:eastAsia="宋体"/>
                      <w:b/>
                      <w:bCs/>
                      <w:color w:val="auto"/>
                      <w:spacing w:val="0"/>
                      <w:sz w:val="21"/>
                      <w:highlight w:val="none"/>
                      <w:shd w:val="clear" w:color="auto" w:fill="FFFFFF"/>
                    </w:rPr>
                    <w:t>项目</w:t>
                  </w:r>
                </w:p>
              </w:tc>
              <w:tc>
                <w:tcPr>
                  <w:tcW w:w="2520" w:type="pct"/>
                  <w:gridSpan w:val="2"/>
                  <w:noWrap w:val="0"/>
                  <w:vAlign w:val="center"/>
                </w:tcPr>
                <w:p w14:paraId="6029F108">
                  <w:pPr>
                    <w:pStyle w:val="25"/>
                    <w:snapToGrid w:val="0"/>
                    <w:spacing w:before="0" w:beforeLines="0" w:beforeAutospacing="0" w:after="0" w:afterLines="0" w:afterAutospacing="0" w:line="240" w:lineRule="auto"/>
                    <w:ind w:left="0"/>
                    <w:rPr>
                      <w:rFonts w:hint="eastAsia" w:ascii="Times New Roman" w:hAnsi="Times New Roman" w:eastAsia="宋体"/>
                      <w:b/>
                      <w:bCs/>
                      <w:color w:val="auto"/>
                      <w:spacing w:val="0"/>
                      <w:sz w:val="21"/>
                      <w:highlight w:val="none"/>
                      <w:shd w:val="clear" w:color="auto" w:fill="FFFFFF"/>
                      <w:lang w:eastAsia="zh-CN"/>
                    </w:rPr>
                  </w:pPr>
                  <w:r>
                    <w:rPr>
                      <w:rFonts w:ascii="Times New Roman" w:hAnsi="Times New Roman" w:eastAsia="宋体"/>
                      <w:b/>
                      <w:bCs/>
                      <w:color w:val="auto"/>
                      <w:spacing w:val="0"/>
                      <w:sz w:val="21"/>
                      <w:highlight w:val="none"/>
                      <w:shd w:val="clear" w:color="auto" w:fill="FFFFFF"/>
                    </w:rPr>
                    <w:t>产业规范</w:t>
                  </w:r>
                </w:p>
              </w:tc>
              <w:tc>
                <w:tcPr>
                  <w:tcW w:w="1987" w:type="pct"/>
                  <w:noWrap w:val="0"/>
                  <w:vAlign w:val="center"/>
                </w:tcPr>
                <w:p w14:paraId="7C5FB15A">
                  <w:pPr>
                    <w:pStyle w:val="25"/>
                    <w:snapToGrid w:val="0"/>
                    <w:spacing w:before="0" w:beforeLines="0" w:beforeAutospacing="0" w:after="0" w:afterLines="0" w:afterAutospacing="0" w:line="240" w:lineRule="auto"/>
                    <w:ind w:left="0"/>
                    <w:rPr>
                      <w:rFonts w:ascii="Times New Roman" w:hAnsi="Times New Roman" w:eastAsia="宋体"/>
                      <w:b/>
                      <w:bCs/>
                      <w:color w:val="auto"/>
                      <w:spacing w:val="0"/>
                      <w:sz w:val="21"/>
                      <w:highlight w:val="none"/>
                      <w:shd w:val="clear" w:color="auto" w:fill="FFFFFF"/>
                    </w:rPr>
                  </w:pPr>
                  <w:r>
                    <w:rPr>
                      <w:rFonts w:ascii="Times New Roman" w:hAnsi="Times New Roman" w:eastAsia="宋体"/>
                      <w:b/>
                      <w:bCs/>
                      <w:color w:val="auto"/>
                      <w:spacing w:val="0"/>
                      <w:sz w:val="21"/>
                      <w:highlight w:val="none"/>
                      <w:shd w:val="clear" w:color="auto" w:fill="FFFFFF"/>
                    </w:rPr>
                    <w:t>本项目拟建设情况</w:t>
                  </w:r>
                </w:p>
              </w:tc>
              <w:tc>
                <w:tcPr>
                  <w:tcW w:w="259" w:type="pct"/>
                  <w:noWrap w:val="0"/>
                  <w:vAlign w:val="center"/>
                </w:tcPr>
                <w:p w14:paraId="767DD05C">
                  <w:pPr>
                    <w:pStyle w:val="25"/>
                    <w:snapToGrid w:val="0"/>
                    <w:spacing w:before="0" w:beforeLines="0" w:beforeAutospacing="0" w:after="0" w:afterLines="0" w:afterAutospacing="0" w:line="240" w:lineRule="auto"/>
                    <w:ind w:left="0"/>
                    <w:rPr>
                      <w:rFonts w:ascii="Times New Roman" w:hAnsi="Times New Roman" w:eastAsia="宋体"/>
                      <w:b/>
                      <w:bCs/>
                      <w:color w:val="auto"/>
                      <w:spacing w:val="0"/>
                      <w:sz w:val="21"/>
                      <w:highlight w:val="none"/>
                      <w:shd w:val="clear" w:color="auto" w:fill="FFFFFF"/>
                    </w:rPr>
                  </w:pPr>
                  <w:r>
                    <w:rPr>
                      <w:rFonts w:ascii="Times New Roman" w:hAnsi="Times New Roman" w:eastAsia="宋体"/>
                      <w:b/>
                      <w:bCs/>
                      <w:color w:val="auto"/>
                      <w:spacing w:val="0"/>
                      <w:sz w:val="21"/>
                      <w:highlight w:val="none"/>
                      <w:shd w:val="clear" w:color="auto" w:fill="FFFFFF"/>
                    </w:rPr>
                    <w:t>结论</w:t>
                  </w:r>
                </w:p>
              </w:tc>
            </w:tr>
            <w:tr w14:paraId="4D9B4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14:paraId="1E6DD10E">
                  <w:pPr>
                    <w:pStyle w:val="25"/>
                    <w:snapToGrid w:val="0"/>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lang w:val="en-US" w:eastAsia="zh-CN"/>
                    </w:rPr>
                    <w:t>4.2</w:t>
                  </w:r>
                  <w:r>
                    <w:rPr>
                      <w:rFonts w:ascii="Times New Roman" w:hAnsi="Times New Roman" w:eastAsia="宋体"/>
                      <w:color w:val="auto"/>
                      <w:spacing w:val="0"/>
                      <w:sz w:val="21"/>
                      <w:highlight w:val="none"/>
                      <w:shd w:val="clear" w:color="auto" w:fill="FFFFFF"/>
                    </w:rPr>
                    <w:t>场地</w:t>
                  </w:r>
                  <w:r>
                    <w:rPr>
                      <w:rFonts w:hint="eastAsia" w:ascii="Times New Roman" w:hAnsi="Times New Roman" w:eastAsia="宋体"/>
                      <w:color w:val="auto"/>
                      <w:spacing w:val="0"/>
                      <w:sz w:val="21"/>
                      <w:highlight w:val="none"/>
                      <w:shd w:val="clear" w:color="auto" w:fill="FFFFFF"/>
                      <w:lang w:eastAsia="zh-CN"/>
                    </w:rPr>
                    <w:t>建设要求</w:t>
                  </w:r>
                </w:p>
              </w:tc>
              <w:tc>
                <w:tcPr>
                  <w:tcW w:w="178" w:type="pct"/>
                  <w:vMerge w:val="restart"/>
                  <w:noWrap w:val="0"/>
                  <w:vAlign w:val="center"/>
                </w:tcPr>
                <w:p w14:paraId="17D8EAD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选址</w:t>
                  </w:r>
                </w:p>
              </w:tc>
              <w:tc>
                <w:tcPr>
                  <w:tcW w:w="2342" w:type="pct"/>
                  <w:noWrap w:val="0"/>
                  <w:vAlign w:val="center"/>
                </w:tcPr>
                <w:p w14:paraId="24A54E51">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*4.2.1a）</w:t>
                  </w:r>
                  <w:r>
                    <w:rPr>
                      <w:rFonts w:ascii="Times New Roman" w:hAnsi="Times New Roman" w:eastAsia="宋体"/>
                      <w:color w:val="auto"/>
                      <w:spacing w:val="0"/>
                      <w:sz w:val="21"/>
                      <w:highlight w:val="none"/>
                      <w:shd w:val="clear" w:color="auto" w:fill="FFFFFF"/>
                    </w:rPr>
                    <w:t>符合所在地城市总体规划或国土空间规划</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6D390A1A">
                  <w:pPr>
                    <w:pStyle w:val="25"/>
                    <w:snapToGrid w:val="0"/>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rPr>
                    <w:t>根据前文分析，</w:t>
                  </w:r>
                  <w:r>
                    <w:rPr>
                      <w:rFonts w:hint="eastAsia" w:ascii="Times New Roman" w:hAnsi="Times New Roman" w:eastAsia="宋体"/>
                      <w:color w:val="auto"/>
                      <w:spacing w:val="0"/>
                      <w:sz w:val="21"/>
                      <w:highlight w:val="none"/>
                      <w:shd w:val="clear" w:color="auto" w:fill="FFFFFF"/>
                      <w:lang w:eastAsia="zh-CN"/>
                    </w:rPr>
                    <w:t>项目租用现有工业厂区从事报废机动车回收拆解，符合所在区域规划</w:t>
                  </w:r>
                </w:p>
              </w:tc>
              <w:tc>
                <w:tcPr>
                  <w:tcW w:w="259" w:type="pct"/>
                  <w:noWrap w:val="0"/>
                  <w:vAlign w:val="center"/>
                </w:tcPr>
                <w:p w14:paraId="2D70FB76">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21EA7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32" w:type="pct"/>
                  <w:vMerge w:val="continue"/>
                  <w:noWrap w:val="0"/>
                  <w:vAlign w:val="center"/>
                </w:tcPr>
                <w:p w14:paraId="1C9B7570">
                  <w:pPr>
                    <w:widowControl/>
                    <w:snapToGrid w:val="0"/>
                    <w:jc w:val="center"/>
                    <w:rPr>
                      <w:rFonts w:ascii="Times New Roman" w:hAnsi="Times New Roman" w:eastAsia="宋体"/>
                      <w:color w:val="auto"/>
                      <w:spacing w:val="0"/>
                      <w:kern w:val="0"/>
                      <w:szCs w:val="21"/>
                      <w:highlight w:val="none"/>
                      <w:shd w:val="clear" w:color="auto" w:fill="FFFFFF"/>
                    </w:rPr>
                  </w:pPr>
                </w:p>
              </w:tc>
              <w:tc>
                <w:tcPr>
                  <w:tcW w:w="178" w:type="pct"/>
                  <w:vMerge w:val="continue"/>
                  <w:noWrap w:val="0"/>
                  <w:vAlign w:val="center"/>
                </w:tcPr>
                <w:p w14:paraId="1BFFEC98">
                  <w:pPr>
                    <w:snapToGrid w:val="0"/>
                    <w:jc w:val="center"/>
                    <w:rPr>
                      <w:rFonts w:ascii="Times New Roman" w:hAnsi="Times New Roman" w:eastAsia="宋体"/>
                      <w:color w:val="auto"/>
                      <w:spacing w:val="0"/>
                      <w:szCs w:val="21"/>
                      <w:highlight w:val="none"/>
                    </w:rPr>
                  </w:pPr>
                </w:p>
              </w:tc>
              <w:tc>
                <w:tcPr>
                  <w:tcW w:w="2342" w:type="pct"/>
                  <w:noWrap w:val="0"/>
                  <w:vAlign w:val="center"/>
                </w:tcPr>
                <w:p w14:paraId="544D3DD3">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*4.2.1b）</w:t>
                  </w:r>
                  <w:r>
                    <w:rPr>
                      <w:rFonts w:ascii="Times New Roman" w:hAnsi="Times New Roman" w:eastAsia="宋体"/>
                      <w:color w:val="auto"/>
                      <w:spacing w:val="0"/>
                      <w:sz w:val="21"/>
                      <w:highlight w:val="none"/>
                      <w:shd w:val="clear" w:color="auto" w:fill="FFFFFF"/>
                    </w:rPr>
                    <w:t>符合GB50187、HJ348的选址要求，不得建在城市居民区、商业区、饮用水水源保护区及其他环境敏感区内，且避开受环境威胁的地带、地段和地区</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7795E9B5">
                  <w:pPr>
                    <w:pStyle w:val="25"/>
                    <w:snapToGrid w:val="0"/>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项目位于</w:t>
                  </w:r>
                  <w:r>
                    <w:rPr>
                      <w:rFonts w:hint="eastAsia" w:ascii="Times New Roman" w:hAnsi="Times New Roman" w:eastAsia="宋体"/>
                      <w:color w:val="auto"/>
                      <w:spacing w:val="0"/>
                      <w:sz w:val="21"/>
                      <w:highlight w:val="none"/>
                      <w:shd w:val="clear" w:color="auto" w:fill="FFFFFF"/>
                    </w:rPr>
                    <w:t>福州市长乐区松下镇山前村新村东区66号</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rPr>
                    <w:t>不在城市居民区、商业区、饮用水水源保护区及其他环境敏感区内</w:t>
                  </w:r>
                  <w:r>
                    <w:rPr>
                      <w:rFonts w:hint="eastAsia" w:ascii="Times New Roman" w:hAnsi="Times New Roman" w:eastAsia="宋体"/>
                      <w:color w:val="auto"/>
                      <w:spacing w:val="0"/>
                      <w:sz w:val="21"/>
                      <w:highlight w:val="none"/>
                      <w:shd w:val="clear" w:color="auto" w:fill="FFFFFF"/>
                      <w:lang w:eastAsia="zh-CN"/>
                    </w:rPr>
                    <w:t>，不在受环境威胁地带、地段和地区</w:t>
                  </w:r>
                  <w:r>
                    <w:rPr>
                      <w:rFonts w:hint="eastAsia" w:ascii="Times New Roman" w:hAnsi="Times New Roman" w:eastAsia="宋体"/>
                      <w:color w:val="auto"/>
                      <w:spacing w:val="0"/>
                      <w:sz w:val="21"/>
                      <w:highlight w:val="none"/>
                      <w:shd w:val="clear" w:color="auto" w:fill="FFFFFF"/>
                    </w:rPr>
                    <w:t>。</w:t>
                  </w:r>
                  <w:r>
                    <w:rPr>
                      <w:rFonts w:hint="eastAsia" w:ascii="Times New Roman" w:hAnsi="Times New Roman" w:eastAsia="宋体"/>
                      <w:color w:val="auto"/>
                      <w:spacing w:val="0"/>
                      <w:sz w:val="21"/>
                      <w:highlight w:val="none"/>
                      <w:shd w:val="clear" w:color="auto" w:fill="FFFFFF"/>
                      <w:lang w:eastAsia="zh-CN"/>
                    </w:rPr>
                    <w:t>项目厂区周边有居民区，项目运营期各污染物经妥善处理，对周边环境影响较小。</w:t>
                  </w:r>
                </w:p>
              </w:tc>
              <w:tc>
                <w:tcPr>
                  <w:tcW w:w="259" w:type="pct"/>
                  <w:noWrap w:val="0"/>
                  <w:vAlign w:val="center"/>
                </w:tcPr>
                <w:p w14:paraId="734E83EC">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4FCD0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4C63AF1F">
                  <w:pPr>
                    <w:widowControl/>
                    <w:snapToGrid w:val="0"/>
                    <w:jc w:val="center"/>
                    <w:rPr>
                      <w:rFonts w:ascii="Times New Roman" w:hAnsi="Times New Roman" w:eastAsia="宋体"/>
                      <w:color w:val="auto"/>
                      <w:spacing w:val="0"/>
                      <w:kern w:val="0"/>
                      <w:szCs w:val="21"/>
                      <w:highlight w:val="none"/>
                      <w:shd w:val="clear" w:color="auto" w:fill="FFFFFF"/>
                    </w:rPr>
                  </w:pPr>
                </w:p>
              </w:tc>
              <w:tc>
                <w:tcPr>
                  <w:tcW w:w="178" w:type="pct"/>
                  <w:vMerge w:val="continue"/>
                  <w:noWrap w:val="0"/>
                  <w:vAlign w:val="center"/>
                </w:tcPr>
                <w:p w14:paraId="3C5231ED">
                  <w:pPr>
                    <w:snapToGrid w:val="0"/>
                    <w:jc w:val="center"/>
                    <w:rPr>
                      <w:rFonts w:ascii="Times New Roman" w:hAnsi="Times New Roman" w:eastAsia="宋体"/>
                      <w:color w:val="auto"/>
                      <w:spacing w:val="0"/>
                      <w:szCs w:val="21"/>
                      <w:highlight w:val="none"/>
                    </w:rPr>
                  </w:pPr>
                </w:p>
              </w:tc>
              <w:tc>
                <w:tcPr>
                  <w:tcW w:w="2342" w:type="pct"/>
                  <w:noWrap w:val="0"/>
                  <w:vAlign w:val="center"/>
                </w:tcPr>
                <w:p w14:paraId="703CFB83">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4.2.1c）</w:t>
                  </w:r>
                  <w:r>
                    <w:rPr>
                      <w:rFonts w:ascii="Times New Roman" w:hAnsi="Times New Roman" w:eastAsia="宋体"/>
                      <w:color w:val="auto"/>
                      <w:spacing w:val="0"/>
                      <w:sz w:val="21"/>
                      <w:highlight w:val="none"/>
                      <w:shd w:val="clear" w:color="auto" w:fill="FFFFFF"/>
                    </w:rPr>
                    <w:t>项目所在地有工业园区或再生利用园区的应建设在园区内</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646F9FAE">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项目选址</w:t>
                  </w:r>
                  <w:r>
                    <w:rPr>
                      <w:rFonts w:hint="eastAsia" w:ascii="Times New Roman" w:hAnsi="Times New Roman" w:eastAsia="宋体"/>
                      <w:color w:val="auto"/>
                      <w:spacing w:val="0"/>
                      <w:sz w:val="21"/>
                      <w:highlight w:val="none"/>
                      <w:shd w:val="clear" w:color="auto" w:fill="FFFFFF"/>
                      <w:lang w:eastAsia="zh-CN"/>
                    </w:rPr>
                    <w:t>位于福州市滨海工业区（松下组团），</w:t>
                  </w:r>
                  <w:r>
                    <w:rPr>
                      <w:rFonts w:hint="eastAsia" w:ascii="Times New Roman" w:hAnsi="Times New Roman" w:eastAsia="宋体"/>
                      <w:color w:val="auto"/>
                      <w:spacing w:val="0"/>
                      <w:sz w:val="21"/>
                      <w:highlight w:val="none"/>
                      <w:shd w:val="clear" w:color="auto" w:fill="FFFFFF"/>
                    </w:rPr>
                    <w:t>位于工业集中区内。</w:t>
                  </w:r>
                </w:p>
              </w:tc>
              <w:tc>
                <w:tcPr>
                  <w:tcW w:w="259" w:type="pct"/>
                  <w:noWrap w:val="0"/>
                  <w:vAlign w:val="center"/>
                </w:tcPr>
                <w:p w14:paraId="6DD01C74">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17860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232" w:type="pct"/>
                  <w:vMerge w:val="continue"/>
                  <w:noWrap w:val="0"/>
                  <w:vAlign w:val="center"/>
                </w:tcPr>
                <w:p w14:paraId="11C81883">
                  <w:pPr>
                    <w:snapToGrid w:val="0"/>
                    <w:jc w:val="center"/>
                    <w:rPr>
                      <w:rFonts w:ascii="Times New Roman" w:hAnsi="Times New Roman" w:eastAsia="宋体"/>
                      <w:color w:val="auto"/>
                      <w:spacing w:val="0"/>
                      <w:szCs w:val="21"/>
                      <w:highlight w:val="none"/>
                    </w:rPr>
                  </w:pPr>
                </w:p>
              </w:tc>
              <w:tc>
                <w:tcPr>
                  <w:tcW w:w="2520" w:type="pct"/>
                  <w:gridSpan w:val="2"/>
                  <w:noWrap w:val="0"/>
                  <w:vAlign w:val="center"/>
                </w:tcPr>
                <w:p w14:paraId="4CB46233">
                  <w:pPr>
                    <w:snapToGrid w:val="0"/>
                    <w:jc w:val="center"/>
                    <w:rPr>
                      <w:rFonts w:hint="eastAsia" w:ascii="Times New Roman" w:hAnsi="Times New Roman" w:eastAsia="宋体"/>
                      <w:color w:val="auto"/>
                      <w:spacing w:val="0"/>
                      <w:szCs w:val="21"/>
                      <w:highlight w:val="none"/>
                    </w:rPr>
                  </w:pPr>
                  <w:r>
                    <w:rPr>
                      <w:rFonts w:hint="eastAsia" w:ascii="Times New Roman" w:hAnsi="Times New Roman" w:eastAsia="宋体"/>
                      <w:color w:val="auto"/>
                      <w:spacing w:val="0"/>
                      <w:szCs w:val="21"/>
                      <w:highlight w:val="none"/>
                      <w:lang w:val="en-US" w:eastAsia="zh-CN"/>
                    </w:rPr>
                    <w:t>4.2.3</w:t>
                  </w:r>
                  <w:r>
                    <w:rPr>
                      <w:rFonts w:ascii="Times New Roman" w:hAnsi="Times New Roman" w:eastAsia="宋体"/>
                      <w:color w:val="auto"/>
                      <w:spacing w:val="0"/>
                      <w:szCs w:val="21"/>
                      <w:highlight w:val="none"/>
                    </w:rPr>
                    <w:t>企业应严格执行《工业项目建设用地控制指标》建设用地标准，且场地建设符合HJ348的企业建设环境保护要求</w:t>
                  </w:r>
                  <w:r>
                    <w:rPr>
                      <w:rFonts w:hint="eastAsia" w:ascii="Times New Roman" w:hAnsi="Times New Roman" w:eastAsia="宋体"/>
                      <w:color w:val="auto"/>
                      <w:spacing w:val="0"/>
                      <w:szCs w:val="21"/>
                      <w:highlight w:val="none"/>
                    </w:rPr>
                    <w:t>。</w:t>
                  </w:r>
                </w:p>
              </w:tc>
              <w:tc>
                <w:tcPr>
                  <w:tcW w:w="1987" w:type="pct"/>
                  <w:noWrap w:val="0"/>
                  <w:vAlign w:val="center"/>
                </w:tcPr>
                <w:p w14:paraId="1DF70ADC">
                  <w:pPr>
                    <w:snapToGrid w:val="0"/>
                    <w:jc w:val="center"/>
                    <w:rPr>
                      <w:rFonts w:hint="eastAsia" w:ascii="Times New Roman" w:hAnsi="Times New Roman" w:eastAsia="宋体"/>
                      <w:color w:val="auto"/>
                      <w:spacing w:val="0"/>
                      <w:szCs w:val="21"/>
                      <w:highlight w:val="none"/>
                    </w:rPr>
                  </w:pPr>
                  <w:r>
                    <w:rPr>
                      <w:rFonts w:ascii="Times New Roman" w:hAnsi="Times New Roman" w:eastAsia="宋体"/>
                      <w:color w:val="auto"/>
                      <w:spacing w:val="0"/>
                      <w:szCs w:val="21"/>
                      <w:highlight w:val="none"/>
                    </w:rPr>
                    <w:t>项目</w:t>
                  </w:r>
                  <w:r>
                    <w:rPr>
                      <w:rFonts w:hint="eastAsia" w:ascii="Times New Roman" w:hAnsi="Times New Roman" w:eastAsia="宋体"/>
                      <w:color w:val="auto"/>
                      <w:spacing w:val="0"/>
                      <w:szCs w:val="21"/>
                      <w:highlight w:val="none"/>
                      <w:lang w:eastAsia="zh-CN"/>
                    </w:rPr>
                    <w:t>租用现有工业厂区，</w:t>
                  </w:r>
                  <w:r>
                    <w:rPr>
                      <w:rFonts w:ascii="Times New Roman" w:hAnsi="Times New Roman" w:eastAsia="宋体"/>
                      <w:color w:val="auto"/>
                      <w:spacing w:val="0"/>
                      <w:szCs w:val="21"/>
                      <w:highlight w:val="none"/>
                    </w:rPr>
                    <w:t>用地符合《工业项目建设用地控制指标》建设用地</w:t>
                  </w:r>
                  <w:r>
                    <w:rPr>
                      <w:rFonts w:hint="eastAsia" w:ascii="Times New Roman" w:hAnsi="Times New Roman" w:eastAsia="宋体"/>
                      <w:color w:val="auto"/>
                      <w:spacing w:val="0"/>
                      <w:szCs w:val="21"/>
                      <w:highlight w:val="none"/>
                    </w:rPr>
                    <w:t>标准，场地建设符合</w:t>
                  </w:r>
                  <w:r>
                    <w:rPr>
                      <w:rFonts w:ascii="Times New Roman" w:hAnsi="Times New Roman" w:eastAsia="宋体"/>
                      <w:color w:val="auto"/>
                      <w:spacing w:val="0"/>
                      <w:szCs w:val="21"/>
                      <w:highlight w:val="none"/>
                      <w:shd w:val="clear" w:color="auto" w:fill="FFFFFF"/>
                    </w:rPr>
                    <w:t>HJ348要求</w:t>
                  </w:r>
                  <w:r>
                    <w:rPr>
                      <w:rFonts w:hint="eastAsia" w:ascii="Times New Roman" w:hAnsi="Times New Roman" w:eastAsia="宋体"/>
                      <w:color w:val="auto"/>
                      <w:spacing w:val="0"/>
                      <w:szCs w:val="21"/>
                      <w:highlight w:val="none"/>
                      <w:shd w:val="clear" w:color="auto" w:fill="FFFFFF"/>
                      <w:lang w:eastAsia="zh-CN"/>
                    </w:rPr>
                    <w:t>（具体对照详见下表</w:t>
                  </w:r>
                  <w:r>
                    <w:rPr>
                      <w:rFonts w:hint="eastAsia" w:ascii="Times New Roman" w:hAnsi="Times New Roman" w:eastAsia="宋体"/>
                      <w:color w:val="auto"/>
                      <w:spacing w:val="0"/>
                      <w:szCs w:val="21"/>
                      <w:highlight w:val="none"/>
                      <w:shd w:val="clear" w:color="auto" w:fill="FFFFFF"/>
                      <w:lang w:val="en-US" w:eastAsia="zh-CN"/>
                    </w:rPr>
                    <w:t>1-7</w:t>
                  </w:r>
                  <w:r>
                    <w:rPr>
                      <w:rFonts w:hint="eastAsia" w:ascii="Times New Roman" w:hAnsi="Times New Roman" w:eastAsia="宋体"/>
                      <w:color w:val="auto"/>
                      <w:spacing w:val="0"/>
                      <w:szCs w:val="21"/>
                      <w:highlight w:val="none"/>
                      <w:shd w:val="clear" w:color="auto" w:fill="FFFFFF"/>
                      <w:lang w:eastAsia="zh-CN"/>
                    </w:rPr>
                    <w:t>）</w:t>
                  </w:r>
                  <w:r>
                    <w:rPr>
                      <w:rFonts w:hint="eastAsia" w:ascii="Times New Roman" w:hAnsi="Times New Roman" w:eastAsia="宋体"/>
                      <w:color w:val="auto"/>
                      <w:spacing w:val="0"/>
                      <w:szCs w:val="21"/>
                      <w:highlight w:val="none"/>
                      <w:shd w:val="clear" w:color="auto" w:fill="FFFFFF"/>
                    </w:rPr>
                    <w:t>。</w:t>
                  </w:r>
                </w:p>
              </w:tc>
              <w:tc>
                <w:tcPr>
                  <w:tcW w:w="259" w:type="pct"/>
                  <w:noWrap w:val="0"/>
                  <w:vAlign w:val="center"/>
                </w:tcPr>
                <w:p w14:paraId="4FA9F40C">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19405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14:paraId="09BF46AD">
                  <w:pPr>
                    <w:snapToGrid w:val="0"/>
                    <w:jc w:val="center"/>
                    <w:rPr>
                      <w:rFonts w:ascii="Times New Roman" w:hAnsi="Times New Roman" w:eastAsia="宋体"/>
                      <w:color w:val="auto"/>
                      <w:spacing w:val="0"/>
                      <w:szCs w:val="21"/>
                      <w:highlight w:val="none"/>
                    </w:rPr>
                  </w:pPr>
                </w:p>
              </w:tc>
              <w:tc>
                <w:tcPr>
                  <w:tcW w:w="2520" w:type="pct"/>
                  <w:gridSpan w:val="2"/>
                  <w:noWrap w:val="0"/>
                  <w:vAlign w:val="center"/>
                </w:tcPr>
                <w:p w14:paraId="2275F6A5">
                  <w:pPr>
                    <w:snapToGrid w:val="0"/>
                    <w:jc w:val="left"/>
                    <w:rPr>
                      <w:rFonts w:ascii="Times New Roman" w:hAnsi="Times New Roman" w:eastAsia="宋体"/>
                      <w:color w:val="auto"/>
                      <w:spacing w:val="0"/>
                      <w:szCs w:val="21"/>
                      <w:highlight w:val="none"/>
                    </w:rPr>
                  </w:pPr>
                  <w:r>
                    <w:rPr>
                      <w:rFonts w:hint="eastAsia" w:ascii="Times New Roman" w:hAnsi="Times New Roman" w:eastAsia="宋体"/>
                      <w:color w:val="auto"/>
                      <w:spacing w:val="0"/>
                      <w:szCs w:val="21"/>
                      <w:highlight w:val="none"/>
                      <w:lang w:val="en-US" w:eastAsia="zh-CN"/>
                    </w:rPr>
                    <w:t xml:space="preserve">*4.2.4 </w:t>
                  </w:r>
                  <w:r>
                    <w:rPr>
                      <w:rFonts w:ascii="Times New Roman" w:hAnsi="Times New Roman" w:eastAsia="宋体"/>
                      <w:color w:val="auto"/>
                      <w:spacing w:val="0"/>
                      <w:szCs w:val="21"/>
                      <w:highlight w:val="none"/>
                    </w:rPr>
                    <w:t>企业场地应具备拆解场地、贮存场地和办公场地。其中，拆解场地和贮存场地</w:t>
                  </w:r>
                  <w:r>
                    <w:rPr>
                      <w:rFonts w:hint="eastAsia" w:ascii="Times New Roman" w:hAnsi="Times New Roman" w:eastAsia="宋体"/>
                      <w:color w:val="auto"/>
                      <w:spacing w:val="0"/>
                      <w:szCs w:val="21"/>
                      <w:highlight w:val="none"/>
                      <w:lang w:eastAsia="zh-CN"/>
                    </w:rPr>
                    <w:t>（</w:t>
                  </w:r>
                  <w:r>
                    <w:rPr>
                      <w:rFonts w:ascii="Times New Roman" w:hAnsi="Times New Roman" w:eastAsia="宋体"/>
                      <w:color w:val="auto"/>
                      <w:spacing w:val="0"/>
                      <w:szCs w:val="21"/>
                      <w:highlight w:val="none"/>
                    </w:rPr>
                    <w:t>包括临时贮存</w:t>
                  </w:r>
                  <w:r>
                    <w:rPr>
                      <w:rFonts w:hint="eastAsia" w:ascii="Times New Roman" w:hAnsi="Times New Roman" w:eastAsia="宋体"/>
                      <w:color w:val="auto"/>
                      <w:spacing w:val="0"/>
                      <w:szCs w:val="21"/>
                      <w:highlight w:val="none"/>
                      <w:lang w:eastAsia="zh-CN"/>
                    </w:rPr>
                    <w:t>）</w:t>
                  </w:r>
                  <w:r>
                    <w:rPr>
                      <w:rFonts w:ascii="Times New Roman" w:hAnsi="Times New Roman" w:eastAsia="宋体"/>
                      <w:color w:val="auto"/>
                      <w:spacing w:val="0"/>
                      <w:szCs w:val="21"/>
                      <w:highlight w:val="none"/>
                    </w:rPr>
                    <w:t>的地面应硬化并防渗漏，满足GB50037的防油渗地面要求。</w:t>
                  </w:r>
                </w:p>
              </w:tc>
              <w:tc>
                <w:tcPr>
                  <w:tcW w:w="1987" w:type="pct"/>
                  <w:noWrap w:val="0"/>
                  <w:vAlign w:val="center"/>
                </w:tcPr>
                <w:p w14:paraId="4B5F8D3C">
                  <w:pPr>
                    <w:snapToGrid w:val="0"/>
                    <w:jc w:val="center"/>
                    <w:rPr>
                      <w:rFonts w:hint="default" w:ascii="Times New Roman" w:hAnsi="Times New Roman" w:eastAsia="宋体"/>
                      <w:color w:val="auto"/>
                      <w:spacing w:val="0"/>
                      <w:szCs w:val="21"/>
                      <w:highlight w:val="none"/>
                      <w:lang w:val="en-US" w:eastAsia="zh-CN"/>
                    </w:rPr>
                  </w:pPr>
                  <w:r>
                    <w:rPr>
                      <w:rFonts w:hint="eastAsia" w:ascii="Times New Roman" w:hAnsi="Times New Roman" w:eastAsia="宋体"/>
                      <w:color w:val="auto"/>
                      <w:spacing w:val="0"/>
                      <w:szCs w:val="21"/>
                      <w:highlight w:val="none"/>
                    </w:rPr>
                    <w:t>项目</w:t>
                  </w:r>
                  <w:r>
                    <w:rPr>
                      <w:rFonts w:hint="eastAsia" w:ascii="Times New Roman" w:hAnsi="Times New Roman" w:eastAsia="宋体"/>
                      <w:color w:val="auto"/>
                      <w:spacing w:val="0"/>
                      <w:szCs w:val="21"/>
                      <w:highlight w:val="none"/>
                      <w:lang w:eastAsia="zh-CN"/>
                    </w:rPr>
                    <w:t>厂区按功能进行分区，</w:t>
                  </w:r>
                  <w:r>
                    <w:rPr>
                      <w:rFonts w:ascii="Times New Roman" w:hAnsi="Times New Roman" w:eastAsia="宋体"/>
                      <w:color w:val="auto"/>
                      <w:spacing w:val="0"/>
                      <w:szCs w:val="21"/>
                      <w:highlight w:val="none"/>
                    </w:rPr>
                    <w:t>具备</w:t>
                  </w:r>
                  <w:r>
                    <w:rPr>
                      <w:rFonts w:hint="eastAsia" w:ascii="Times New Roman" w:hAnsi="Times New Roman" w:eastAsia="宋体"/>
                      <w:color w:val="auto"/>
                      <w:spacing w:val="0"/>
                      <w:szCs w:val="21"/>
                      <w:highlight w:val="none"/>
                    </w:rPr>
                    <w:t>专门</w:t>
                  </w:r>
                  <w:r>
                    <w:rPr>
                      <w:rFonts w:ascii="Times New Roman" w:hAnsi="Times New Roman" w:eastAsia="宋体"/>
                      <w:color w:val="auto"/>
                      <w:spacing w:val="0"/>
                      <w:szCs w:val="21"/>
                      <w:highlight w:val="none"/>
                    </w:rPr>
                    <w:t>拆解场地、贮存场地和办公场地，</w:t>
                  </w:r>
                  <w:r>
                    <w:rPr>
                      <w:rFonts w:hint="eastAsia" w:ascii="Times New Roman" w:hAnsi="Times New Roman" w:eastAsia="宋体"/>
                      <w:color w:val="auto"/>
                      <w:spacing w:val="0"/>
                      <w:szCs w:val="21"/>
                      <w:highlight w:val="none"/>
                    </w:rPr>
                    <w:t>地面均硬化，并</w:t>
                  </w:r>
                  <w:r>
                    <w:rPr>
                      <w:rFonts w:ascii="Times New Roman" w:hAnsi="Times New Roman" w:eastAsia="宋体"/>
                      <w:color w:val="auto"/>
                      <w:spacing w:val="0"/>
                      <w:szCs w:val="21"/>
                      <w:highlight w:val="none"/>
                      <w:shd w:val="clear" w:color="auto" w:fill="FFFFFF"/>
                    </w:rPr>
                    <w:t>按要求分区防渗，</w:t>
                  </w:r>
                  <w:r>
                    <w:rPr>
                      <w:rFonts w:hint="eastAsia" w:ascii="Times New Roman" w:hAnsi="Times New Roman" w:eastAsia="宋体"/>
                      <w:color w:val="auto"/>
                      <w:spacing w:val="0"/>
                      <w:szCs w:val="21"/>
                      <w:highlight w:val="none"/>
                      <w:shd w:val="clear" w:color="auto" w:fill="FFFFFF"/>
                    </w:rPr>
                    <w:t>其中拆解场地和贮存场地</w:t>
                  </w:r>
                  <w:r>
                    <w:rPr>
                      <w:rFonts w:hint="eastAsia" w:ascii="Times New Roman" w:hAnsi="Times New Roman" w:eastAsia="宋体"/>
                      <w:color w:val="auto"/>
                      <w:spacing w:val="0"/>
                      <w:szCs w:val="21"/>
                      <w:highlight w:val="none"/>
                      <w:shd w:val="clear" w:color="auto" w:fill="FFFFFF"/>
                      <w:lang w:eastAsia="zh-CN"/>
                    </w:rPr>
                    <w:t>（</w:t>
                  </w:r>
                  <w:r>
                    <w:rPr>
                      <w:rFonts w:hint="eastAsia" w:ascii="Times New Roman" w:hAnsi="Times New Roman" w:eastAsia="宋体"/>
                      <w:color w:val="auto"/>
                      <w:spacing w:val="0"/>
                      <w:szCs w:val="21"/>
                      <w:highlight w:val="none"/>
                      <w:shd w:val="clear" w:color="auto" w:fill="FFFFFF"/>
                    </w:rPr>
                    <w:t>包括临时贮存</w:t>
                  </w:r>
                  <w:r>
                    <w:rPr>
                      <w:rFonts w:hint="eastAsia" w:ascii="Times New Roman" w:hAnsi="Times New Roman" w:eastAsia="宋体"/>
                      <w:color w:val="auto"/>
                      <w:spacing w:val="0"/>
                      <w:szCs w:val="21"/>
                      <w:highlight w:val="none"/>
                      <w:shd w:val="clear" w:color="auto" w:fill="FFFFFF"/>
                      <w:lang w:eastAsia="zh-CN"/>
                    </w:rPr>
                    <w:t>）</w:t>
                  </w:r>
                  <w:r>
                    <w:rPr>
                      <w:rFonts w:ascii="Times New Roman" w:hAnsi="Times New Roman" w:eastAsia="宋体"/>
                      <w:color w:val="auto"/>
                      <w:spacing w:val="0"/>
                      <w:szCs w:val="21"/>
                      <w:highlight w:val="none"/>
                      <w:shd w:val="clear" w:color="auto" w:fill="FFFFFF"/>
                    </w:rPr>
                    <w:t>地面硬化</w:t>
                  </w:r>
                  <w:r>
                    <w:rPr>
                      <w:rFonts w:hint="eastAsia" w:ascii="Times New Roman" w:hAnsi="Times New Roman" w:eastAsia="宋体"/>
                      <w:color w:val="auto"/>
                      <w:spacing w:val="0"/>
                      <w:szCs w:val="21"/>
                      <w:highlight w:val="none"/>
                      <w:shd w:val="clear" w:color="auto" w:fill="FFFFFF"/>
                    </w:rPr>
                    <w:t>并使用环氧树脂进行防腐防渗漏，满足GB50037的防油渗地面要求</w:t>
                  </w:r>
                </w:p>
              </w:tc>
              <w:tc>
                <w:tcPr>
                  <w:tcW w:w="259" w:type="pct"/>
                  <w:noWrap w:val="0"/>
                  <w:vAlign w:val="center"/>
                </w:tcPr>
                <w:p w14:paraId="7AA32C4A">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32065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14:paraId="28BD0E0C">
                  <w:pPr>
                    <w:snapToGrid w:val="0"/>
                    <w:jc w:val="center"/>
                    <w:rPr>
                      <w:rFonts w:ascii="Times New Roman" w:hAnsi="Times New Roman" w:eastAsia="宋体"/>
                      <w:color w:val="auto"/>
                      <w:spacing w:val="0"/>
                      <w:szCs w:val="21"/>
                      <w:highlight w:val="none"/>
                    </w:rPr>
                  </w:pPr>
                </w:p>
              </w:tc>
              <w:tc>
                <w:tcPr>
                  <w:tcW w:w="2520" w:type="pct"/>
                  <w:gridSpan w:val="2"/>
                  <w:noWrap w:val="0"/>
                  <w:vAlign w:val="center"/>
                </w:tcPr>
                <w:p w14:paraId="77F8DFD9">
                  <w:pPr>
                    <w:snapToGrid w:val="0"/>
                    <w:jc w:val="left"/>
                    <w:rPr>
                      <w:rFonts w:hint="eastAsia" w:ascii="Times New Roman" w:hAnsi="Times New Roman" w:eastAsia="宋体"/>
                      <w:color w:val="auto"/>
                      <w:spacing w:val="0"/>
                      <w:szCs w:val="21"/>
                      <w:highlight w:val="none"/>
                    </w:rPr>
                  </w:pPr>
                  <w:r>
                    <w:rPr>
                      <w:rFonts w:hint="eastAsia" w:ascii="Times New Roman" w:hAnsi="Times New Roman" w:eastAsia="宋体"/>
                      <w:color w:val="auto"/>
                      <w:spacing w:val="0"/>
                      <w:szCs w:val="21"/>
                      <w:highlight w:val="none"/>
                      <w:lang w:val="en-US" w:eastAsia="zh-CN"/>
                    </w:rPr>
                    <w:t>*4.2.5</w:t>
                  </w:r>
                  <w:r>
                    <w:rPr>
                      <w:rFonts w:ascii="Times New Roman" w:hAnsi="Times New Roman" w:eastAsia="宋体"/>
                      <w:color w:val="auto"/>
                      <w:spacing w:val="0"/>
                      <w:szCs w:val="21"/>
                      <w:highlight w:val="none"/>
                    </w:rPr>
                    <w:t>拆解场地应为封闭或半封闭构建物，应通风、光线良好，安全环保设施设备齐全</w:t>
                  </w:r>
                  <w:r>
                    <w:rPr>
                      <w:rFonts w:hint="eastAsia" w:ascii="Times New Roman" w:hAnsi="Times New Roman" w:eastAsia="宋体"/>
                      <w:color w:val="auto"/>
                      <w:spacing w:val="0"/>
                      <w:szCs w:val="21"/>
                      <w:highlight w:val="none"/>
                    </w:rPr>
                    <w:t>。</w:t>
                  </w:r>
                </w:p>
              </w:tc>
              <w:tc>
                <w:tcPr>
                  <w:tcW w:w="1987" w:type="pct"/>
                  <w:noWrap w:val="0"/>
                  <w:vAlign w:val="center"/>
                </w:tcPr>
                <w:p w14:paraId="674E7D01">
                  <w:pPr>
                    <w:snapToGrid w:val="0"/>
                    <w:jc w:val="center"/>
                    <w:rPr>
                      <w:rFonts w:hint="eastAsia" w:ascii="Times New Roman" w:hAnsi="Times New Roman" w:eastAsia="宋体"/>
                      <w:color w:val="auto"/>
                      <w:spacing w:val="0"/>
                      <w:szCs w:val="21"/>
                      <w:highlight w:val="none"/>
                    </w:rPr>
                  </w:pPr>
                  <w:r>
                    <w:rPr>
                      <w:rFonts w:hint="eastAsia" w:ascii="Times New Roman" w:hAnsi="Times New Roman" w:eastAsia="宋体"/>
                      <w:color w:val="auto"/>
                      <w:spacing w:val="0"/>
                      <w:szCs w:val="21"/>
                      <w:highlight w:val="none"/>
                      <w:shd w:val="clear" w:color="auto" w:fill="FFFFFF"/>
                    </w:rPr>
                    <w:t>项目拆解场地为</w:t>
                  </w:r>
                  <w:r>
                    <w:rPr>
                      <w:rFonts w:hint="eastAsia" w:ascii="Times New Roman" w:hAnsi="Times New Roman" w:eastAsia="宋体"/>
                      <w:color w:val="auto"/>
                      <w:spacing w:val="0"/>
                      <w:szCs w:val="21"/>
                      <w:highlight w:val="none"/>
                      <w:shd w:val="clear" w:color="auto" w:fill="FFFFFF"/>
                      <w:lang w:eastAsia="zh-CN"/>
                    </w:rPr>
                    <w:t>封闭厂房建筑物，仅留物料进出口，</w:t>
                  </w:r>
                  <w:r>
                    <w:rPr>
                      <w:rFonts w:hint="eastAsia" w:ascii="Times New Roman" w:hAnsi="Times New Roman" w:eastAsia="宋体"/>
                      <w:color w:val="auto"/>
                      <w:spacing w:val="0"/>
                      <w:szCs w:val="21"/>
                      <w:highlight w:val="none"/>
                      <w:shd w:val="clear" w:color="auto" w:fill="FFFFFF"/>
                    </w:rPr>
                    <w:t>场地</w:t>
                  </w:r>
                  <w:r>
                    <w:rPr>
                      <w:rFonts w:ascii="Times New Roman" w:hAnsi="Times New Roman" w:eastAsia="宋体"/>
                      <w:color w:val="auto"/>
                      <w:spacing w:val="0"/>
                      <w:szCs w:val="21"/>
                      <w:highlight w:val="none"/>
                    </w:rPr>
                    <w:t>通风、光线良好，安全环保设施设备齐全</w:t>
                  </w:r>
                  <w:r>
                    <w:rPr>
                      <w:rFonts w:hint="eastAsia" w:ascii="Times New Roman" w:hAnsi="Times New Roman" w:eastAsia="宋体"/>
                      <w:color w:val="auto"/>
                      <w:spacing w:val="0"/>
                      <w:szCs w:val="21"/>
                      <w:highlight w:val="none"/>
                    </w:rPr>
                    <w:t>。</w:t>
                  </w:r>
                </w:p>
              </w:tc>
              <w:tc>
                <w:tcPr>
                  <w:tcW w:w="259" w:type="pct"/>
                  <w:noWrap w:val="0"/>
                  <w:vAlign w:val="center"/>
                </w:tcPr>
                <w:p w14:paraId="0ED0378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1EC73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66D95F75">
                  <w:pPr>
                    <w:snapToGrid w:val="0"/>
                    <w:jc w:val="center"/>
                    <w:rPr>
                      <w:rFonts w:ascii="Times New Roman" w:hAnsi="Times New Roman" w:eastAsia="宋体"/>
                      <w:color w:val="auto"/>
                      <w:spacing w:val="0"/>
                      <w:szCs w:val="21"/>
                      <w:highlight w:val="none"/>
                    </w:rPr>
                  </w:pPr>
                </w:p>
              </w:tc>
              <w:tc>
                <w:tcPr>
                  <w:tcW w:w="2520" w:type="pct"/>
                  <w:gridSpan w:val="2"/>
                  <w:noWrap w:val="0"/>
                  <w:vAlign w:val="center"/>
                </w:tcPr>
                <w:p w14:paraId="51AB372F">
                  <w:pPr>
                    <w:snapToGrid w:val="0"/>
                    <w:jc w:val="left"/>
                    <w:rPr>
                      <w:rFonts w:ascii="Times New Roman" w:hAnsi="Times New Roman" w:eastAsia="宋体"/>
                      <w:color w:val="auto"/>
                      <w:spacing w:val="0"/>
                      <w:szCs w:val="21"/>
                      <w:highlight w:val="none"/>
                    </w:rPr>
                  </w:pPr>
                  <w:r>
                    <w:rPr>
                      <w:rFonts w:hint="eastAsia" w:ascii="Times New Roman" w:hAnsi="Times New Roman" w:eastAsia="宋体"/>
                      <w:color w:val="auto"/>
                      <w:spacing w:val="0"/>
                      <w:szCs w:val="21"/>
                      <w:highlight w:val="none"/>
                      <w:lang w:val="en-US" w:eastAsia="zh-CN"/>
                    </w:rPr>
                    <w:t>*4.2.6</w:t>
                  </w:r>
                  <w:r>
                    <w:rPr>
                      <w:rFonts w:ascii="Times New Roman" w:hAnsi="Times New Roman" w:eastAsia="宋体"/>
                      <w:color w:val="auto"/>
                      <w:spacing w:val="0"/>
                      <w:szCs w:val="21"/>
                      <w:highlight w:val="none"/>
                    </w:rPr>
                    <w:t>贮存场地应分为报废机动车贮存场地、回用件贮存场地及固体废物贮存场地。固体废物贮存场地应具有满足GB18599要求的一般工业固体废物贮存设施和满足GB18597要求的危险废物贮存设施。</w:t>
                  </w:r>
                </w:p>
              </w:tc>
              <w:tc>
                <w:tcPr>
                  <w:tcW w:w="1987" w:type="pct"/>
                  <w:noWrap w:val="0"/>
                  <w:vAlign w:val="center"/>
                </w:tcPr>
                <w:p w14:paraId="42C9C0F4">
                  <w:pPr>
                    <w:snapToGrid w:val="0"/>
                    <w:jc w:val="center"/>
                    <w:rPr>
                      <w:rFonts w:ascii="Times New Roman" w:hAnsi="Times New Roman" w:eastAsia="宋体"/>
                      <w:color w:val="auto"/>
                      <w:spacing w:val="0"/>
                      <w:szCs w:val="21"/>
                      <w:highlight w:val="none"/>
                    </w:rPr>
                  </w:pPr>
                  <w:r>
                    <w:rPr>
                      <w:rFonts w:hint="eastAsia" w:ascii="Times New Roman" w:hAnsi="Times New Roman" w:eastAsia="宋体"/>
                      <w:color w:val="auto"/>
                      <w:spacing w:val="0"/>
                      <w:szCs w:val="21"/>
                      <w:highlight w:val="none"/>
                    </w:rPr>
                    <w:t>项目贮存场地分为</w:t>
                  </w:r>
                  <w:r>
                    <w:rPr>
                      <w:rFonts w:hint="eastAsia" w:ascii="Times New Roman" w:hAnsi="Times New Roman" w:eastAsia="宋体"/>
                      <w:color w:val="auto"/>
                      <w:spacing w:val="0"/>
                      <w:szCs w:val="21"/>
                      <w:highlight w:val="none"/>
                      <w:lang w:eastAsia="zh-CN"/>
                    </w:rPr>
                    <w:t>大小车停车场、</w:t>
                  </w:r>
                  <w:r>
                    <w:rPr>
                      <w:rFonts w:hint="eastAsia" w:ascii="Times New Roman" w:hAnsi="Times New Roman" w:eastAsia="宋体"/>
                      <w:color w:val="auto"/>
                      <w:spacing w:val="0"/>
                      <w:szCs w:val="21"/>
                      <w:highlight w:val="none"/>
                      <w:lang w:val="en-US" w:eastAsia="zh-CN"/>
                    </w:rPr>
                    <w:t>摩托车停车场、</w:t>
                  </w:r>
                  <w:r>
                    <w:rPr>
                      <w:rFonts w:hint="eastAsia" w:ascii="Times New Roman" w:hAnsi="Times New Roman" w:eastAsia="宋体"/>
                      <w:color w:val="auto"/>
                      <w:spacing w:val="0"/>
                      <w:szCs w:val="21"/>
                      <w:highlight w:val="none"/>
                      <w:lang w:eastAsia="zh-CN"/>
                    </w:rPr>
                    <w:t>新能源电动车停车区、回用件贮存场地（仓库区）及</w:t>
                  </w:r>
                  <w:r>
                    <w:rPr>
                      <w:rFonts w:hint="eastAsia" w:ascii="Times New Roman" w:hAnsi="Times New Roman" w:eastAsia="宋体"/>
                      <w:color w:val="auto"/>
                      <w:spacing w:val="0"/>
                      <w:szCs w:val="21"/>
                      <w:highlight w:val="none"/>
                    </w:rPr>
                    <w:t>一般废物存放区、危废暂存间，其中一般固废存放区按《一般工业固体废物贮存和填埋污染控制标准》（GB18599-2020）设置；危险废物暂存处参照《危险废物贮存污染控制标准》（GB18597-2</w:t>
                  </w:r>
                  <w:r>
                    <w:rPr>
                      <w:rFonts w:hint="eastAsia" w:ascii="Times New Roman" w:hAnsi="Times New Roman" w:eastAsia="宋体"/>
                      <w:color w:val="auto"/>
                      <w:spacing w:val="0"/>
                      <w:szCs w:val="21"/>
                      <w:highlight w:val="none"/>
                      <w:lang w:val="en-US" w:eastAsia="zh-CN"/>
                    </w:rPr>
                    <w:t>023</w:t>
                  </w:r>
                  <w:r>
                    <w:rPr>
                      <w:rFonts w:hint="eastAsia" w:ascii="Times New Roman" w:hAnsi="Times New Roman" w:eastAsia="宋体"/>
                      <w:color w:val="auto"/>
                      <w:spacing w:val="0"/>
                      <w:szCs w:val="21"/>
                      <w:highlight w:val="none"/>
                    </w:rPr>
                    <w:t>）</w:t>
                  </w:r>
                  <w:r>
                    <w:rPr>
                      <w:rFonts w:hint="eastAsia" w:ascii="Times New Roman" w:hAnsi="Times New Roman" w:eastAsia="宋体"/>
                      <w:color w:val="auto"/>
                      <w:spacing w:val="0"/>
                      <w:szCs w:val="21"/>
                      <w:highlight w:val="none"/>
                      <w:lang w:eastAsia="zh-CN"/>
                    </w:rPr>
                    <w:t>，</w:t>
                  </w:r>
                  <w:r>
                    <w:rPr>
                      <w:rFonts w:hint="eastAsia" w:ascii="Times New Roman" w:hAnsi="Times New Roman" w:eastAsia="宋体"/>
                      <w:color w:val="auto"/>
                      <w:spacing w:val="0"/>
                      <w:szCs w:val="21"/>
                      <w:highlight w:val="none"/>
                      <w:lang w:val="en-US" w:eastAsia="zh-CN"/>
                    </w:rPr>
                    <w:t>其中危废暂存间内废铅酸蓄电池隔间还应按照《电池废料贮运规范》（GB/T 26493-2011）的规定，地面设置耐酸隔离层</w:t>
                  </w:r>
                  <w:r>
                    <w:rPr>
                      <w:rFonts w:hint="eastAsia" w:ascii="Times New Roman" w:hAnsi="Times New Roman" w:eastAsia="宋体"/>
                      <w:color w:val="auto"/>
                      <w:spacing w:val="0"/>
                      <w:szCs w:val="21"/>
                      <w:highlight w:val="none"/>
                    </w:rPr>
                    <w:t>。</w:t>
                  </w:r>
                </w:p>
              </w:tc>
              <w:tc>
                <w:tcPr>
                  <w:tcW w:w="259" w:type="pct"/>
                  <w:noWrap w:val="0"/>
                  <w:vAlign w:val="center"/>
                </w:tcPr>
                <w:p w14:paraId="2F13522F">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6C8E7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690C26AD">
                  <w:pPr>
                    <w:snapToGrid w:val="0"/>
                    <w:jc w:val="center"/>
                    <w:rPr>
                      <w:rFonts w:ascii="Times New Roman" w:hAnsi="Times New Roman" w:eastAsia="宋体"/>
                      <w:color w:val="auto"/>
                      <w:spacing w:val="0"/>
                      <w:szCs w:val="21"/>
                      <w:highlight w:val="none"/>
                    </w:rPr>
                  </w:pPr>
                </w:p>
              </w:tc>
              <w:tc>
                <w:tcPr>
                  <w:tcW w:w="2520" w:type="pct"/>
                  <w:gridSpan w:val="2"/>
                  <w:noWrap w:val="0"/>
                  <w:vAlign w:val="center"/>
                </w:tcPr>
                <w:p w14:paraId="759EC2C3">
                  <w:pPr>
                    <w:snapToGrid w:val="0"/>
                    <w:jc w:val="left"/>
                    <w:rPr>
                      <w:rFonts w:hint="eastAsia" w:ascii="Times New Roman" w:hAnsi="Times New Roman" w:eastAsia="宋体"/>
                      <w:color w:val="auto"/>
                      <w:spacing w:val="0"/>
                      <w:szCs w:val="21"/>
                      <w:highlight w:val="none"/>
                    </w:rPr>
                  </w:pPr>
                  <w:r>
                    <w:rPr>
                      <w:rFonts w:hint="eastAsia" w:ascii="Times New Roman" w:hAnsi="Times New Roman" w:eastAsia="宋体"/>
                      <w:color w:val="auto"/>
                      <w:spacing w:val="0"/>
                      <w:szCs w:val="21"/>
                      <w:highlight w:val="none"/>
                      <w:lang w:val="en-US" w:eastAsia="zh-CN"/>
                    </w:rPr>
                    <w:t>*4.2.7</w:t>
                  </w:r>
                  <w:r>
                    <w:rPr>
                      <w:rFonts w:ascii="Times New Roman" w:hAnsi="Times New Roman" w:eastAsia="宋体"/>
                      <w:color w:val="auto"/>
                      <w:spacing w:val="0"/>
                      <w:szCs w:val="21"/>
                      <w:highlight w:val="none"/>
                    </w:rPr>
                    <w:t>拆解电动汽车的企业还应满足以下场地建设要求：a)具备电动汽车贮存场地、动力蓄电池贮存场地和动力蓄电池拆卸专用场地。场地应设有高压警示、区域隔离及危险识别标志，并具有防腐防渗紧急收集池及专用容器，用于收集动力蓄电池等破损时泄漏出的电解液、冷却液等有毒有害液体。b)电动汽车贮存场地应单独管理，并保持通风。c)动力蓄电池贮存场地应设在易燃、易爆等危险品仓库及高压输电线路防护区域以外，并设有烟雾报警器等火灾自动报警设施</w:t>
                  </w:r>
                  <w:r>
                    <w:rPr>
                      <w:rFonts w:hint="eastAsia" w:ascii="Times New Roman" w:hAnsi="Times New Roman" w:eastAsia="宋体"/>
                      <w:color w:val="auto"/>
                      <w:spacing w:val="0"/>
                      <w:szCs w:val="21"/>
                      <w:highlight w:val="none"/>
                    </w:rPr>
                    <w:t>。</w:t>
                  </w:r>
                  <w:r>
                    <w:rPr>
                      <w:rFonts w:ascii="Times New Roman" w:hAnsi="Times New Roman" w:eastAsia="宋体"/>
                      <w:color w:val="auto"/>
                      <w:spacing w:val="0"/>
                      <w:szCs w:val="21"/>
                      <w:highlight w:val="none"/>
                    </w:rPr>
                    <w:t>d)动力蓄电池拆卸专用场地地面应做绝缘处理</w:t>
                  </w:r>
                  <w:r>
                    <w:rPr>
                      <w:rFonts w:hint="eastAsia" w:ascii="Times New Roman" w:hAnsi="Times New Roman" w:eastAsia="宋体"/>
                      <w:color w:val="auto"/>
                      <w:spacing w:val="0"/>
                      <w:szCs w:val="21"/>
                      <w:highlight w:val="none"/>
                    </w:rPr>
                    <w:t>。</w:t>
                  </w:r>
                </w:p>
              </w:tc>
              <w:tc>
                <w:tcPr>
                  <w:tcW w:w="1987" w:type="pct"/>
                  <w:noWrap w:val="0"/>
                  <w:vAlign w:val="center"/>
                </w:tcPr>
                <w:p w14:paraId="61B7B8F5">
                  <w:pPr>
                    <w:numPr>
                      <w:ilvl w:val="0"/>
                      <w:numId w:val="7"/>
                    </w:numPr>
                    <w:snapToGrid w:val="0"/>
                    <w:jc w:val="left"/>
                    <w:rPr>
                      <w:rFonts w:hint="default" w:ascii="Times New Roman" w:hAnsi="Times New Roman" w:eastAsia="宋体"/>
                      <w:color w:val="auto"/>
                      <w:spacing w:val="0"/>
                      <w:szCs w:val="21"/>
                      <w:highlight w:val="none"/>
                      <w:lang w:val="en-US" w:eastAsia="zh-CN"/>
                    </w:rPr>
                  </w:pPr>
                  <w:r>
                    <w:rPr>
                      <w:rFonts w:hint="eastAsia" w:ascii="Times New Roman" w:hAnsi="Times New Roman" w:eastAsia="宋体"/>
                      <w:color w:val="auto"/>
                      <w:spacing w:val="0"/>
                      <w:szCs w:val="21"/>
                      <w:highlight w:val="none"/>
                      <w:lang w:eastAsia="zh-CN"/>
                    </w:rPr>
                    <w:t>项目厂区设置有专用新能源电动车停车区、动力蓄电池贮存场地和动力蓄电池拆卸车间。</w:t>
                  </w:r>
                  <w:r>
                    <w:rPr>
                      <w:rFonts w:ascii="Times New Roman" w:hAnsi="Times New Roman" w:eastAsia="宋体"/>
                      <w:color w:val="auto"/>
                      <w:spacing w:val="0"/>
                      <w:szCs w:val="21"/>
                      <w:highlight w:val="none"/>
                    </w:rPr>
                    <w:t>场地设有高压警示、区域隔离及危险识别标志，</w:t>
                  </w:r>
                  <w:r>
                    <w:rPr>
                      <w:rFonts w:hint="eastAsia" w:ascii="Times New Roman" w:hAnsi="Times New Roman" w:eastAsia="宋体"/>
                      <w:color w:val="auto"/>
                      <w:spacing w:val="0"/>
                      <w:szCs w:val="21"/>
                      <w:highlight w:val="none"/>
                      <w:lang w:eastAsia="zh-CN"/>
                    </w:rPr>
                    <w:t>并配套</w:t>
                  </w:r>
                  <w:r>
                    <w:rPr>
                      <w:rFonts w:ascii="Times New Roman" w:hAnsi="Times New Roman" w:eastAsia="宋体"/>
                      <w:color w:val="auto"/>
                      <w:spacing w:val="0"/>
                      <w:szCs w:val="21"/>
                      <w:highlight w:val="none"/>
                    </w:rPr>
                    <w:t>防腐防渗</w:t>
                  </w:r>
                  <w:r>
                    <w:rPr>
                      <w:rFonts w:hint="eastAsia" w:ascii="Times New Roman" w:hAnsi="Times New Roman" w:eastAsia="宋体"/>
                      <w:color w:val="auto"/>
                      <w:spacing w:val="0"/>
                      <w:szCs w:val="21"/>
                      <w:highlight w:val="none"/>
                    </w:rPr>
                    <w:t>应急收集池</w:t>
                  </w:r>
                  <w:r>
                    <w:rPr>
                      <w:rFonts w:ascii="Times New Roman" w:hAnsi="Times New Roman" w:eastAsia="宋体"/>
                      <w:color w:val="auto"/>
                      <w:spacing w:val="0"/>
                      <w:szCs w:val="21"/>
                      <w:highlight w:val="none"/>
                    </w:rPr>
                    <w:t>及专用容器</w:t>
                  </w:r>
                  <w:r>
                    <w:rPr>
                      <w:rFonts w:hint="eastAsia" w:ascii="Times New Roman" w:hAnsi="Times New Roman" w:eastAsia="宋体"/>
                      <w:color w:val="auto"/>
                      <w:spacing w:val="0"/>
                      <w:szCs w:val="21"/>
                      <w:highlight w:val="none"/>
                    </w:rPr>
                    <w:t>；</w:t>
                  </w:r>
                </w:p>
                <w:p w14:paraId="59A4571F">
                  <w:pPr>
                    <w:numPr>
                      <w:ilvl w:val="0"/>
                      <w:numId w:val="7"/>
                    </w:numPr>
                    <w:snapToGrid w:val="0"/>
                    <w:jc w:val="left"/>
                    <w:rPr>
                      <w:rFonts w:hint="default" w:ascii="Times New Roman" w:hAnsi="Times New Roman" w:eastAsia="宋体"/>
                      <w:color w:val="auto"/>
                      <w:spacing w:val="0"/>
                      <w:szCs w:val="21"/>
                      <w:highlight w:val="none"/>
                      <w:lang w:val="en-US" w:eastAsia="zh-CN"/>
                    </w:rPr>
                  </w:pPr>
                  <w:r>
                    <w:rPr>
                      <w:rFonts w:hint="eastAsia" w:ascii="Times New Roman" w:hAnsi="Times New Roman" w:eastAsia="宋体"/>
                      <w:color w:val="auto"/>
                      <w:spacing w:val="0"/>
                      <w:szCs w:val="21"/>
                      <w:highlight w:val="none"/>
                      <w:lang w:eastAsia="zh-CN"/>
                    </w:rPr>
                    <w:t>项目新能源电动车停车区单独管理，并保持通风；</w:t>
                  </w:r>
                </w:p>
                <w:p w14:paraId="18330362">
                  <w:pPr>
                    <w:numPr>
                      <w:ilvl w:val="0"/>
                      <w:numId w:val="7"/>
                    </w:numPr>
                    <w:snapToGrid w:val="0"/>
                    <w:jc w:val="left"/>
                    <w:rPr>
                      <w:rFonts w:hint="default" w:ascii="Times New Roman" w:hAnsi="Times New Roman" w:eastAsia="宋体"/>
                      <w:color w:val="auto"/>
                      <w:spacing w:val="0"/>
                      <w:szCs w:val="21"/>
                      <w:highlight w:val="none"/>
                      <w:lang w:val="en-US" w:eastAsia="zh-CN"/>
                    </w:rPr>
                  </w:pPr>
                  <w:r>
                    <w:rPr>
                      <w:rFonts w:hint="eastAsia" w:ascii="Times New Roman" w:hAnsi="Times New Roman" w:eastAsia="宋体"/>
                      <w:color w:val="auto"/>
                      <w:spacing w:val="0"/>
                      <w:szCs w:val="21"/>
                      <w:highlight w:val="none"/>
                      <w:lang w:val="en-US" w:eastAsia="zh-CN"/>
                    </w:rPr>
                    <w:t>项目动力蓄电池场地不在</w:t>
                  </w:r>
                  <w:r>
                    <w:rPr>
                      <w:rFonts w:ascii="Times New Roman" w:hAnsi="Times New Roman" w:eastAsia="宋体"/>
                      <w:color w:val="auto"/>
                      <w:spacing w:val="0"/>
                      <w:szCs w:val="21"/>
                      <w:highlight w:val="none"/>
                    </w:rPr>
                    <w:t>易燃、易爆等危险品仓库及高压输电线路防护区域</w:t>
                  </w:r>
                  <w:r>
                    <w:rPr>
                      <w:rFonts w:hint="eastAsia" w:ascii="Times New Roman" w:hAnsi="Times New Roman" w:eastAsia="宋体"/>
                      <w:color w:val="auto"/>
                      <w:spacing w:val="0"/>
                      <w:szCs w:val="21"/>
                      <w:highlight w:val="none"/>
                      <w:lang w:eastAsia="zh-CN"/>
                    </w:rPr>
                    <w:t>内，场地内设置烟雾报警器；</w:t>
                  </w:r>
                </w:p>
                <w:p w14:paraId="633D6AE0">
                  <w:pPr>
                    <w:numPr>
                      <w:ilvl w:val="0"/>
                      <w:numId w:val="7"/>
                    </w:numPr>
                    <w:snapToGrid w:val="0"/>
                    <w:jc w:val="left"/>
                    <w:rPr>
                      <w:rFonts w:hint="default" w:ascii="Times New Roman" w:hAnsi="Times New Roman" w:eastAsia="宋体"/>
                      <w:color w:val="auto"/>
                      <w:spacing w:val="0"/>
                      <w:szCs w:val="21"/>
                      <w:highlight w:val="none"/>
                      <w:lang w:val="en-US" w:eastAsia="zh-CN"/>
                    </w:rPr>
                  </w:pPr>
                  <w:r>
                    <w:rPr>
                      <w:rFonts w:hint="eastAsia" w:ascii="Times New Roman" w:hAnsi="Times New Roman" w:eastAsia="宋体"/>
                      <w:color w:val="auto"/>
                      <w:spacing w:val="0"/>
                      <w:szCs w:val="21"/>
                      <w:highlight w:val="none"/>
                      <w:lang w:eastAsia="zh-CN"/>
                    </w:rPr>
                    <w:t>项目动力蓄电池拆卸车间</w:t>
                  </w:r>
                  <w:r>
                    <w:rPr>
                      <w:rFonts w:hint="eastAsia" w:ascii="Times New Roman" w:hAnsi="Times New Roman" w:eastAsia="宋体"/>
                      <w:color w:val="auto"/>
                      <w:spacing w:val="0"/>
                      <w:szCs w:val="21"/>
                      <w:highlight w:val="none"/>
                    </w:rPr>
                    <w:t>地面做绝缘处理，新能源电动车在贮存前先进行电池拆解和预处理，不直接贮存</w:t>
                  </w:r>
                  <w:r>
                    <w:rPr>
                      <w:rFonts w:hint="eastAsia" w:ascii="Times New Roman" w:hAnsi="Times New Roman" w:eastAsia="宋体"/>
                      <w:color w:val="auto"/>
                      <w:spacing w:val="0"/>
                      <w:szCs w:val="21"/>
                      <w:highlight w:val="none"/>
                      <w:lang w:eastAsia="zh-CN"/>
                    </w:rPr>
                    <w:t>；</w:t>
                  </w:r>
                </w:p>
              </w:tc>
              <w:tc>
                <w:tcPr>
                  <w:tcW w:w="259" w:type="pct"/>
                  <w:noWrap w:val="0"/>
                  <w:vAlign w:val="center"/>
                </w:tcPr>
                <w:p w14:paraId="7F72C16E">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4D3F8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14:paraId="4A3573F8">
                  <w:pPr>
                    <w:pStyle w:val="25"/>
                    <w:snapToGrid w:val="0"/>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lang w:val="en-US" w:eastAsia="zh-CN"/>
                    </w:rPr>
                    <w:t>4.3</w:t>
                  </w:r>
                  <w:r>
                    <w:rPr>
                      <w:rFonts w:ascii="Times New Roman" w:hAnsi="Times New Roman" w:eastAsia="宋体"/>
                      <w:color w:val="auto"/>
                      <w:spacing w:val="0"/>
                      <w:sz w:val="21"/>
                      <w:highlight w:val="none"/>
                      <w:shd w:val="clear" w:color="auto" w:fill="FFFFFF"/>
                    </w:rPr>
                    <w:t>设施设备</w:t>
                  </w:r>
                  <w:r>
                    <w:rPr>
                      <w:rFonts w:hint="eastAsia" w:ascii="Times New Roman" w:hAnsi="Times New Roman" w:eastAsia="宋体"/>
                      <w:color w:val="auto"/>
                      <w:spacing w:val="0"/>
                      <w:sz w:val="21"/>
                      <w:highlight w:val="none"/>
                      <w:shd w:val="clear" w:color="auto" w:fill="FFFFFF"/>
                      <w:lang w:eastAsia="zh-CN"/>
                    </w:rPr>
                    <w:t>要求</w:t>
                  </w:r>
                </w:p>
              </w:tc>
              <w:tc>
                <w:tcPr>
                  <w:tcW w:w="2520" w:type="pct"/>
                  <w:gridSpan w:val="2"/>
                  <w:noWrap w:val="0"/>
                  <w:vAlign w:val="center"/>
                </w:tcPr>
                <w:p w14:paraId="0AF42D2B">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 xml:space="preserve">4.3.1 </w:t>
                  </w:r>
                  <w:r>
                    <w:rPr>
                      <w:rFonts w:ascii="Times New Roman" w:hAnsi="Times New Roman" w:eastAsia="宋体"/>
                      <w:color w:val="auto"/>
                      <w:spacing w:val="0"/>
                      <w:sz w:val="21"/>
                      <w:highlight w:val="none"/>
                      <w:shd w:val="clear" w:color="auto" w:fill="FFFFFF"/>
                    </w:rPr>
                    <w:t>应具备以下一般拆解设施设备</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a)车辆称重设备</w:t>
                  </w:r>
                  <w:r>
                    <w:rPr>
                      <w:rFonts w:hint="eastAsia" w:ascii="Times New Roman" w:hAnsi="Times New Roman" w:eastAsia="宋体"/>
                      <w:color w:val="auto"/>
                      <w:spacing w:val="0"/>
                      <w:sz w:val="21"/>
                      <w:highlight w:val="none"/>
                      <w:shd w:val="clear" w:color="auto" w:fill="FFFFFF"/>
                    </w:rPr>
                    <w:t>；</w:t>
                  </w:r>
                  <w:r>
                    <w:rPr>
                      <w:rFonts w:hint="eastAsia" w:ascii="Times New Roman" w:hAnsi="Times New Roman" w:eastAsia="宋体"/>
                      <w:color w:val="auto"/>
                      <w:spacing w:val="0"/>
                      <w:sz w:val="21"/>
                      <w:highlight w:val="none"/>
                      <w:shd w:val="clear" w:color="auto" w:fill="FFFFFF"/>
                      <w:lang w:val="en-US" w:eastAsia="zh-CN"/>
                    </w:rPr>
                    <w:t>*</w:t>
                  </w:r>
                  <w:r>
                    <w:rPr>
                      <w:rFonts w:ascii="Times New Roman" w:hAnsi="Times New Roman" w:eastAsia="宋体"/>
                      <w:color w:val="auto"/>
                      <w:spacing w:val="0"/>
                      <w:sz w:val="21"/>
                      <w:highlight w:val="none"/>
                      <w:shd w:val="clear" w:color="auto" w:fill="FFFFFF"/>
                    </w:rPr>
                    <w:t>b)室内或有防雨顶棚的拆解预处理平台</w:t>
                  </w:r>
                  <w:r>
                    <w:rPr>
                      <w:rFonts w:hint="eastAsia" w:ascii="Times New Roman" w:hAnsi="Times New Roman" w:eastAsia="宋体"/>
                      <w:color w:val="auto"/>
                      <w:spacing w:val="0"/>
                      <w:sz w:val="21"/>
                      <w:highlight w:val="none"/>
                      <w:shd w:val="clear" w:color="auto" w:fill="FFFFFF"/>
                    </w:rPr>
                    <w:t>；</w:t>
                  </w:r>
                  <w:r>
                    <w:rPr>
                      <w:rFonts w:hint="eastAsia" w:ascii="Times New Roman" w:hAnsi="Times New Roman" w:eastAsia="宋体"/>
                      <w:color w:val="auto"/>
                      <w:spacing w:val="0"/>
                      <w:sz w:val="21"/>
                      <w:highlight w:val="none"/>
                      <w:shd w:val="clear" w:color="auto" w:fill="FFFFFF"/>
                      <w:lang w:val="en-US" w:eastAsia="zh-CN"/>
                    </w:rPr>
                    <w:t>*</w:t>
                  </w:r>
                  <w:r>
                    <w:rPr>
                      <w:rFonts w:hint="eastAsia" w:ascii="Times New Roman" w:hAnsi="Times New Roman" w:eastAsia="宋体"/>
                      <w:color w:val="auto"/>
                      <w:spacing w:val="0"/>
                      <w:sz w:val="21"/>
                      <w:highlight w:val="none"/>
                      <w:shd w:val="clear" w:color="auto" w:fill="FFFFFF"/>
                    </w:rPr>
                    <w:t>c</w:t>
                  </w:r>
                  <w:r>
                    <w:rPr>
                      <w:rFonts w:ascii="Times New Roman" w:hAnsi="Times New Roman" w:eastAsia="宋体"/>
                      <w:color w:val="auto"/>
                      <w:spacing w:val="0"/>
                      <w:sz w:val="21"/>
                      <w:highlight w:val="none"/>
                      <w:shd w:val="clear" w:color="auto" w:fill="FFFFFF"/>
                    </w:rPr>
                    <w:t>）车架</w:t>
                  </w:r>
                  <w:r>
                    <w:rPr>
                      <w:rFonts w:hint="eastAsia" w:ascii="Times New Roman" w:hAnsi="Times New Roman" w:eastAsia="宋体"/>
                      <w:color w:val="auto"/>
                      <w:spacing w:val="0"/>
                      <w:sz w:val="21"/>
                      <w:highlight w:val="none"/>
                      <w:shd w:val="clear" w:color="auto" w:fill="FFFFFF"/>
                      <w:lang w:eastAsia="zh-CN"/>
                    </w:rPr>
                    <w:t>（</w:t>
                  </w:r>
                  <w:r>
                    <w:rPr>
                      <w:rFonts w:ascii="Times New Roman" w:hAnsi="Times New Roman" w:eastAsia="宋体"/>
                      <w:color w:val="auto"/>
                      <w:spacing w:val="0"/>
                      <w:sz w:val="21"/>
                      <w:highlight w:val="none"/>
                      <w:shd w:val="clear" w:color="auto" w:fill="FFFFFF"/>
                    </w:rPr>
                    <w:t>车身</w:t>
                  </w:r>
                  <w:r>
                    <w:rPr>
                      <w:rFonts w:hint="eastAsia" w:ascii="Times New Roman" w:hAnsi="Times New Roman" w:eastAsia="宋体"/>
                      <w:color w:val="auto"/>
                      <w:spacing w:val="0"/>
                      <w:sz w:val="21"/>
                      <w:highlight w:val="none"/>
                      <w:shd w:val="clear" w:color="auto" w:fill="FFFFFF"/>
                      <w:lang w:eastAsia="zh-CN"/>
                    </w:rPr>
                    <w:t>）</w:t>
                  </w:r>
                  <w:r>
                    <w:rPr>
                      <w:rFonts w:ascii="Times New Roman" w:hAnsi="Times New Roman" w:eastAsia="宋体"/>
                      <w:color w:val="auto"/>
                      <w:spacing w:val="0"/>
                      <w:sz w:val="21"/>
                      <w:highlight w:val="none"/>
                      <w:shd w:val="clear" w:color="auto" w:fill="FFFFFF"/>
                    </w:rPr>
                    <w:t>剪断、切割设备或压扁设备，不得仅以氧割设备代替</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d)起重、运输或专用拖车等设备</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e)总成拆解平台</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f)气动拆解工具</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g)简易拆解工具</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114EEA54">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项目</w:t>
                  </w:r>
                  <w:r>
                    <w:rPr>
                      <w:rFonts w:hint="eastAsia" w:ascii="Times New Roman" w:hAnsi="Times New Roman" w:eastAsia="宋体"/>
                      <w:color w:val="auto"/>
                      <w:spacing w:val="0"/>
                      <w:sz w:val="21"/>
                      <w:highlight w:val="none"/>
                      <w:shd w:val="clear" w:color="auto" w:fill="FFFFFF"/>
                    </w:rPr>
                    <w:t>配备</w:t>
                  </w:r>
                  <w:r>
                    <w:rPr>
                      <w:rFonts w:hint="eastAsia" w:ascii="Times New Roman" w:hAnsi="Times New Roman" w:eastAsia="宋体"/>
                      <w:color w:val="auto"/>
                      <w:spacing w:val="0"/>
                      <w:sz w:val="21"/>
                      <w:highlight w:val="none"/>
                      <w:shd w:val="clear" w:color="auto" w:fill="FFFFFF"/>
                      <w:lang w:eastAsia="zh-CN"/>
                    </w:rPr>
                    <w:t>车辆沉重设备、拆解预处理平台、等离子切割机、金属剪切机、压块机、专用拖</w:t>
                  </w:r>
                  <w:r>
                    <w:rPr>
                      <w:rFonts w:hint="eastAsia" w:ascii="Times New Roman" w:hAnsi="Times New Roman" w:eastAsia="宋体"/>
                      <w:color w:val="auto"/>
                      <w:spacing w:val="0"/>
                      <w:sz w:val="21"/>
                      <w:highlight w:val="none"/>
                      <w:shd w:val="clear" w:color="auto" w:fill="FFFFFF"/>
                      <w:lang w:val="en-US" w:eastAsia="zh-CN"/>
                    </w:rPr>
                    <w:t>车</w:t>
                  </w:r>
                  <w:r>
                    <w:rPr>
                      <w:rFonts w:hint="eastAsia" w:ascii="Times New Roman" w:hAnsi="Times New Roman" w:eastAsia="宋体"/>
                      <w:color w:val="auto"/>
                      <w:spacing w:val="0"/>
                      <w:sz w:val="21"/>
                      <w:highlight w:val="none"/>
                      <w:shd w:val="clear" w:color="auto" w:fill="FFFFFF"/>
                      <w:lang w:eastAsia="zh-CN"/>
                    </w:rPr>
                    <w:t>设备、报废汽车翻转拆解平台、电动扳手等工具</w:t>
                  </w:r>
                  <w:r>
                    <w:rPr>
                      <w:rFonts w:hint="eastAsia" w:ascii="Times New Roman" w:hAnsi="Times New Roman" w:eastAsia="宋体"/>
                      <w:color w:val="auto"/>
                      <w:spacing w:val="0"/>
                      <w:sz w:val="21"/>
                      <w:highlight w:val="none"/>
                      <w:shd w:val="clear" w:color="auto" w:fill="FFFFFF"/>
                    </w:rPr>
                    <w:t>；拆解预处理平台设置于厂房内，不露天设置。</w:t>
                  </w:r>
                </w:p>
              </w:tc>
              <w:tc>
                <w:tcPr>
                  <w:tcW w:w="259" w:type="pct"/>
                  <w:noWrap w:val="0"/>
                  <w:vAlign w:val="center"/>
                </w:tcPr>
                <w:p w14:paraId="64C01C2D">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7BD6B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66D67FBC">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18704604">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 xml:space="preserve">*4.3.2 </w:t>
                  </w:r>
                  <w:r>
                    <w:rPr>
                      <w:rFonts w:ascii="Times New Roman" w:hAnsi="Times New Roman" w:eastAsia="宋体"/>
                      <w:color w:val="auto"/>
                      <w:spacing w:val="0"/>
                      <w:sz w:val="21"/>
                      <w:highlight w:val="none"/>
                      <w:shd w:val="clear" w:color="auto" w:fill="FFFFFF"/>
                    </w:rPr>
                    <w:t>应具备以下安全设施设备</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a)安全气囊直接引爆装置或者拆除、贮存、引爆</w:t>
                  </w:r>
                  <w:r>
                    <w:rPr>
                      <w:rFonts w:hint="eastAsia" w:ascii="Times New Roman" w:hAnsi="Times New Roman" w:eastAsia="宋体"/>
                      <w:color w:val="auto"/>
                      <w:spacing w:val="0"/>
                      <w:sz w:val="21"/>
                      <w:highlight w:val="none"/>
                      <w:shd w:val="clear" w:color="auto" w:fill="FFFFFF"/>
                      <w:lang w:eastAsia="zh-CN"/>
                    </w:rPr>
                    <w:t>装</w:t>
                  </w:r>
                  <w:r>
                    <w:rPr>
                      <w:rFonts w:ascii="Times New Roman" w:hAnsi="Times New Roman" w:eastAsia="宋体"/>
                      <w:color w:val="auto"/>
                      <w:spacing w:val="0"/>
                      <w:sz w:val="21"/>
                      <w:highlight w:val="none"/>
                      <w:shd w:val="clear" w:color="auto" w:fill="FFFFFF"/>
                    </w:rPr>
                    <w:t>置</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b)满足GB50016规定的消防设施设备</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c)应急救援设备</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13439DF1">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项目</w:t>
                  </w:r>
                  <w:r>
                    <w:rPr>
                      <w:rFonts w:hint="eastAsia" w:ascii="Times New Roman" w:hAnsi="Times New Roman" w:eastAsia="宋体"/>
                      <w:color w:val="auto"/>
                      <w:spacing w:val="0"/>
                      <w:sz w:val="21"/>
                      <w:highlight w:val="none"/>
                      <w:shd w:val="clear" w:color="auto" w:fill="FFFFFF"/>
                    </w:rPr>
                    <w:t>配备</w:t>
                  </w:r>
                  <w:r>
                    <w:rPr>
                      <w:rFonts w:ascii="Times New Roman" w:hAnsi="Times New Roman" w:eastAsia="宋体"/>
                      <w:color w:val="auto"/>
                      <w:spacing w:val="0"/>
                      <w:sz w:val="21"/>
                      <w:highlight w:val="none"/>
                      <w:shd w:val="clear" w:color="auto" w:fill="FFFFFF"/>
                    </w:rPr>
                    <w:t>安全气囊</w:t>
                  </w:r>
                  <w:r>
                    <w:rPr>
                      <w:rFonts w:hint="eastAsia" w:ascii="Times New Roman" w:hAnsi="Times New Roman" w:eastAsia="宋体"/>
                      <w:color w:val="auto"/>
                      <w:spacing w:val="0"/>
                      <w:sz w:val="21"/>
                      <w:highlight w:val="none"/>
                      <w:shd w:val="clear" w:color="auto" w:fill="FFFFFF"/>
                    </w:rPr>
                    <w:t>引爆</w:t>
                  </w:r>
                  <w:r>
                    <w:rPr>
                      <w:rFonts w:ascii="Times New Roman" w:hAnsi="Times New Roman" w:eastAsia="宋体"/>
                      <w:color w:val="auto"/>
                      <w:spacing w:val="0"/>
                      <w:sz w:val="21"/>
                      <w:highlight w:val="none"/>
                      <w:shd w:val="clear" w:color="auto" w:fill="FFFFFF"/>
                    </w:rPr>
                    <w:t>装置、灭火器</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lang w:val="en-US" w:eastAsia="zh-CN"/>
                    </w:rPr>
                    <w:t>应急救援</w:t>
                  </w:r>
                  <w:r>
                    <w:rPr>
                      <w:rFonts w:ascii="Times New Roman" w:hAnsi="Times New Roman" w:eastAsia="宋体"/>
                      <w:color w:val="auto"/>
                      <w:spacing w:val="0"/>
                      <w:sz w:val="21"/>
                      <w:highlight w:val="none"/>
                      <w:shd w:val="clear" w:color="auto" w:fill="FFFFFF"/>
                    </w:rPr>
                    <w:t>等设备</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57196554">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64E04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vMerge w:val="continue"/>
                  <w:noWrap w:val="0"/>
                  <w:vAlign w:val="center"/>
                </w:tcPr>
                <w:p w14:paraId="12919803">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48154E8C">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*4.3.3</w:t>
                  </w:r>
                  <w:r>
                    <w:rPr>
                      <w:rFonts w:ascii="Times New Roman" w:hAnsi="Times New Roman" w:eastAsia="宋体"/>
                      <w:color w:val="auto"/>
                      <w:spacing w:val="0"/>
                      <w:sz w:val="21"/>
                      <w:highlight w:val="none"/>
                      <w:shd w:val="clear" w:color="auto" w:fill="FFFFFF"/>
                    </w:rPr>
                    <w:t>应具备以下环保设施设备</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a)满足HJ348要求的油水分离器等企业建设环境保护设备</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b)配有专用废液收集装置和分类存放各种废液的专用密闭容器</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c)机动车空调制冷剂收集装置和分类存放各种制冷剂的密闭容器</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d)分类存放机油滤清器和铅酸蓄电池的容器</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21731322">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项目</w:t>
                  </w:r>
                  <w:r>
                    <w:rPr>
                      <w:rFonts w:hint="eastAsia" w:ascii="Times New Roman" w:hAnsi="Times New Roman" w:eastAsia="宋体"/>
                      <w:color w:val="auto"/>
                      <w:spacing w:val="0"/>
                      <w:sz w:val="21"/>
                      <w:highlight w:val="none"/>
                      <w:shd w:val="clear" w:color="auto" w:fill="FFFFFF"/>
                      <w:lang w:val="en-US" w:eastAsia="zh-CN"/>
                    </w:rPr>
                    <w:t>对清洁废水、作业区露天区域初期雨水</w:t>
                  </w:r>
                  <w:r>
                    <w:rPr>
                      <w:rFonts w:hint="eastAsia" w:ascii="Times New Roman" w:hAnsi="Times New Roman" w:eastAsia="宋体"/>
                      <w:color w:val="auto"/>
                      <w:spacing w:val="0"/>
                      <w:sz w:val="21"/>
                      <w:highlight w:val="none"/>
                      <w:shd w:val="clear" w:color="auto" w:fill="FFFFFF"/>
                      <w:lang w:eastAsia="zh-CN"/>
                    </w:rPr>
                    <w:t>配套</w:t>
                  </w:r>
                  <w:r>
                    <w:rPr>
                      <w:rFonts w:hint="eastAsia" w:ascii="Times New Roman" w:hAnsi="Times New Roman" w:eastAsia="宋体"/>
                      <w:color w:val="auto"/>
                      <w:spacing w:val="0"/>
                      <w:sz w:val="21"/>
                      <w:highlight w:val="none"/>
                      <w:shd w:val="clear" w:color="auto" w:fill="FFFFFF"/>
                      <w:lang w:val="en-US" w:eastAsia="zh-CN"/>
                    </w:rPr>
                    <w:t>废水处理设施（油水分离+混凝沉淀+过滤）</w:t>
                  </w:r>
                  <w:r>
                    <w:rPr>
                      <w:rFonts w:hint="eastAsia" w:ascii="Times New Roman" w:hAnsi="Times New Roman" w:eastAsia="宋体"/>
                      <w:color w:val="auto"/>
                      <w:spacing w:val="0"/>
                      <w:sz w:val="21"/>
                      <w:highlight w:val="none"/>
                      <w:shd w:val="clear" w:color="auto" w:fill="FFFFFF"/>
                    </w:rPr>
                    <w:t>进行处理</w:t>
                  </w:r>
                  <w:r>
                    <w:rPr>
                      <w:rFonts w:hint="eastAsia" w:ascii="Times New Roman" w:hAnsi="Times New Roman" w:eastAsia="宋体"/>
                      <w:color w:val="auto"/>
                      <w:spacing w:val="0"/>
                      <w:sz w:val="21"/>
                      <w:highlight w:val="none"/>
                      <w:shd w:val="clear" w:color="auto" w:fill="FFFFFF"/>
                      <w:lang w:val="en-US" w:eastAsia="zh-CN"/>
                    </w:rPr>
                    <w:t>后全部回用，不外排</w:t>
                  </w:r>
                  <w:r>
                    <w:rPr>
                      <w:rFonts w:hint="eastAsia" w:ascii="Times New Roman" w:hAnsi="Times New Roman" w:eastAsia="宋体"/>
                      <w:color w:val="auto"/>
                      <w:spacing w:val="0"/>
                      <w:sz w:val="21"/>
                      <w:highlight w:val="none"/>
                      <w:shd w:val="clear" w:color="auto" w:fill="FFFFFF"/>
                    </w:rPr>
                    <w:t>；项目配有</w:t>
                  </w:r>
                  <w:r>
                    <w:rPr>
                      <w:rFonts w:ascii="Times New Roman" w:hAnsi="Times New Roman" w:eastAsia="宋体"/>
                      <w:color w:val="auto"/>
                      <w:spacing w:val="0"/>
                      <w:sz w:val="21"/>
                      <w:highlight w:val="none"/>
                      <w:shd w:val="clear" w:color="auto" w:fill="FFFFFF"/>
                    </w:rPr>
                    <w:t>废油、废</w:t>
                  </w:r>
                  <w:r>
                    <w:rPr>
                      <w:rFonts w:hint="eastAsia" w:ascii="Times New Roman" w:hAnsi="Times New Roman" w:eastAsia="宋体"/>
                      <w:color w:val="auto"/>
                      <w:spacing w:val="0"/>
                      <w:sz w:val="21"/>
                      <w:highlight w:val="none"/>
                      <w:shd w:val="clear" w:color="auto" w:fill="FFFFFF"/>
                      <w:lang w:val="en-US" w:eastAsia="zh-CN"/>
                    </w:rPr>
                    <w:t>冷却</w:t>
                  </w:r>
                  <w:r>
                    <w:rPr>
                      <w:rFonts w:ascii="Times New Roman" w:hAnsi="Times New Roman" w:eastAsia="宋体"/>
                      <w:color w:val="auto"/>
                      <w:spacing w:val="0"/>
                      <w:sz w:val="21"/>
                      <w:highlight w:val="none"/>
                      <w:shd w:val="clear" w:color="auto" w:fill="FFFFFF"/>
                    </w:rPr>
                    <w:t>剂等</w:t>
                  </w:r>
                  <w:r>
                    <w:rPr>
                      <w:rFonts w:hint="eastAsia" w:ascii="Times New Roman" w:hAnsi="Times New Roman" w:eastAsia="宋体"/>
                      <w:color w:val="auto"/>
                      <w:spacing w:val="0"/>
                      <w:sz w:val="21"/>
                      <w:highlight w:val="none"/>
                      <w:shd w:val="clear" w:color="auto" w:fill="FFFFFF"/>
                    </w:rPr>
                    <w:t>专用</w:t>
                  </w:r>
                  <w:r>
                    <w:rPr>
                      <w:rFonts w:ascii="Times New Roman" w:hAnsi="Times New Roman" w:eastAsia="宋体"/>
                      <w:color w:val="auto"/>
                      <w:spacing w:val="0"/>
                      <w:sz w:val="21"/>
                      <w:highlight w:val="none"/>
                      <w:shd w:val="clear" w:color="auto" w:fill="FFFFFF"/>
                    </w:rPr>
                    <w:t>收集</w:t>
                  </w:r>
                  <w:r>
                    <w:rPr>
                      <w:rFonts w:hint="eastAsia" w:ascii="Times New Roman" w:hAnsi="Times New Roman" w:eastAsia="宋体"/>
                      <w:color w:val="auto"/>
                      <w:spacing w:val="0"/>
                      <w:sz w:val="21"/>
                      <w:highlight w:val="none"/>
                      <w:shd w:val="clear" w:color="auto" w:fill="FFFFFF"/>
                    </w:rPr>
                    <w:t>装置及</w:t>
                  </w:r>
                  <w:r>
                    <w:rPr>
                      <w:rFonts w:ascii="Times New Roman" w:hAnsi="Times New Roman" w:eastAsia="宋体"/>
                      <w:color w:val="auto"/>
                      <w:spacing w:val="0"/>
                      <w:sz w:val="21"/>
                      <w:highlight w:val="none"/>
                      <w:shd w:val="clear" w:color="auto" w:fill="FFFFFF"/>
                    </w:rPr>
                    <w:t>存储容器</w:t>
                  </w:r>
                  <w:r>
                    <w:rPr>
                      <w:rFonts w:hint="eastAsia" w:ascii="Times New Roman" w:hAnsi="Times New Roman" w:eastAsia="宋体"/>
                      <w:color w:val="auto"/>
                      <w:spacing w:val="0"/>
                      <w:sz w:val="21"/>
                      <w:highlight w:val="none"/>
                      <w:shd w:val="clear" w:color="auto" w:fill="FFFFFF"/>
                      <w:lang w:eastAsia="zh-CN"/>
                    </w:rPr>
                    <w:t>，对废液分类存放</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对</w:t>
                  </w:r>
                  <w:r>
                    <w:rPr>
                      <w:rFonts w:hint="eastAsia" w:ascii="Times New Roman" w:hAnsi="Times New Roman" w:eastAsia="宋体"/>
                      <w:color w:val="auto"/>
                      <w:spacing w:val="0"/>
                      <w:sz w:val="21"/>
                      <w:highlight w:val="none"/>
                      <w:shd w:val="clear" w:color="auto" w:fill="FFFFFF"/>
                    </w:rPr>
                    <w:t>机油滤清器、铅酸蓄电池等</w:t>
                  </w:r>
                  <w:r>
                    <w:rPr>
                      <w:rFonts w:ascii="Times New Roman" w:hAnsi="Times New Roman" w:eastAsia="宋体"/>
                      <w:color w:val="auto"/>
                      <w:spacing w:val="0"/>
                      <w:sz w:val="21"/>
                      <w:highlight w:val="none"/>
                      <w:shd w:val="clear" w:color="auto" w:fill="FFFFFF"/>
                    </w:rPr>
                    <w:t>各类固废</w:t>
                  </w:r>
                  <w:r>
                    <w:rPr>
                      <w:rFonts w:hint="eastAsia" w:ascii="Times New Roman" w:hAnsi="Times New Roman" w:eastAsia="宋体"/>
                      <w:color w:val="auto"/>
                      <w:spacing w:val="0"/>
                      <w:sz w:val="21"/>
                      <w:highlight w:val="none"/>
                      <w:shd w:val="clear" w:color="auto" w:fill="FFFFFF"/>
                    </w:rPr>
                    <w:t>采用专用</w:t>
                  </w:r>
                  <w:r>
                    <w:rPr>
                      <w:rFonts w:hint="eastAsia" w:ascii="Times New Roman" w:hAnsi="Times New Roman" w:eastAsia="宋体"/>
                      <w:color w:val="auto"/>
                      <w:spacing w:val="0"/>
                      <w:sz w:val="21"/>
                      <w:highlight w:val="none"/>
                      <w:shd w:val="clear" w:color="auto" w:fill="FFFFFF"/>
                      <w:lang w:eastAsia="zh-CN"/>
                    </w:rPr>
                    <w:t>耐腐</w:t>
                  </w:r>
                  <w:r>
                    <w:rPr>
                      <w:rFonts w:hint="eastAsia" w:ascii="Times New Roman" w:hAnsi="Times New Roman" w:eastAsia="宋体"/>
                      <w:color w:val="auto"/>
                      <w:spacing w:val="0"/>
                      <w:sz w:val="21"/>
                      <w:highlight w:val="none"/>
                      <w:shd w:val="clear" w:color="auto" w:fill="FFFFFF"/>
                    </w:rPr>
                    <w:t>容器装存，并</w:t>
                  </w:r>
                  <w:r>
                    <w:rPr>
                      <w:rFonts w:ascii="Times New Roman" w:hAnsi="Times New Roman" w:eastAsia="宋体"/>
                      <w:color w:val="auto"/>
                      <w:spacing w:val="0"/>
                      <w:sz w:val="21"/>
                      <w:highlight w:val="none"/>
                      <w:shd w:val="clear" w:color="auto" w:fill="FFFFFF"/>
                    </w:rPr>
                    <w:t>进行分类</w:t>
                  </w:r>
                  <w:r>
                    <w:rPr>
                      <w:rFonts w:hint="eastAsia" w:ascii="Times New Roman" w:hAnsi="Times New Roman" w:eastAsia="宋体"/>
                      <w:color w:val="auto"/>
                      <w:spacing w:val="0"/>
                      <w:sz w:val="21"/>
                      <w:highlight w:val="none"/>
                      <w:shd w:val="clear" w:color="auto" w:fill="FFFFFF"/>
                    </w:rPr>
                    <w:t>分区在危废间暂存。</w:t>
                  </w:r>
                </w:p>
              </w:tc>
              <w:tc>
                <w:tcPr>
                  <w:tcW w:w="259" w:type="pct"/>
                  <w:noWrap w:val="0"/>
                  <w:vAlign w:val="center"/>
                </w:tcPr>
                <w:p w14:paraId="56D5ABE6">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0FEF9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232" w:type="pct"/>
                  <w:vMerge w:val="continue"/>
                  <w:noWrap w:val="0"/>
                  <w:vAlign w:val="center"/>
                </w:tcPr>
                <w:p w14:paraId="314F7D35">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1A0B302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4.3.4</w:t>
                  </w:r>
                  <w:r>
                    <w:rPr>
                      <w:rFonts w:ascii="Times New Roman" w:hAnsi="Times New Roman" w:eastAsia="宋体"/>
                      <w:color w:val="auto"/>
                      <w:spacing w:val="0"/>
                      <w:sz w:val="21"/>
                      <w:highlight w:val="none"/>
                      <w:shd w:val="clear" w:color="auto" w:fill="FFFFFF"/>
                    </w:rPr>
                    <w:t>应具备电脑、拍照设备、电子监控等设施设备</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237F53E4">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项目</w:t>
                  </w:r>
                  <w:r>
                    <w:rPr>
                      <w:rFonts w:hint="eastAsia" w:ascii="Times New Roman" w:hAnsi="Times New Roman" w:eastAsia="宋体"/>
                      <w:color w:val="auto"/>
                      <w:spacing w:val="0"/>
                      <w:sz w:val="21"/>
                      <w:highlight w:val="none"/>
                      <w:shd w:val="clear" w:color="auto" w:fill="FFFFFF"/>
                    </w:rPr>
                    <w:t>厂区将配备</w:t>
                  </w:r>
                  <w:r>
                    <w:rPr>
                      <w:rFonts w:ascii="Times New Roman" w:hAnsi="Times New Roman" w:eastAsia="宋体"/>
                      <w:color w:val="auto"/>
                      <w:spacing w:val="0"/>
                      <w:sz w:val="21"/>
                      <w:highlight w:val="none"/>
                      <w:shd w:val="clear" w:color="auto" w:fill="FFFFFF"/>
                    </w:rPr>
                    <w:t>电脑、拍照设备、电子监控等设施设备</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60E9CC27">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31F0A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7E6C0F36">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40BF6438">
                  <w:pPr>
                    <w:pStyle w:val="25"/>
                    <w:snapToGrid w:val="0"/>
                    <w:spacing w:before="0" w:beforeLines="0" w:beforeAutospacing="0" w:after="0" w:afterLines="0" w:afterAutospacing="0" w:line="240" w:lineRule="auto"/>
                    <w:ind w:left="0"/>
                    <w:jc w:val="both"/>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*4.3.6</w:t>
                  </w:r>
                  <w:r>
                    <w:rPr>
                      <w:rFonts w:ascii="Times New Roman" w:hAnsi="Times New Roman" w:eastAsia="宋体"/>
                      <w:color w:val="auto"/>
                      <w:spacing w:val="0"/>
                      <w:sz w:val="21"/>
                      <w:highlight w:val="none"/>
                      <w:shd w:val="clear" w:color="auto" w:fill="FFFFFF"/>
                    </w:rPr>
                    <w:t>拆解电动汽车的企业还应具备以下设施设备及材料：</w:t>
                  </w:r>
                </w:p>
                <w:p w14:paraId="7C683515">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a)绝缘检测设备等安全评估设备</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b)动力蓄电池断电设备</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c)吊具、夹臂、机械手和升降工装等动力蓄电池拆卸设备</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d)防静电废液、空调制冷剂抽排设备</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e)绝缘工作服等安全防护及救援设备</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f)绝缘气动工具</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g)绝缘辅助工具</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h)动力蓄电池绝缘处理材料</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i)放电设施设备</w:t>
                  </w:r>
                </w:p>
              </w:tc>
              <w:tc>
                <w:tcPr>
                  <w:tcW w:w="1987" w:type="pct"/>
                  <w:noWrap w:val="0"/>
                  <w:vAlign w:val="center"/>
                </w:tcPr>
                <w:p w14:paraId="29DC1652">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项目设有绝缘检测设备、动力蓄电池断电设备、吊具、升降工装、</w:t>
                  </w:r>
                  <w:r>
                    <w:rPr>
                      <w:rFonts w:hint="eastAsia" w:ascii="Times New Roman" w:hAnsi="Times New Roman" w:eastAsia="宋体"/>
                      <w:color w:val="auto"/>
                      <w:spacing w:val="0"/>
                      <w:sz w:val="21"/>
                      <w:highlight w:val="none"/>
                      <w:shd w:val="clear" w:color="auto" w:fill="FFFFFF"/>
                      <w:lang w:eastAsia="zh-CN"/>
                    </w:rPr>
                    <w:t>防静电</w:t>
                  </w:r>
                  <w:r>
                    <w:rPr>
                      <w:rFonts w:ascii="Times New Roman" w:hAnsi="Times New Roman" w:eastAsia="宋体"/>
                      <w:color w:val="auto"/>
                      <w:spacing w:val="0"/>
                      <w:sz w:val="21"/>
                      <w:highlight w:val="none"/>
                      <w:shd w:val="clear" w:color="auto" w:fill="FFFFFF"/>
                    </w:rPr>
                    <w:t>抽排设备、绝缘工作服、绝缘</w:t>
                  </w:r>
                  <w:r>
                    <w:rPr>
                      <w:rFonts w:hint="eastAsia" w:ascii="Times New Roman" w:hAnsi="Times New Roman" w:eastAsia="宋体"/>
                      <w:color w:val="auto"/>
                      <w:spacing w:val="0"/>
                      <w:sz w:val="21"/>
                      <w:highlight w:val="none"/>
                      <w:shd w:val="clear" w:color="auto" w:fill="FFFFFF"/>
                      <w:lang w:eastAsia="zh-CN"/>
                    </w:rPr>
                    <w:t>气动拆卸及辅助</w:t>
                  </w:r>
                  <w:r>
                    <w:rPr>
                      <w:rFonts w:ascii="Times New Roman" w:hAnsi="Times New Roman" w:eastAsia="宋体"/>
                      <w:color w:val="auto"/>
                      <w:spacing w:val="0"/>
                      <w:sz w:val="21"/>
                      <w:highlight w:val="none"/>
                      <w:shd w:val="clear" w:color="auto" w:fill="FFFFFF"/>
                    </w:rPr>
                    <w:t>工具、动力蓄电池绝缘处理材料以及放电设施设备</w:t>
                  </w:r>
                  <w:r>
                    <w:rPr>
                      <w:rFonts w:hint="eastAsia" w:ascii="Times New Roman" w:hAnsi="Times New Roman" w:eastAsia="宋体"/>
                      <w:color w:val="auto"/>
                      <w:spacing w:val="0"/>
                      <w:sz w:val="21"/>
                      <w:highlight w:val="none"/>
                      <w:shd w:val="clear" w:color="auto" w:fill="FFFFFF"/>
                    </w:rPr>
                    <w:t>等。</w:t>
                  </w:r>
                </w:p>
              </w:tc>
              <w:tc>
                <w:tcPr>
                  <w:tcW w:w="259" w:type="pct"/>
                  <w:noWrap w:val="0"/>
                  <w:vAlign w:val="center"/>
                </w:tcPr>
                <w:p w14:paraId="27C92CDC">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21D98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5571B128">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413FAFDD">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4.3.7</w:t>
                  </w:r>
                  <w:r>
                    <w:rPr>
                      <w:rFonts w:ascii="Times New Roman" w:hAnsi="Times New Roman" w:eastAsia="宋体"/>
                      <w:color w:val="auto"/>
                      <w:spacing w:val="0"/>
                      <w:sz w:val="21"/>
                      <w:highlight w:val="none"/>
                      <w:shd w:val="clear" w:color="auto" w:fill="FFFFFF"/>
                    </w:rPr>
                    <w:t>应建立设施设备管理制度，制定设备操作规范，并定期维护、更新</w:t>
                  </w:r>
                </w:p>
              </w:tc>
              <w:tc>
                <w:tcPr>
                  <w:tcW w:w="1987" w:type="pct"/>
                  <w:noWrap w:val="0"/>
                  <w:vAlign w:val="center"/>
                </w:tcPr>
                <w:p w14:paraId="2DD24C66">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项目将建设相应设施设备管理制度</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制定设备操作规范，并定期维护、更新</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5854761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1653C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14:paraId="4264B7AF">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*4.4技术人员要求</w:t>
                  </w:r>
                </w:p>
              </w:tc>
              <w:tc>
                <w:tcPr>
                  <w:tcW w:w="2520" w:type="pct"/>
                  <w:gridSpan w:val="2"/>
                  <w:noWrap w:val="0"/>
                  <w:vAlign w:val="center"/>
                </w:tcPr>
                <w:p w14:paraId="039A12F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*4.4.1</w:t>
                  </w:r>
                  <w:r>
                    <w:rPr>
                      <w:rFonts w:ascii="Times New Roman" w:hAnsi="Times New Roman" w:eastAsia="宋体"/>
                      <w:color w:val="auto"/>
                      <w:spacing w:val="0"/>
                      <w:sz w:val="21"/>
                      <w:highlight w:val="none"/>
                      <w:shd w:val="clear" w:color="auto" w:fill="FFFFFF"/>
                    </w:rPr>
                    <w:t>企业技术人员应经过岗前培训，其专业技能应能满足规范拆解、环保作业、安全操作等相应要求，并配备专业安全生产管理人员和环保管理人员，国家有持证上岗规定的，应持证上岗</w:t>
                  </w:r>
                </w:p>
              </w:tc>
              <w:tc>
                <w:tcPr>
                  <w:tcW w:w="1987" w:type="pct"/>
                  <w:noWrap w:val="0"/>
                  <w:vAlign w:val="center"/>
                </w:tcPr>
                <w:p w14:paraId="32663EA2">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w:t>
                  </w:r>
                  <w:r>
                    <w:rPr>
                      <w:rFonts w:hint="eastAsia" w:ascii="Times New Roman" w:hAnsi="Times New Roman" w:eastAsia="宋体"/>
                      <w:color w:val="auto"/>
                      <w:spacing w:val="0"/>
                      <w:sz w:val="21"/>
                      <w:highlight w:val="none"/>
                      <w:shd w:val="clear" w:color="auto" w:fill="FFFFFF"/>
                      <w:lang w:eastAsia="zh-CN"/>
                    </w:rPr>
                    <w:t>技术人员经过岗前培训，专业技能满足相应要求后再上岗，厂内将配备专业安全生产管理人员和环保管理人员，国家有持证上岗规定的，持证上岗</w:t>
                  </w:r>
                </w:p>
              </w:tc>
              <w:tc>
                <w:tcPr>
                  <w:tcW w:w="259" w:type="pct"/>
                  <w:noWrap w:val="0"/>
                  <w:vAlign w:val="center"/>
                </w:tcPr>
                <w:p w14:paraId="16212C86">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21AF3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7BC1827E">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2520" w:type="pct"/>
                  <w:gridSpan w:val="2"/>
                  <w:noWrap w:val="0"/>
                  <w:vAlign w:val="center"/>
                </w:tcPr>
                <w:p w14:paraId="42D5DC1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*4.4.2</w:t>
                  </w:r>
                  <w:r>
                    <w:rPr>
                      <w:rFonts w:ascii="Times New Roman" w:hAnsi="Times New Roman" w:eastAsia="宋体"/>
                      <w:color w:val="auto"/>
                      <w:spacing w:val="0"/>
                      <w:sz w:val="21"/>
                      <w:highlight w:val="none"/>
                      <w:shd w:val="clear" w:color="auto" w:fill="FFFFFF"/>
                    </w:rPr>
                    <w:t>具有电动汽车拆解业务的企业应具有动力蓄电池贮存管理人员及2人以上持电工特种作业操作证人员。动力蓄电池贮存管理人员应具有动力蓄电池防火、防泄漏、防短路等相关专业知识。拆解人员应在汽车生产企业提供的拆解信息或手册的指导下进行拆解</w:t>
                  </w:r>
                </w:p>
              </w:tc>
              <w:tc>
                <w:tcPr>
                  <w:tcW w:w="1987" w:type="pct"/>
                  <w:noWrap w:val="0"/>
                  <w:vAlign w:val="center"/>
                </w:tcPr>
                <w:p w14:paraId="7F746195">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项目将配置动力蓄电池贮存管理人员及2人以上持电工特种作业操作证人员，</w:t>
                  </w:r>
                  <w:r>
                    <w:rPr>
                      <w:rFonts w:hint="eastAsia" w:ascii="Times New Roman" w:hAnsi="Times New Roman" w:eastAsia="宋体"/>
                      <w:color w:val="auto"/>
                      <w:spacing w:val="0"/>
                      <w:sz w:val="21"/>
                      <w:highlight w:val="none"/>
                      <w:shd w:val="clear" w:color="auto" w:fill="FFFFFF"/>
                      <w:lang w:eastAsia="zh-CN"/>
                    </w:rPr>
                    <w:t>管理人员将具备相关专业知识，</w:t>
                  </w:r>
                  <w:r>
                    <w:rPr>
                      <w:rFonts w:hint="eastAsia" w:ascii="Times New Roman" w:hAnsi="Times New Roman" w:eastAsia="宋体"/>
                      <w:color w:val="auto"/>
                      <w:spacing w:val="0"/>
                      <w:sz w:val="21"/>
                      <w:highlight w:val="none"/>
                      <w:shd w:val="clear" w:color="auto" w:fill="FFFFFF"/>
                    </w:rPr>
                    <w:t>相关操作在拆解信息或手册的指导下进行。</w:t>
                  </w:r>
                </w:p>
              </w:tc>
              <w:tc>
                <w:tcPr>
                  <w:tcW w:w="259" w:type="pct"/>
                  <w:noWrap w:val="0"/>
                  <w:vAlign w:val="center"/>
                </w:tcPr>
                <w:p w14:paraId="59CD0CAB">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2E04D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14:paraId="4537CF86">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4.5</w:t>
                  </w:r>
                  <w:r>
                    <w:rPr>
                      <w:rFonts w:ascii="Times New Roman" w:hAnsi="Times New Roman" w:eastAsia="宋体"/>
                      <w:color w:val="auto"/>
                      <w:spacing w:val="0"/>
                      <w:sz w:val="21"/>
                      <w:highlight w:val="none"/>
                      <w:shd w:val="clear" w:color="auto" w:fill="FFFFFF"/>
                    </w:rPr>
                    <w:t>信息管理要求</w:t>
                  </w:r>
                </w:p>
              </w:tc>
              <w:tc>
                <w:tcPr>
                  <w:tcW w:w="2520" w:type="pct"/>
                  <w:gridSpan w:val="2"/>
                  <w:noWrap w:val="0"/>
                  <w:vAlign w:val="center"/>
                </w:tcPr>
                <w:p w14:paraId="29E7A477">
                  <w:pPr>
                    <w:pStyle w:val="25"/>
                    <w:snapToGrid w:val="0"/>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应建立电子信息档案，按以下方式记录报废机动车回收登记、固体废物信息：</w:t>
                  </w:r>
                </w:p>
                <w:p w14:paraId="014186AE">
                  <w:pPr>
                    <w:pStyle w:val="25"/>
                    <w:snapToGrid w:val="0"/>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a)对回收的报废机动车进行逐车登记，并按要求将报废机动车所有人</w:t>
                  </w:r>
                  <w:r>
                    <w:rPr>
                      <w:rFonts w:hint="eastAsia" w:ascii="Times New Roman" w:hAnsi="Times New Roman" w:eastAsia="宋体"/>
                      <w:color w:val="auto"/>
                      <w:spacing w:val="0"/>
                      <w:sz w:val="21"/>
                      <w:highlight w:val="none"/>
                      <w:shd w:val="clear" w:color="auto" w:fill="FFFFFF"/>
                      <w:lang w:eastAsia="zh-CN"/>
                    </w:rPr>
                    <w:t>（</w:t>
                  </w:r>
                  <w:r>
                    <w:rPr>
                      <w:rFonts w:ascii="Times New Roman" w:hAnsi="Times New Roman" w:eastAsia="宋体"/>
                      <w:color w:val="auto"/>
                      <w:spacing w:val="0"/>
                      <w:sz w:val="21"/>
                      <w:highlight w:val="none"/>
                      <w:shd w:val="clear" w:color="auto" w:fill="FFFFFF"/>
                    </w:rPr>
                    <w:t>单位</w:t>
                  </w:r>
                  <w:r>
                    <w:rPr>
                      <w:rFonts w:hint="eastAsia" w:ascii="Times New Roman" w:hAnsi="Times New Roman" w:eastAsia="宋体"/>
                      <w:color w:val="auto"/>
                      <w:spacing w:val="0"/>
                      <w:sz w:val="21"/>
                      <w:highlight w:val="none"/>
                      <w:shd w:val="clear" w:color="auto" w:fill="FFFFFF"/>
                      <w:lang w:eastAsia="zh-CN"/>
                    </w:rPr>
                    <w:t>）</w:t>
                  </w:r>
                  <w:r>
                    <w:rPr>
                      <w:rFonts w:ascii="Times New Roman" w:hAnsi="Times New Roman" w:eastAsia="宋体"/>
                      <w:color w:val="auto"/>
                      <w:spacing w:val="0"/>
                      <w:sz w:val="21"/>
                      <w:highlight w:val="none"/>
                      <w:shd w:val="clear" w:color="auto" w:fill="FFFFFF"/>
                    </w:rPr>
                    <w:t>名称、有效证件号码、牌照号码、车型、品牌型号、车身颜色、重量、发动机号和/或动力蓄电池编码、车辆识别代号、出厂年份、接收或收购日期等相关信息录入“全国汽车流通信息管理应用服务”系统，信息保存期限不应低于3年。</w:t>
                  </w:r>
                </w:p>
                <w:p w14:paraId="3CFD9548">
                  <w:pPr>
                    <w:pStyle w:val="25"/>
                    <w:snapToGrid w:val="0"/>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w:t>
                  </w:r>
                  <w:r>
                    <w:rPr>
                      <w:rFonts w:ascii="Times New Roman" w:hAnsi="Times New Roman" w:eastAsia="宋体"/>
                      <w:color w:val="auto"/>
                      <w:spacing w:val="0"/>
                      <w:sz w:val="21"/>
                      <w:highlight w:val="none"/>
                      <w:shd w:val="clear" w:color="auto" w:fill="FFFFFF"/>
                    </w:rPr>
                    <w:t>b)将固体废物的来源、种类、产生量、产生时间及处理</w:t>
                  </w:r>
                  <w:r>
                    <w:rPr>
                      <w:rFonts w:hint="eastAsia" w:ascii="Times New Roman" w:hAnsi="Times New Roman" w:eastAsia="宋体"/>
                      <w:color w:val="auto"/>
                      <w:spacing w:val="0"/>
                      <w:sz w:val="21"/>
                      <w:highlight w:val="none"/>
                      <w:shd w:val="clear" w:color="auto" w:fill="FFFFFF"/>
                      <w:lang w:eastAsia="zh-CN"/>
                    </w:rPr>
                    <w:t>（</w:t>
                  </w:r>
                  <w:r>
                    <w:rPr>
                      <w:rFonts w:ascii="Times New Roman" w:hAnsi="Times New Roman" w:eastAsia="宋体"/>
                      <w:color w:val="auto"/>
                      <w:spacing w:val="0"/>
                      <w:sz w:val="21"/>
                      <w:highlight w:val="none"/>
                      <w:shd w:val="clear" w:color="auto" w:fill="FFFFFF"/>
                    </w:rPr>
                    <w:t>流向</w:t>
                  </w:r>
                  <w:r>
                    <w:rPr>
                      <w:rFonts w:hint="eastAsia" w:ascii="Times New Roman" w:hAnsi="Times New Roman" w:eastAsia="宋体"/>
                      <w:color w:val="auto"/>
                      <w:spacing w:val="0"/>
                      <w:sz w:val="21"/>
                      <w:highlight w:val="none"/>
                      <w:shd w:val="clear" w:color="auto" w:fill="FFFFFF"/>
                      <w:lang w:eastAsia="zh-CN"/>
                    </w:rPr>
                    <w:t>）</w:t>
                  </w:r>
                  <w:r>
                    <w:rPr>
                      <w:rFonts w:ascii="Times New Roman" w:hAnsi="Times New Roman" w:eastAsia="宋体"/>
                      <w:color w:val="auto"/>
                      <w:spacing w:val="0"/>
                      <w:sz w:val="21"/>
                      <w:highlight w:val="none"/>
                      <w:shd w:val="clear" w:color="auto" w:fill="FFFFFF"/>
                    </w:rPr>
                    <w:t>等数据，录入到“全国固体废物管理信息系统”或省级生态环境主管部门自建与其联网的相关系统，其中危险废物处理</w:t>
                  </w:r>
                  <w:r>
                    <w:rPr>
                      <w:rFonts w:hint="eastAsia" w:ascii="Times New Roman" w:hAnsi="Times New Roman" w:eastAsia="宋体"/>
                      <w:color w:val="auto"/>
                      <w:spacing w:val="0"/>
                      <w:sz w:val="21"/>
                      <w:highlight w:val="none"/>
                      <w:shd w:val="clear" w:color="auto" w:fill="FFFFFF"/>
                      <w:lang w:eastAsia="zh-CN"/>
                    </w:rPr>
                    <w:t>（</w:t>
                  </w:r>
                  <w:r>
                    <w:rPr>
                      <w:rFonts w:ascii="Times New Roman" w:hAnsi="Times New Roman" w:eastAsia="宋体"/>
                      <w:color w:val="auto"/>
                      <w:spacing w:val="0"/>
                      <w:sz w:val="21"/>
                      <w:highlight w:val="none"/>
                      <w:shd w:val="clear" w:color="auto" w:fill="FFFFFF"/>
                    </w:rPr>
                    <w:t>流向</w:t>
                  </w:r>
                  <w:r>
                    <w:rPr>
                      <w:rFonts w:hint="eastAsia" w:ascii="Times New Roman" w:hAnsi="Times New Roman" w:eastAsia="宋体"/>
                      <w:color w:val="auto"/>
                      <w:spacing w:val="0"/>
                      <w:sz w:val="21"/>
                      <w:highlight w:val="none"/>
                      <w:shd w:val="clear" w:color="auto" w:fill="FFFFFF"/>
                      <w:lang w:eastAsia="zh-CN"/>
                    </w:rPr>
                    <w:t>）</w:t>
                  </w:r>
                  <w:r>
                    <w:rPr>
                      <w:rFonts w:ascii="Times New Roman" w:hAnsi="Times New Roman" w:eastAsia="宋体"/>
                      <w:color w:val="auto"/>
                      <w:spacing w:val="0"/>
                      <w:sz w:val="21"/>
                      <w:highlight w:val="none"/>
                      <w:shd w:val="clear" w:color="auto" w:fill="FFFFFF"/>
                    </w:rPr>
                    <w:t>信息保存期限为3年。</w:t>
                  </w:r>
                </w:p>
                <w:p w14:paraId="212ABC51">
                  <w:pPr>
                    <w:pStyle w:val="25"/>
                    <w:snapToGrid w:val="0"/>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c)具有电动汽车拆解业务的企业，应按照国家有关规定要求，将报废电动汽车的车辆识别代码、动力蓄电池编码、流向等信息</w:t>
                  </w:r>
                  <w:r>
                    <w:rPr>
                      <w:rFonts w:hint="eastAsia" w:ascii="Times New Roman" w:hAnsi="Times New Roman" w:eastAsia="宋体"/>
                      <w:color w:val="auto"/>
                      <w:spacing w:val="0"/>
                      <w:sz w:val="21"/>
                      <w:highlight w:val="none"/>
                      <w:shd w:val="clear" w:color="auto" w:fill="FFFFFF"/>
                      <w:lang w:eastAsia="zh-CN"/>
                    </w:rPr>
                    <w:t>录入</w:t>
                  </w:r>
                  <w:r>
                    <w:rPr>
                      <w:rFonts w:ascii="Times New Roman" w:hAnsi="Times New Roman" w:eastAsia="宋体"/>
                      <w:color w:val="auto"/>
                      <w:spacing w:val="0"/>
                      <w:sz w:val="21"/>
                      <w:highlight w:val="none"/>
                      <w:shd w:val="clear" w:color="auto" w:fill="FFFFFF"/>
                    </w:rPr>
                    <w:t>“新能源汽车国家检测与动力蓄电池回收利用溯源综合管理平台”。对于因</w:t>
                  </w:r>
                  <w:r>
                    <w:rPr>
                      <w:rFonts w:hint="eastAsia" w:ascii="Times New Roman" w:hAnsi="Times New Roman" w:eastAsia="宋体"/>
                      <w:color w:val="auto"/>
                      <w:spacing w:val="0"/>
                      <w:sz w:val="21"/>
                      <w:highlight w:val="none"/>
                      <w:shd w:val="clear" w:color="auto" w:fill="FFFFFF"/>
                      <w:lang w:eastAsia="zh-CN"/>
                    </w:rPr>
                    <w:t>租赁</w:t>
                  </w:r>
                  <w:r>
                    <w:rPr>
                      <w:rFonts w:ascii="Times New Roman" w:hAnsi="Times New Roman" w:eastAsia="宋体"/>
                      <w:color w:val="auto"/>
                      <w:spacing w:val="0"/>
                      <w:sz w:val="21"/>
                      <w:highlight w:val="none"/>
                      <w:shd w:val="clear" w:color="auto" w:fill="FFFFFF"/>
                    </w:rPr>
                    <w:t>等原因导致动力蓄电池被提前从电动汽车上拆卸回收的情况，应检查保存机动车所有人提供的租赁运营等机构出具的回收证明材料，保存期限不应低于3年</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19926B22">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项目</w:t>
                  </w:r>
                  <w:r>
                    <w:rPr>
                      <w:rFonts w:hint="eastAsia" w:ascii="Times New Roman" w:hAnsi="Times New Roman" w:eastAsia="宋体"/>
                      <w:color w:val="auto"/>
                      <w:spacing w:val="0"/>
                      <w:sz w:val="21"/>
                      <w:highlight w:val="none"/>
                      <w:shd w:val="clear" w:color="auto" w:fill="FFFFFF"/>
                    </w:rPr>
                    <w:t>投产后将按</w:t>
                  </w:r>
                  <w:r>
                    <w:rPr>
                      <w:rFonts w:ascii="Times New Roman" w:hAnsi="Times New Roman" w:eastAsia="宋体"/>
                      <w:color w:val="auto"/>
                      <w:spacing w:val="0"/>
                      <w:sz w:val="21"/>
                      <w:highlight w:val="none"/>
                      <w:shd w:val="clear" w:color="auto" w:fill="FFFFFF"/>
                    </w:rPr>
                    <w:t>要求建立电子信息档案，记录报废机动车回收登记、固体废物信息</w:t>
                  </w:r>
                  <w:r>
                    <w:rPr>
                      <w:rFonts w:hint="eastAsia" w:ascii="Times New Roman" w:hAnsi="Times New Roman" w:eastAsia="宋体"/>
                      <w:color w:val="auto"/>
                      <w:spacing w:val="0"/>
                      <w:sz w:val="21"/>
                      <w:highlight w:val="none"/>
                      <w:shd w:val="clear" w:color="auto" w:fill="FFFFFF"/>
                    </w:rPr>
                    <w:t>等</w:t>
                  </w:r>
                  <w:r>
                    <w:rPr>
                      <w:rFonts w:hint="eastAsia" w:ascii="Times New Roman" w:hAnsi="Times New Roman" w:eastAsia="宋体"/>
                      <w:color w:val="auto"/>
                      <w:spacing w:val="0"/>
                      <w:sz w:val="21"/>
                      <w:highlight w:val="none"/>
                      <w:shd w:val="clear" w:color="auto" w:fill="FFFFFF"/>
                      <w:lang w:val="en-US" w:eastAsia="zh-CN"/>
                    </w:rPr>
                    <w:t>相关信息</w:t>
                  </w:r>
                  <w:r>
                    <w:rPr>
                      <w:rFonts w:ascii="Times New Roman" w:hAnsi="Times New Roman" w:eastAsia="宋体"/>
                      <w:color w:val="auto"/>
                      <w:spacing w:val="0"/>
                      <w:sz w:val="21"/>
                      <w:highlight w:val="none"/>
                      <w:shd w:val="clear" w:color="auto" w:fill="FFFFFF"/>
                    </w:rPr>
                    <w:t>，信息保存期限不低于3年</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5569D90F">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6DF80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232" w:type="pct"/>
                  <w:vMerge w:val="continue"/>
                  <w:noWrap w:val="0"/>
                  <w:vAlign w:val="center"/>
                </w:tcPr>
                <w:p w14:paraId="24A72D55">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1B48177F">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4.5.2</w:t>
                  </w:r>
                  <w:r>
                    <w:rPr>
                      <w:rFonts w:ascii="Times New Roman" w:hAnsi="Times New Roman" w:eastAsia="宋体"/>
                      <w:color w:val="auto"/>
                      <w:spacing w:val="0"/>
                      <w:sz w:val="21"/>
                      <w:highlight w:val="none"/>
                      <w:shd w:val="clear" w:color="auto" w:fill="FFFFFF"/>
                    </w:rPr>
                    <w:t>生产经营场所应设置全覆盖的电子监控系统，实时记录报废机动车回收和拆解过程。相关信息保存期限不应低于1年</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45F7C4ED">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w:t>
                  </w:r>
                  <w:r>
                    <w:rPr>
                      <w:rFonts w:ascii="Times New Roman" w:hAnsi="Times New Roman" w:eastAsia="宋体"/>
                      <w:color w:val="auto"/>
                      <w:spacing w:val="0"/>
                      <w:sz w:val="21"/>
                      <w:highlight w:val="none"/>
                      <w:shd w:val="clear" w:color="auto" w:fill="FFFFFF"/>
                    </w:rPr>
                    <w:t>生产经营场所设置全覆盖的电子监控系统，实时记录报废机动车回收和拆解过程。相关信息保存期限不低于1年</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75E7D249">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64C13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14:paraId="1296618F">
                  <w:pPr>
                    <w:widowControl/>
                    <w:snapToGrid w:val="0"/>
                    <w:jc w:val="center"/>
                    <w:rPr>
                      <w:rFonts w:ascii="Times New Roman" w:hAnsi="Times New Roman" w:eastAsia="宋体"/>
                      <w:color w:val="auto"/>
                      <w:spacing w:val="0"/>
                      <w:kern w:val="0"/>
                      <w:szCs w:val="21"/>
                      <w:highlight w:val="none"/>
                      <w:shd w:val="clear" w:color="auto" w:fill="FFFFFF"/>
                    </w:rPr>
                  </w:pPr>
                  <w:r>
                    <w:rPr>
                      <w:rFonts w:hint="eastAsia" w:ascii="Times New Roman" w:hAnsi="Times New Roman" w:eastAsia="宋体"/>
                      <w:color w:val="auto"/>
                      <w:spacing w:val="0"/>
                      <w:szCs w:val="21"/>
                      <w:highlight w:val="none"/>
                      <w:shd w:val="clear" w:color="auto" w:fill="FFFFFF"/>
                      <w:lang w:val="en-US" w:eastAsia="zh-CN"/>
                    </w:rPr>
                    <w:t>*4.6</w:t>
                  </w:r>
                  <w:r>
                    <w:rPr>
                      <w:rFonts w:ascii="Times New Roman" w:hAnsi="Times New Roman" w:eastAsia="宋体"/>
                      <w:color w:val="auto"/>
                      <w:spacing w:val="0"/>
                      <w:szCs w:val="21"/>
                      <w:highlight w:val="none"/>
                      <w:shd w:val="clear" w:color="auto" w:fill="FFFFFF"/>
                    </w:rPr>
                    <w:t>安全要求</w:t>
                  </w:r>
                </w:p>
              </w:tc>
              <w:tc>
                <w:tcPr>
                  <w:tcW w:w="2520" w:type="pct"/>
                  <w:gridSpan w:val="2"/>
                  <w:noWrap w:val="0"/>
                  <w:vAlign w:val="center"/>
                </w:tcPr>
                <w:p w14:paraId="0BD0EA84">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*4.6.1</w:t>
                  </w:r>
                  <w:r>
                    <w:rPr>
                      <w:rFonts w:ascii="Times New Roman" w:hAnsi="Times New Roman" w:eastAsia="宋体"/>
                      <w:color w:val="auto"/>
                      <w:spacing w:val="0"/>
                      <w:sz w:val="21"/>
                      <w:highlight w:val="none"/>
                      <w:shd w:val="clear" w:color="auto" w:fill="FFFFFF"/>
                    </w:rPr>
                    <w:t>应实施满足GB/T33000要求的安全管理制度，具有水、电、气等安全使用说明，安全生产规程，防火、防汛、应急预案等。拆除的安全气囊组件应在易燃、易爆等危险品仓库及高压输电线路防护区域以外引爆，并在引爆区域设有爆炸物安全警示标志和隔离栏。</w:t>
                  </w:r>
                </w:p>
              </w:tc>
              <w:tc>
                <w:tcPr>
                  <w:tcW w:w="1987" w:type="pct"/>
                  <w:noWrap w:val="0"/>
                  <w:vAlign w:val="center"/>
                </w:tcPr>
                <w:p w14:paraId="4B375FBB">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w:t>
                  </w:r>
                  <w:r>
                    <w:rPr>
                      <w:rFonts w:ascii="Times New Roman" w:hAnsi="Times New Roman" w:eastAsia="宋体"/>
                      <w:color w:val="auto"/>
                      <w:spacing w:val="0"/>
                      <w:sz w:val="21"/>
                      <w:highlight w:val="none"/>
                      <w:shd w:val="clear" w:color="auto" w:fill="FFFFFF"/>
                    </w:rPr>
                    <w:t>制定符合GB/T33000要求的安全管理制度，制定水、电、气等安全使用说明，制定安全生产规程，制定防火、防汛、应急预案等；</w:t>
                  </w:r>
                  <w:r>
                    <w:rPr>
                      <w:rFonts w:hint="eastAsia" w:ascii="Times New Roman" w:hAnsi="Times New Roman" w:eastAsia="宋体"/>
                      <w:color w:val="auto"/>
                      <w:spacing w:val="0"/>
                      <w:sz w:val="21"/>
                      <w:highlight w:val="none"/>
                      <w:shd w:val="clear" w:color="auto" w:fill="FFFFFF"/>
                      <w:lang w:eastAsia="zh-CN"/>
                    </w:rPr>
                    <w:t>安全气囊引爆在大小车拆解区内，</w:t>
                  </w:r>
                  <w:r>
                    <w:rPr>
                      <w:rFonts w:ascii="Times New Roman" w:hAnsi="Times New Roman" w:eastAsia="宋体"/>
                      <w:color w:val="auto"/>
                      <w:spacing w:val="0"/>
                      <w:sz w:val="21"/>
                      <w:highlight w:val="none"/>
                      <w:shd w:val="clear" w:color="auto" w:fill="FFFFFF"/>
                    </w:rPr>
                    <w:t>引爆区域</w:t>
                  </w:r>
                  <w:r>
                    <w:rPr>
                      <w:rFonts w:hint="eastAsia" w:ascii="Times New Roman" w:hAnsi="Times New Roman" w:eastAsia="宋体"/>
                      <w:color w:val="auto"/>
                      <w:spacing w:val="0"/>
                      <w:sz w:val="21"/>
                      <w:highlight w:val="none"/>
                      <w:shd w:val="clear" w:color="auto" w:fill="FFFFFF"/>
                      <w:lang w:eastAsia="zh-CN"/>
                    </w:rPr>
                    <w:t>不涉及</w:t>
                  </w:r>
                  <w:r>
                    <w:rPr>
                      <w:rFonts w:ascii="Times New Roman" w:hAnsi="Times New Roman" w:eastAsia="宋体"/>
                      <w:color w:val="auto"/>
                      <w:spacing w:val="0"/>
                      <w:sz w:val="21"/>
                      <w:highlight w:val="none"/>
                      <w:shd w:val="clear" w:color="auto" w:fill="FFFFFF"/>
                    </w:rPr>
                    <w:t>易燃、易爆等危险品仓库及高压输电线路防护区域</w:t>
                  </w:r>
                  <w:r>
                    <w:rPr>
                      <w:rFonts w:hint="eastAsia" w:ascii="Times New Roman" w:hAnsi="Times New Roman" w:eastAsia="宋体"/>
                      <w:color w:val="auto"/>
                      <w:spacing w:val="0"/>
                      <w:sz w:val="21"/>
                      <w:highlight w:val="none"/>
                      <w:shd w:val="clear" w:color="auto" w:fill="FFFFFF"/>
                      <w:lang w:eastAsia="zh-CN"/>
                    </w:rPr>
                    <w:t>，并</w:t>
                  </w:r>
                  <w:r>
                    <w:rPr>
                      <w:rFonts w:ascii="Times New Roman" w:hAnsi="Times New Roman" w:eastAsia="宋体"/>
                      <w:color w:val="auto"/>
                      <w:spacing w:val="0"/>
                      <w:sz w:val="21"/>
                      <w:highlight w:val="none"/>
                      <w:shd w:val="clear" w:color="auto" w:fill="FFFFFF"/>
                    </w:rPr>
                    <w:t>设有爆炸物安全警示标志和隔离栏</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539E5B38">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2148C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4BA61430">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4416F602">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 xml:space="preserve">*4.6.2 </w:t>
                  </w:r>
                  <w:r>
                    <w:rPr>
                      <w:rFonts w:ascii="Times New Roman" w:hAnsi="Times New Roman" w:eastAsia="宋体"/>
                      <w:color w:val="auto"/>
                      <w:spacing w:val="0"/>
                      <w:sz w:val="21"/>
                      <w:highlight w:val="none"/>
                      <w:shd w:val="clear" w:color="auto" w:fill="FFFFFF"/>
                    </w:rPr>
                    <w:t>电动汽车拆解作业人员在带电作业过程中应进行安全防护，穿戴好绝缘工作服等必要的安全防护装备。使用的作业工具应是绝缘的或经绝缘处理的。作业时，应有专职监督人员实时监护</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74CE742A">
                  <w:pPr>
                    <w:pStyle w:val="25"/>
                    <w:snapToGrid w:val="0"/>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rPr>
                    <w:t>项目</w:t>
                  </w:r>
                  <w:r>
                    <w:rPr>
                      <w:rFonts w:ascii="Times New Roman" w:hAnsi="Times New Roman" w:eastAsia="宋体"/>
                      <w:color w:val="auto"/>
                      <w:spacing w:val="0"/>
                      <w:sz w:val="21"/>
                      <w:highlight w:val="none"/>
                      <w:shd w:val="clear" w:color="auto" w:fill="FFFFFF"/>
                    </w:rPr>
                    <w:t>设有专职监督人员实时监护，</w:t>
                  </w:r>
                  <w:r>
                    <w:rPr>
                      <w:rFonts w:hint="eastAsia" w:ascii="Times New Roman" w:hAnsi="Times New Roman" w:eastAsia="宋体"/>
                      <w:color w:val="auto"/>
                      <w:spacing w:val="0"/>
                      <w:sz w:val="21"/>
                      <w:highlight w:val="none"/>
                      <w:shd w:val="clear" w:color="auto" w:fill="FFFFFF"/>
                    </w:rPr>
                    <w:t>电动汽车</w:t>
                  </w:r>
                  <w:r>
                    <w:rPr>
                      <w:rFonts w:ascii="Times New Roman" w:hAnsi="Times New Roman" w:eastAsia="宋体"/>
                      <w:color w:val="auto"/>
                      <w:spacing w:val="0"/>
                      <w:sz w:val="21"/>
                      <w:highlight w:val="none"/>
                      <w:shd w:val="clear" w:color="auto" w:fill="FFFFFF"/>
                    </w:rPr>
                    <w:t>作业人员穿戴好绝缘工作服等必要的安全防护装备</w:t>
                  </w:r>
                  <w:r>
                    <w:rPr>
                      <w:rFonts w:hint="eastAsia" w:ascii="Times New Roman" w:hAnsi="Times New Roman" w:eastAsia="宋体"/>
                      <w:color w:val="auto"/>
                      <w:spacing w:val="0"/>
                      <w:sz w:val="21"/>
                      <w:highlight w:val="none"/>
                      <w:shd w:val="clear" w:color="auto" w:fill="FFFFFF"/>
                      <w:lang w:eastAsia="zh-CN"/>
                    </w:rPr>
                    <w:t>，使用绝缘或经绝缘处理的作业工具作业。</w:t>
                  </w:r>
                </w:p>
              </w:tc>
              <w:tc>
                <w:tcPr>
                  <w:tcW w:w="259" w:type="pct"/>
                  <w:noWrap w:val="0"/>
                  <w:vAlign w:val="center"/>
                </w:tcPr>
                <w:p w14:paraId="05AD5648">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4139E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250CE868">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02761B49">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*4.6.3</w:t>
                  </w:r>
                  <w:r>
                    <w:rPr>
                      <w:rFonts w:ascii="Times New Roman" w:hAnsi="Times New Roman" w:eastAsia="宋体"/>
                      <w:color w:val="auto"/>
                      <w:spacing w:val="0"/>
                      <w:sz w:val="21"/>
                      <w:highlight w:val="none"/>
                      <w:shd w:val="clear" w:color="auto" w:fill="FFFFFF"/>
                    </w:rPr>
                    <w:t>厂内转移报废电动汽车和动力蓄电池应进行固定，防止碰撞、跌落</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7D675916">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w:t>
                  </w:r>
                  <w:r>
                    <w:rPr>
                      <w:rFonts w:ascii="Times New Roman" w:hAnsi="Times New Roman" w:eastAsia="宋体"/>
                      <w:color w:val="auto"/>
                      <w:spacing w:val="0"/>
                      <w:sz w:val="21"/>
                      <w:highlight w:val="none"/>
                      <w:shd w:val="clear" w:color="auto" w:fill="FFFFFF"/>
                    </w:rPr>
                    <w:t>报废电动汽车和动力蓄电池固定后才进行转移</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37AF8DF7">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23380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0BB770EA">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3B9A9CC3">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*4.6.4</w:t>
                  </w:r>
                  <w:r>
                    <w:rPr>
                      <w:rFonts w:ascii="Times New Roman" w:hAnsi="Times New Roman" w:eastAsia="宋体"/>
                      <w:color w:val="auto"/>
                      <w:spacing w:val="0"/>
                      <w:sz w:val="21"/>
                      <w:highlight w:val="none"/>
                      <w:shd w:val="clear" w:color="auto" w:fill="FFFFFF"/>
                    </w:rPr>
                    <w:t>场地内应设置相应的安全标志，安全标志的使用应满足GB2894中关于禁止、警告、指令、提示标志的要求</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498B24BF">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w:t>
                  </w:r>
                  <w:r>
                    <w:rPr>
                      <w:rFonts w:ascii="Times New Roman" w:hAnsi="Times New Roman" w:eastAsia="宋体"/>
                      <w:color w:val="auto"/>
                      <w:spacing w:val="0"/>
                      <w:sz w:val="21"/>
                      <w:highlight w:val="none"/>
                      <w:shd w:val="clear" w:color="auto" w:fill="FFFFFF"/>
                    </w:rPr>
                    <w:t>场地内</w:t>
                  </w:r>
                  <w:r>
                    <w:rPr>
                      <w:rFonts w:hint="eastAsia" w:ascii="Times New Roman" w:hAnsi="Times New Roman" w:eastAsia="宋体"/>
                      <w:color w:val="auto"/>
                      <w:spacing w:val="0"/>
                      <w:sz w:val="21"/>
                      <w:highlight w:val="none"/>
                      <w:shd w:val="clear" w:color="auto" w:fill="FFFFFF"/>
                    </w:rPr>
                    <w:t>将</w:t>
                  </w:r>
                  <w:r>
                    <w:rPr>
                      <w:rFonts w:ascii="Times New Roman" w:hAnsi="Times New Roman" w:eastAsia="宋体"/>
                      <w:color w:val="auto"/>
                      <w:spacing w:val="0"/>
                      <w:sz w:val="21"/>
                      <w:highlight w:val="none"/>
                      <w:shd w:val="clear" w:color="auto" w:fill="FFFFFF"/>
                    </w:rPr>
                    <w:t>设置GB2894相应要求的安全标志</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2D6E3AA9">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16B62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64626BD9">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03ABC2FF">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*4.6.5</w:t>
                  </w:r>
                  <w:r>
                    <w:rPr>
                      <w:rFonts w:ascii="Times New Roman" w:hAnsi="Times New Roman" w:eastAsia="宋体"/>
                      <w:color w:val="auto"/>
                      <w:spacing w:val="0"/>
                      <w:sz w:val="21"/>
                      <w:highlight w:val="none"/>
                      <w:shd w:val="clear" w:color="auto" w:fill="FFFFFF"/>
                    </w:rPr>
                    <w:t>应按照GBZ188的规定对接触汽油等有害化学因素，噪声、手传振动等有害物理因素的作业人员及粉尘、电工、压力容器等作业人员进行监护</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54B6CC76">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w:t>
                  </w:r>
                  <w:r>
                    <w:rPr>
                      <w:rFonts w:ascii="Times New Roman" w:hAnsi="Times New Roman" w:eastAsia="宋体"/>
                      <w:color w:val="auto"/>
                      <w:spacing w:val="0"/>
                      <w:sz w:val="21"/>
                      <w:highlight w:val="none"/>
                      <w:shd w:val="clear" w:color="auto" w:fill="FFFFFF"/>
                    </w:rPr>
                    <w:t>对作业人员及粉尘、电工、压力容器等作业人员进行监护</w:t>
                  </w:r>
                  <w:r>
                    <w:rPr>
                      <w:rFonts w:hint="eastAsia" w:ascii="Times New Roman" w:hAnsi="Times New Roman" w:eastAsia="宋体"/>
                      <w:color w:val="auto"/>
                      <w:spacing w:val="0"/>
                      <w:sz w:val="21"/>
                      <w:highlight w:val="none"/>
                      <w:shd w:val="clear" w:color="auto" w:fill="FFFFFF"/>
                    </w:rPr>
                    <w:t>，作业人员作业前穿戴必要安全防护装备。</w:t>
                  </w:r>
                </w:p>
              </w:tc>
              <w:tc>
                <w:tcPr>
                  <w:tcW w:w="259" w:type="pct"/>
                  <w:noWrap w:val="0"/>
                  <w:vAlign w:val="center"/>
                </w:tcPr>
                <w:p w14:paraId="1745FF91">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42484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14:paraId="6A92B52F">
                  <w:pPr>
                    <w:widowControl/>
                    <w:snapToGrid w:val="0"/>
                    <w:jc w:val="center"/>
                    <w:rPr>
                      <w:rFonts w:ascii="Times New Roman" w:hAnsi="Times New Roman" w:eastAsia="宋体"/>
                      <w:color w:val="auto"/>
                      <w:spacing w:val="0"/>
                      <w:kern w:val="0"/>
                      <w:szCs w:val="21"/>
                      <w:highlight w:val="none"/>
                      <w:shd w:val="clear" w:color="auto" w:fill="FFFFFF"/>
                    </w:rPr>
                  </w:pPr>
                  <w:r>
                    <w:rPr>
                      <w:rFonts w:hint="eastAsia" w:ascii="Times New Roman" w:hAnsi="Times New Roman" w:eastAsia="宋体"/>
                      <w:color w:val="auto"/>
                      <w:spacing w:val="0"/>
                      <w:kern w:val="0"/>
                      <w:szCs w:val="21"/>
                      <w:highlight w:val="none"/>
                      <w:shd w:val="clear" w:color="auto" w:fill="FFFFFF"/>
                      <w:lang w:val="en-US" w:eastAsia="zh-CN"/>
                    </w:rPr>
                    <w:t>*4.7</w:t>
                  </w:r>
                  <w:r>
                    <w:rPr>
                      <w:rFonts w:ascii="Times New Roman" w:hAnsi="Times New Roman" w:eastAsia="宋体"/>
                      <w:color w:val="auto"/>
                      <w:spacing w:val="0"/>
                      <w:kern w:val="0"/>
                      <w:szCs w:val="21"/>
                      <w:highlight w:val="none"/>
                      <w:shd w:val="clear" w:color="auto" w:fill="FFFFFF"/>
                    </w:rPr>
                    <w:t>环保要求</w:t>
                  </w:r>
                </w:p>
              </w:tc>
              <w:tc>
                <w:tcPr>
                  <w:tcW w:w="2520" w:type="pct"/>
                  <w:gridSpan w:val="2"/>
                  <w:noWrap w:val="0"/>
                  <w:vAlign w:val="center"/>
                </w:tcPr>
                <w:p w14:paraId="047BD2E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*4.7.1</w:t>
                  </w:r>
                  <w:r>
                    <w:rPr>
                      <w:rFonts w:ascii="Times New Roman" w:hAnsi="Times New Roman" w:eastAsia="宋体"/>
                      <w:color w:val="auto"/>
                      <w:spacing w:val="0"/>
                      <w:sz w:val="21"/>
                      <w:highlight w:val="none"/>
                      <w:shd w:val="clear" w:color="auto" w:fill="FFFFFF"/>
                    </w:rPr>
                    <w:t>报废机动车拆解过程应满足HJ348中所规定的清污分流、污水达标排放等环境保护和污染控制的相关要求</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6F01FD99">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项目</w:t>
                  </w:r>
                  <w:r>
                    <w:rPr>
                      <w:rFonts w:hint="eastAsia" w:ascii="Times New Roman" w:hAnsi="Times New Roman" w:eastAsia="宋体"/>
                      <w:color w:val="auto"/>
                      <w:spacing w:val="0"/>
                      <w:sz w:val="21"/>
                      <w:highlight w:val="none"/>
                      <w:shd w:val="clear" w:color="auto" w:fill="FFFFFF"/>
                    </w:rPr>
                    <w:t>厂区雨污分流；无生产废水产生，收集的</w:t>
                  </w:r>
                  <w:r>
                    <w:rPr>
                      <w:rFonts w:hint="eastAsia" w:ascii="Times New Roman" w:hAnsi="Times New Roman" w:eastAsia="宋体"/>
                      <w:color w:val="auto"/>
                      <w:spacing w:val="0"/>
                      <w:sz w:val="21"/>
                      <w:highlight w:val="none"/>
                      <w:shd w:val="clear" w:color="auto" w:fill="FFFFFF"/>
                      <w:lang w:val="en-US" w:eastAsia="zh-CN"/>
                    </w:rPr>
                    <w:t>作业区露天区域</w:t>
                  </w:r>
                  <w:r>
                    <w:rPr>
                      <w:rFonts w:hint="eastAsia" w:ascii="Times New Roman" w:hAnsi="Times New Roman" w:eastAsia="宋体"/>
                      <w:color w:val="auto"/>
                      <w:spacing w:val="0"/>
                      <w:sz w:val="21"/>
                      <w:highlight w:val="none"/>
                      <w:shd w:val="clear" w:color="auto" w:fill="FFFFFF"/>
                    </w:rPr>
                    <w:t>初期雨水、</w:t>
                  </w:r>
                  <w:r>
                    <w:rPr>
                      <w:rFonts w:hint="eastAsia" w:ascii="Times New Roman" w:hAnsi="Times New Roman" w:eastAsia="宋体"/>
                      <w:color w:val="auto"/>
                      <w:spacing w:val="0"/>
                      <w:sz w:val="21"/>
                      <w:highlight w:val="none"/>
                      <w:shd w:val="clear" w:color="auto" w:fill="FFFFFF"/>
                      <w:lang w:val="en-US" w:eastAsia="zh-CN"/>
                    </w:rPr>
                    <w:t>清洁废水经处理后全部回用，不外排，</w:t>
                  </w:r>
                  <w:r>
                    <w:rPr>
                      <w:rFonts w:hint="eastAsia" w:ascii="Times New Roman" w:hAnsi="Times New Roman" w:eastAsia="宋体"/>
                      <w:color w:val="auto"/>
                      <w:spacing w:val="0"/>
                      <w:sz w:val="21"/>
                      <w:highlight w:val="none"/>
                      <w:shd w:val="clear" w:color="auto" w:fill="FFFFFF"/>
                    </w:rPr>
                    <w:t>生活污水</w:t>
                  </w:r>
                  <w:r>
                    <w:rPr>
                      <w:rFonts w:ascii="Times New Roman" w:hAnsi="Times New Roman" w:eastAsia="宋体"/>
                      <w:color w:val="auto"/>
                      <w:spacing w:val="0"/>
                      <w:sz w:val="21"/>
                      <w:highlight w:val="none"/>
                      <w:shd w:val="clear" w:color="auto" w:fill="FFFFFF"/>
                    </w:rPr>
                    <w:t>经</w:t>
                  </w:r>
                  <w:r>
                    <w:rPr>
                      <w:rFonts w:hint="eastAsia" w:ascii="Times New Roman" w:hAnsi="Times New Roman" w:eastAsia="宋体"/>
                      <w:color w:val="auto"/>
                      <w:spacing w:val="0"/>
                      <w:sz w:val="21"/>
                      <w:highlight w:val="none"/>
                      <w:shd w:val="clear" w:color="auto" w:fill="FFFFFF"/>
                      <w:lang w:eastAsia="zh-CN"/>
                    </w:rPr>
                    <w:t>预</w:t>
                  </w:r>
                  <w:r>
                    <w:rPr>
                      <w:rFonts w:ascii="Times New Roman" w:hAnsi="Times New Roman" w:eastAsia="宋体"/>
                      <w:color w:val="auto"/>
                      <w:spacing w:val="0"/>
                      <w:sz w:val="21"/>
                      <w:highlight w:val="none"/>
                      <w:shd w:val="clear" w:color="auto" w:fill="FFFFFF"/>
                    </w:rPr>
                    <w:t>处理后</w:t>
                  </w:r>
                  <w:r>
                    <w:rPr>
                      <w:rFonts w:hint="eastAsia" w:ascii="Times New Roman" w:hAnsi="Times New Roman" w:eastAsia="宋体"/>
                      <w:color w:val="auto"/>
                      <w:spacing w:val="0"/>
                      <w:sz w:val="21"/>
                      <w:highlight w:val="none"/>
                      <w:shd w:val="clear" w:color="auto" w:fill="FFFFFF"/>
                    </w:rPr>
                    <w:t>达标排入松下镇山前村污水管网，送往福州市长乐区松下镇山前村污水处理站集中处理。</w:t>
                  </w:r>
                </w:p>
              </w:tc>
              <w:tc>
                <w:tcPr>
                  <w:tcW w:w="259" w:type="pct"/>
                  <w:noWrap w:val="0"/>
                  <w:vAlign w:val="center"/>
                </w:tcPr>
                <w:p w14:paraId="78E953B6">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0AE92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232" w:type="pct"/>
                  <w:vMerge w:val="continue"/>
                  <w:noWrap w:val="0"/>
                  <w:vAlign w:val="center"/>
                </w:tcPr>
                <w:p w14:paraId="3C1C9C71">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27FE6C1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*4.7.2</w:t>
                  </w:r>
                  <w:r>
                    <w:rPr>
                      <w:rFonts w:ascii="Times New Roman" w:hAnsi="Times New Roman" w:eastAsia="宋体"/>
                      <w:color w:val="auto"/>
                      <w:spacing w:val="0"/>
                      <w:sz w:val="21"/>
                      <w:highlight w:val="none"/>
                      <w:shd w:val="clear" w:color="auto" w:fill="FFFFFF"/>
                    </w:rPr>
                    <w:t>应实施满足危险废物规范化管理要求的环境管理制度，其中对列入《国家危险废物名录》的危险废物应严格按照有关规定进行管理</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6B51A0F4">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w:t>
                  </w:r>
                  <w:r>
                    <w:rPr>
                      <w:rFonts w:ascii="Times New Roman" w:hAnsi="Times New Roman" w:eastAsia="宋体"/>
                      <w:color w:val="auto"/>
                      <w:spacing w:val="0"/>
                      <w:sz w:val="21"/>
                      <w:highlight w:val="none"/>
                      <w:shd w:val="clear" w:color="auto" w:fill="FFFFFF"/>
                    </w:rPr>
                    <w:t>制定满足危险废物规范化管理要求的环境管理制度，危险废物严格按照有关规定进行管理</w:t>
                  </w:r>
                  <w:r>
                    <w:rPr>
                      <w:rFonts w:hint="eastAsia" w:ascii="Times New Roman" w:hAnsi="Times New Roman" w:eastAsia="宋体"/>
                      <w:color w:val="auto"/>
                      <w:spacing w:val="0"/>
                      <w:sz w:val="21"/>
                      <w:highlight w:val="none"/>
                      <w:shd w:val="clear" w:color="auto" w:fill="FFFFFF"/>
                    </w:rPr>
                    <w:t>，在危险暂存间</w:t>
                  </w:r>
                  <w:r>
                    <w:rPr>
                      <w:rFonts w:hint="eastAsia" w:ascii="Times New Roman" w:hAnsi="Times New Roman" w:eastAsia="宋体"/>
                      <w:color w:val="auto"/>
                      <w:spacing w:val="0"/>
                      <w:sz w:val="21"/>
                      <w:highlight w:val="none"/>
                      <w:shd w:val="clear" w:color="auto" w:fill="FFFFFF"/>
                      <w:lang w:eastAsia="zh-CN"/>
                    </w:rPr>
                    <w:t>规范分区</w:t>
                  </w:r>
                  <w:r>
                    <w:rPr>
                      <w:rFonts w:hint="eastAsia" w:ascii="Times New Roman" w:hAnsi="Times New Roman" w:eastAsia="宋体"/>
                      <w:color w:val="auto"/>
                      <w:spacing w:val="0"/>
                      <w:sz w:val="21"/>
                      <w:highlight w:val="none"/>
                      <w:shd w:val="clear" w:color="auto" w:fill="FFFFFF"/>
                    </w:rPr>
                    <w:t>暂存后，定期委托有资质单位清运处置。</w:t>
                  </w:r>
                </w:p>
              </w:tc>
              <w:tc>
                <w:tcPr>
                  <w:tcW w:w="259" w:type="pct"/>
                  <w:noWrap w:val="0"/>
                  <w:vAlign w:val="center"/>
                </w:tcPr>
                <w:p w14:paraId="22458863">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65134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6AE877B6">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32FCD8D1">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*4.7.3</w:t>
                  </w:r>
                  <w:r>
                    <w:rPr>
                      <w:rFonts w:ascii="Times New Roman" w:hAnsi="Times New Roman" w:eastAsia="宋体"/>
                      <w:color w:val="auto"/>
                      <w:spacing w:val="0"/>
                      <w:sz w:val="21"/>
                      <w:highlight w:val="none"/>
                      <w:shd w:val="clear" w:color="auto" w:fill="FFFFFF"/>
                    </w:rPr>
                    <w:t>应满足GB12348中所规定的2类声环境功能区工业企业厂界环境噪声排放限值要求</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3E0EA378">
                  <w:pPr>
                    <w:pStyle w:val="25"/>
                    <w:snapToGrid w:val="0"/>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项目噪声经隔声减振等降噪措施后</w:t>
                  </w:r>
                  <w:r>
                    <w:rPr>
                      <w:rFonts w:ascii="Times New Roman" w:hAnsi="Times New Roman" w:eastAsia="宋体"/>
                      <w:color w:val="auto"/>
                      <w:spacing w:val="0"/>
                      <w:sz w:val="21"/>
                      <w:highlight w:val="none"/>
                      <w:shd w:val="clear" w:color="auto" w:fill="FFFFFF"/>
                    </w:rPr>
                    <w:t>排放满足</w:t>
                  </w:r>
                  <w:r>
                    <w:rPr>
                      <w:rFonts w:hint="eastAsia" w:ascii="Times New Roman" w:hAnsi="Times New Roman" w:eastAsia="宋体"/>
                      <w:color w:val="auto"/>
                      <w:spacing w:val="0"/>
                      <w:sz w:val="21"/>
                      <w:highlight w:val="none"/>
                      <w:shd w:val="clear" w:color="auto" w:fill="FFFFFF"/>
                    </w:rPr>
                    <w:t>《工业企业厂界环境噪声排放标准》（GB12348-2008）2类标准。</w:t>
                  </w:r>
                </w:p>
              </w:tc>
              <w:tc>
                <w:tcPr>
                  <w:tcW w:w="259" w:type="pct"/>
                  <w:noWrap w:val="0"/>
                  <w:vAlign w:val="center"/>
                </w:tcPr>
                <w:p w14:paraId="7CA7BAFE">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02272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14:paraId="67DF9EC9">
                  <w:pPr>
                    <w:widowControl/>
                    <w:snapToGrid w:val="0"/>
                    <w:jc w:val="center"/>
                    <w:rPr>
                      <w:rFonts w:ascii="Times New Roman" w:hAnsi="Times New Roman" w:eastAsia="宋体"/>
                      <w:color w:val="auto"/>
                      <w:spacing w:val="0"/>
                      <w:kern w:val="0"/>
                      <w:szCs w:val="21"/>
                      <w:highlight w:val="none"/>
                      <w:shd w:val="clear" w:color="auto" w:fill="FFFFFF"/>
                    </w:rPr>
                  </w:pPr>
                  <w:r>
                    <w:rPr>
                      <w:rFonts w:hint="eastAsia" w:ascii="Times New Roman" w:hAnsi="Times New Roman" w:eastAsia="宋体"/>
                      <w:color w:val="auto"/>
                      <w:spacing w:val="0"/>
                      <w:kern w:val="0"/>
                      <w:szCs w:val="21"/>
                      <w:highlight w:val="none"/>
                      <w:shd w:val="clear" w:color="auto" w:fill="FFFFFF"/>
                      <w:lang w:val="en-US" w:eastAsia="zh-CN"/>
                    </w:rPr>
                    <w:t>*5</w:t>
                  </w:r>
                  <w:r>
                    <w:rPr>
                      <w:rFonts w:ascii="Times New Roman" w:hAnsi="Times New Roman" w:eastAsia="宋体"/>
                      <w:color w:val="auto"/>
                      <w:spacing w:val="0"/>
                      <w:kern w:val="0"/>
                      <w:szCs w:val="21"/>
                      <w:highlight w:val="none"/>
                      <w:shd w:val="clear" w:color="auto" w:fill="FFFFFF"/>
                    </w:rPr>
                    <w:t>回收技术要求</w:t>
                  </w:r>
                </w:p>
              </w:tc>
              <w:tc>
                <w:tcPr>
                  <w:tcW w:w="2520" w:type="pct"/>
                  <w:gridSpan w:val="2"/>
                  <w:noWrap w:val="0"/>
                  <w:vAlign w:val="center"/>
                </w:tcPr>
                <w:p w14:paraId="4D8D3C4E">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*5.1</w:t>
                  </w:r>
                  <w:r>
                    <w:rPr>
                      <w:rFonts w:ascii="Times New Roman" w:hAnsi="Times New Roman" w:eastAsia="宋体"/>
                      <w:color w:val="auto"/>
                      <w:spacing w:val="0"/>
                      <w:sz w:val="21"/>
                      <w:highlight w:val="none"/>
                      <w:shd w:val="clear" w:color="auto" w:fill="FFFFFF"/>
                    </w:rPr>
                    <w:t>收到报废机动车后，应检查发动机、散热器、变速器、差速器、油箱和燃料罐等总成部件的密封、破损情况。对于出现泄漏的总成部件，应采取适当的方式收集泄漏的液体或封住泄漏处，防止废液渗入地下</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6575E00A">
                  <w:pPr>
                    <w:pStyle w:val="25"/>
                    <w:snapToGrid w:val="0"/>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rPr>
                    <w:t>项目对报废机动车</w:t>
                  </w:r>
                  <w:r>
                    <w:rPr>
                      <w:rFonts w:ascii="Times New Roman" w:hAnsi="Times New Roman" w:eastAsia="宋体"/>
                      <w:color w:val="auto"/>
                      <w:spacing w:val="0"/>
                      <w:sz w:val="21"/>
                      <w:highlight w:val="none"/>
                      <w:shd w:val="clear" w:color="auto" w:fill="FFFFFF"/>
                    </w:rPr>
                    <w:t>按要求进行检查、处理</w:t>
                  </w:r>
                  <w:r>
                    <w:rPr>
                      <w:rFonts w:hint="eastAsia" w:ascii="Times New Roman" w:hAnsi="Times New Roman" w:eastAsia="宋体"/>
                      <w:color w:val="auto"/>
                      <w:spacing w:val="0"/>
                      <w:sz w:val="21"/>
                      <w:highlight w:val="none"/>
                      <w:shd w:val="clear" w:color="auto" w:fill="FFFFFF"/>
                      <w:lang w:eastAsia="zh-CN"/>
                    </w:rPr>
                    <w:t>，发现破损泄漏情况，立即通过采用抹布、吸油毡、应急收集容器等进行封堵、吸附、收集</w:t>
                  </w:r>
                  <w:r>
                    <w:rPr>
                      <w:rFonts w:hint="eastAsia" w:ascii="Times New Roman" w:hAnsi="Times New Roman" w:eastAsia="宋体"/>
                      <w:color w:val="auto"/>
                      <w:spacing w:val="0"/>
                      <w:sz w:val="21"/>
                      <w:highlight w:val="none"/>
                      <w:shd w:val="clear" w:color="auto" w:fill="FFFFFF"/>
                    </w:rPr>
                    <w:t>泄漏液体</w:t>
                  </w:r>
                  <w:r>
                    <w:rPr>
                      <w:rFonts w:hint="eastAsia" w:ascii="Times New Roman" w:hAnsi="Times New Roman" w:eastAsia="宋体"/>
                      <w:color w:val="auto"/>
                      <w:spacing w:val="0"/>
                      <w:sz w:val="21"/>
                      <w:highlight w:val="none"/>
                      <w:shd w:val="clear" w:color="auto" w:fill="FFFFFF"/>
                      <w:lang w:eastAsia="zh-CN"/>
                    </w:rPr>
                    <w:t>，防止废液渗入地下。</w:t>
                  </w:r>
                </w:p>
              </w:tc>
              <w:tc>
                <w:tcPr>
                  <w:tcW w:w="259" w:type="pct"/>
                  <w:noWrap w:val="0"/>
                  <w:vAlign w:val="center"/>
                </w:tcPr>
                <w:p w14:paraId="34CD2942">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0F0C2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260CC99E">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0181A7C7">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*5.2</w:t>
                  </w:r>
                  <w:r>
                    <w:rPr>
                      <w:rFonts w:ascii="Times New Roman" w:hAnsi="Times New Roman" w:eastAsia="宋体"/>
                      <w:color w:val="auto"/>
                      <w:spacing w:val="0"/>
                      <w:sz w:val="21"/>
                      <w:highlight w:val="none"/>
                      <w:shd w:val="clear" w:color="auto" w:fill="FFFFFF"/>
                    </w:rPr>
                    <w:t>对报废电动汽车，应检查动力蓄电池和驱动电机等部件的密封和破损情况。对于出现动力蓄电池破损、电极头和线束裸露等存在漏电风险的，应采取适当的方式进行绝缘处理</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7D2A0D83">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项目对报废电动汽车</w:t>
                  </w:r>
                  <w:r>
                    <w:rPr>
                      <w:rFonts w:ascii="Times New Roman" w:hAnsi="Times New Roman" w:eastAsia="宋体"/>
                      <w:color w:val="auto"/>
                      <w:spacing w:val="0"/>
                      <w:sz w:val="21"/>
                      <w:highlight w:val="none"/>
                      <w:shd w:val="clear" w:color="auto" w:fill="FFFFFF"/>
                    </w:rPr>
                    <w:t>按要求进行检查、处理</w:t>
                  </w:r>
                  <w:r>
                    <w:rPr>
                      <w:rFonts w:hint="eastAsia" w:ascii="Times New Roman" w:hAnsi="Times New Roman" w:eastAsia="宋体"/>
                      <w:color w:val="auto"/>
                      <w:spacing w:val="0"/>
                      <w:sz w:val="21"/>
                      <w:highlight w:val="none"/>
                      <w:shd w:val="clear" w:color="auto" w:fill="FFFFFF"/>
                    </w:rPr>
                    <w:t>，对出现动力蓄电池破损、电极头和线束裸露等存在漏电风险的，采取绝缘处理。</w:t>
                  </w:r>
                </w:p>
              </w:tc>
              <w:tc>
                <w:tcPr>
                  <w:tcW w:w="259" w:type="pct"/>
                  <w:noWrap w:val="0"/>
                  <w:vAlign w:val="center"/>
                </w:tcPr>
                <w:p w14:paraId="4B9706EC">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5726A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14:paraId="05347A6F">
                  <w:pPr>
                    <w:widowControl/>
                    <w:snapToGrid w:val="0"/>
                    <w:jc w:val="center"/>
                    <w:rPr>
                      <w:rFonts w:ascii="Times New Roman" w:hAnsi="Times New Roman" w:eastAsia="宋体"/>
                      <w:color w:val="auto"/>
                      <w:spacing w:val="0"/>
                      <w:kern w:val="0"/>
                      <w:szCs w:val="21"/>
                      <w:highlight w:val="none"/>
                      <w:shd w:val="clear" w:color="auto" w:fill="FFFFFF"/>
                    </w:rPr>
                  </w:pPr>
                  <w:r>
                    <w:rPr>
                      <w:rFonts w:hint="eastAsia" w:ascii="Times New Roman" w:hAnsi="Times New Roman" w:eastAsia="宋体"/>
                      <w:color w:val="auto"/>
                      <w:spacing w:val="0"/>
                      <w:kern w:val="0"/>
                      <w:szCs w:val="21"/>
                      <w:highlight w:val="none"/>
                      <w:shd w:val="clear" w:color="auto" w:fill="FFFFFF"/>
                      <w:lang w:val="en-US" w:eastAsia="zh-CN"/>
                    </w:rPr>
                    <w:t>6</w:t>
                  </w:r>
                  <w:r>
                    <w:rPr>
                      <w:rFonts w:ascii="Times New Roman" w:hAnsi="Times New Roman" w:eastAsia="宋体"/>
                      <w:color w:val="auto"/>
                      <w:spacing w:val="0"/>
                      <w:kern w:val="0"/>
                      <w:szCs w:val="21"/>
                      <w:highlight w:val="none"/>
                      <w:shd w:val="clear" w:color="auto" w:fill="FFFFFF"/>
                    </w:rPr>
                    <w:t>贮存技术要求</w:t>
                  </w:r>
                </w:p>
              </w:tc>
              <w:tc>
                <w:tcPr>
                  <w:tcW w:w="2520" w:type="pct"/>
                  <w:gridSpan w:val="2"/>
                  <w:noWrap w:val="0"/>
                  <w:vAlign w:val="center"/>
                </w:tcPr>
                <w:p w14:paraId="1FC8DA7D">
                  <w:pPr>
                    <w:pStyle w:val="25"/>
                    <w:snapToGrid w:val="0"/>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*6.1</w:t>
                  </w:r>
                  <w:r>
                    <w:rPr>
                      <w:rFonts w:ascii="Times New Roman" w:hAnsi="Times New Roman" w:eastAsia="宋体"/>
                      <w:color w:val="auto"/>
                      <w:spacing w:val="0"/>
                      <w:sz w:val="21"/>
                      <w:highlight w:val="none"/>
                      <w:shd w:val="clear" w:color="auto" w:fill="FFFFFF"/>
                    </w:rPr>
                    <w:t>报废机动车贮存：</w:t>
                  </w:r>
                  <w:r>
                    <w:rPr>
                      <w:rFonts w:hint="eastAsia" w:ascii="Times New Roman" w:hAnsi="Times New Roman" w:eastAsia="宋体"/>
                      <w:color w:val="auto"/>
                      <w:spacing w:val="0"/>
                      <w:sz w:val="21"/>
                      <w:highlight w:val="none"/>
                      <w:shd w:val="clear" w:color="auto" w:fill="FFFFFF"/>
                      <w:lang w:val="en-US" w:eastAsia="zh-CN"/>
                    </w:rPr>
                    <w:t>1、</w:t>
                  </w:r>
                  <w:r>
                    <w:rPr>
                      <w:rFonts w:ascii="Times New Roman" w:hAnsi="Times New Roman" w:eastAsia="宋体"/>
                      <w:color w:val="auto"/>
                      <w:spacing w:val="0"/>
                      <w:sz w:val="21"/>
                      <w:highlight w:val="none"/>
                      <w:shd w:val="clear" w:color="auto" w:fill="FFFFFF"/>
                    </w:rPr>
                    <w:t>所有车辆应避免侧放、倒放，电动汽车在动力蓄电池未拆卸前不应叠放。</w:t>
                  </w:r>
                  <w:r>
                    <w:rPr>
                      <w:rFonts w:hint="eastAsia" w:ascii="Times New Roman" w:hAnsi="Times New Roman" w:eastAsia="宋体"/>
                      <w:color w:val="auto"/>
                      <w:spacing w:val="0"/>
                      <w:sz w:val="21"/>
                      <w:highlight w:val="none"/>
                      <w:shd w:val="clear" w:color="auto" w:fill="FFFFFF"/>
                      <w:lang w:val="en-US" w:eastAsia="zh-CN"/>
                    </w:rPr>
                    <w:t>2、</w:t>
                  </w:r>
                  <w:r>
                    <w:rPr>
                      <w:rFonts w:ascii="Times New Roman" w:hAnsi="Times New Roman" w:eastAsia="宋体"/>
                      <w:color w:val="auto"/>
                      <w:spacing w:val="0"/>
                      <w:sz w:val="21"/>
                      <w:highlight w:val="none"/>
                      <w:shd w:val="clear" w:color="auto" w:fill="FFFFFF"/>
                    </w:rPr>
                    <w:t>机动车如需叠放，应使上下车辆的重心尽量重合，且不应超过3层。2层和3层叠放时，高度分别不应超过3m和4.5m。大型车辆应单层平置。采用框架结构存放的，要保证安全性，并易于装卸。</w:t>
                  </w:r>
                </w:p>
                <w:p w14:paraId="1F53E4CA">
                  <w:pPr>
                    <w:pStyle w:val="25"/>
                    <w:snapToGrid w:val="0"/>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3、</w:t>
                  </w:r>
                  <w:r>
                    <w:rPr>
                      <w:rFonts w:ascii="Times New Roman" w:hAnsi="Times New Roman" w:eastAsia="宋体"/>
                      <w:color w:val="auto"/>
                      <w:spacing w:val="0"/>
                      <w:sz w:val="21"/>
                      <w:highlight w:val="none"/>
                      <w:shd w:val="clear" w:color="auto" w:fill="FFFFFF"/>
                    </w:rPr>
                    <w:t>电动汽车在动力蓄电池未拆卸前应单独贮存，并采取防火、防水、绝缘、隔热等安全保障措施。</w:t>
                  </w:r>
                </w:p>
                <w:p w14:paraId="1CBD0018">
                  <w:pPr>
                    <w:pStyle w:val="25"/>
                    <w:snapToGrid w:val="0"/>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4、</w:t>
                  </w:r>
                  <w:r>
                    <w:rPr>
                      <w:rFonts w:ascii="Times New Roman" w:hAnsi="Times New Roman" w:eastAsia="宋体"/>
                      <w:color w:val="auto"/>
                      <w:spacing w:val="0"/>
                      <w:sz w:val="21"/>
                      <w:highlight w:val="none"/>
                      <w:shd w:val="clear" w:color="auto" w:fill="FFFFFF"/>
                    </w:rPr>
                    <w:t>电动汽车中的事故车以及发生动力蓄电池破损的车辆应隔离贮存</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1EBCE65D">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项目对</w:t>
                  </w:r>
                  <w:r>
                    <w:rPr>
                      <w:rFonts w:ascii="Times New Roman" w:hAnsi="Times New Roman" w:eastAsia="宋体"/>
                      <w:color w:val="auto"/>
                      <w:spacing w:val="0"/>
                      <w:sz w:val="21"/>
                      <w:highlight w:val="none"/>
                      <w:shd w:val="clear" w:color="auto" w:fill="FFFFFF"/>
                    </w:rPr>
                    <w:t>报废机动车</w:t>
                  </w:r>
                  <w:r>
                    <w:rPr>
                      <w:rFonts w:hint="eastAsia" w:ascii="Times New Roman" w:hAnsi="Times New Roman" w:eastAsia="宋体"/>
                      <w:color w:val="auto"/>
                      <w:spacing w:val="0"/>
                      <w:sz w:val="21"/>
                      <w:highlight w:val="none"/>
                      <w:shd w:val="clear" w:color="auto" w:fill="FFFFFF"/>
                    </w:rPr>
                    <w:t>按</w:t>
                  </w:r>
                  <w:r>
                    <w:rPr>
                      <w:rFonts w:hint="eastAsia" w:ascii="Times New Roman" w:hAnsi="Times New Roman" w:eastAsia="宋体"/>
                      <w:color w:val="auto"/>
                      <w:spacing w:val="0"/>
                      <w:sz w:val="21"/>
                      <w:highlight w:val="none"/>
                      <w:shd w:val="clear" w:color="auto" w:fill="FFFFFF"/>
                      <w:lang w:eastAsia="zh-CN"/>
                    </w:rPr>
                    <w:t>规定</w:t>
                  </w:r>
                  <w:r>
                    <w:rPr>
                      <w:rFonts w:hint="eastAsia" w:ascii="Times New Roman" w:hAnsi="Times New Roman" w:eastAsia="宋体"/>
                      <w:color w:val="auto"/>
                      <w:spacing w:val="0"/>
                      <w:sz w:val="21"/>
                      <w:highlight w:val="none"/>
                      <w:shd w:val="clear" w:color="auto" w:fill="FFFFFF"/>
                    </w:rPr>
                    <w:t>进行</w:t>
                  </w:r>
                  <w:r>
                    <w:rPr>
                      <w:rFonts w:ascii="Times New Roman" w:hAnsi="Times New Roman" w:eastAsia="宋体"/>
                      <w:color w:val="auto"/>
                      <w:spacing w:val="0"/>
                      <w:sz w:val="21"/>
                      <w:highlight w:val="none"/>
                      <w:shd w:val="clear" w:color="auto" w:fill="FFFFFF"/>
                    </w:rPr>
                    <w:t>分类存放，不叠放</w:t>
                  </w:r>
                  <w:r>
                    <w:rPr>
                      <w:rFonts w:hint="eastAsia" w:ascii="Times New Roman" w:hAnsi="Times New Roman" w:eastAsia="宋体"/>
                      <w:color w:val="auto"/>
                      <w:spacing w:val="0"/>
                      <w:sz w:val="21"/>
                      <w:highlight w:val="none"/>
                      <w:shd w:val="clear" w:color="auto" w:fill="FFFFFF"/>
                    </w:rPr>
                    <w:t>。项目将对</w:t>
                  </w:r>
                  <w:r>
                    <w:rPr>
                      <w:rFonts w:hint="eastAsia" w:ascii="Times New Roman" w:hAnsi="Times New Roman" w:eastAsia="宋体"/>
                      <w:color w:val="auto"/>
                      <w:spacing w:val="0"/>
                      <w:sz w:val="21"/>
                      <w:highlight w:val="none"/>
                      <w:shd w:val="clear" w:color="auto" w:fill="FFFFFF"/>
                      <w:lang w:eastAsia="zh-CN"/>
                    </w:rPr>
                    <w:t>电动车完成动力蓄电池</w:t>
                  </w:r>
                  <w:r>
                    <w:rPr>
                      <w:rFonts w:hint="eastAsia" w:ascii="Times New Roman" w:hAnsi="Times New Roman" w:eastAsia="宋体"/>
                      <w:color w:val="auto"/>
                      <w:spacing w:val="0"/>
                      <w:sz w:val="21"/>
                      <w:highlight w:val="none"/>
                      <w:shd w:val="clear" w:color="auto" w:fill="FFFFFF"/>
                    </w:rPr>
                    <w:t>拆卸后再进行储存，并采取防火、防水、绝缘、隔热等安全保障措施；对破损的蓄电池单独密封贮存。</w:t>
                  </w:r>
                </w:p>
              </w:tc>
              <w:tc>
                <w:tcPr>
                  <w:tcW w:w="259" w:type="pct"/>
                  <w:noWrap w:val="0"/>
                  <w:vAlign w:val="center"/>
                </w:tcPr>
                <w:p w14:paraId="687A3959">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464D3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320C9E4C">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65A8B194">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*6.2</w:t>
                  </w:r>
                  <w:r>
                    <w:rPr>
                      <w:rFonts w:ascii="Times New Roman" w:hAnsi="Times New Roman" w:eastAsia="宋体"/>
                      <w:color w:val="auto"/>
                      <w:spacing w:val="0"/>
                      <w:sz w:val="21"/>
                      <w:highlight w:val="none"/>
                      <w:shd w:val="clear" w:color="auto" w:fill="FFFFFF"/>
                    </w:rPr>
                    <w:t>固体废物贮存</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1、固体废物的贮存设施建设应符合GB18599、GB18597、HJ2025的要求。2、一般工业固体废物贮存设施及包装物应按GB15562.2进行标识，危险废物贮存设施及包装物的标志应符合GB18597的要求。所有固体废物避免混合、混放。3、妥善处置固体废物，不应非法转移、倾倒、利用和处置。4、不同类型的制冷剂应分别回收，使用专门容器单独存放。5、废弃电器、铅酸蓄电池贮存场地不得有明火。6、容器和装置要防漏和防止洒溅，未引爆安全气囊的贮存装置应防爆，并对其进行日常性检查。7、对拆解后的所有固体废物分类贮存和标识</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7227B6E6">
                  <w:pPr>
                    <w:pStyle w:val="25"/>
                    <w:numPr>
                      <w:ilvl w:val="0"/>
                      <w:numId w:val="0"/>
                    </w:numPr>
                    <w:snapToGrid w:val="0"/>
                    <w:spacing w:before="0" w:beforeLines="0" w:beforeAutospacing="0" w:after="0" w:afterLines="0" w:afterAutospacing="0" w:line="240" w:lineRule="auto"/>
                    <w:ind w:left="0" w:leftChars="0" w:firstLine="0" w:firstLineChars="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kern w:val="0"/>
                      <w:sz w:val="21"/>
                      <w:szCs w:val="24"/>
                      <w:shd w:val="clear" w:color="auto" w:fill="FFFFFF"/>
                      <w:lang w:val="en-US" w:eastAsia="zh-CN" w:bidi="he-IL"/>
                    </w:rPr>
                    <w:t>1、</w:t>
                  </w:r>
                  <w:r>
                    <w:rPr>
                      <w:rFonts w:hint="eastAsia" w:ascii="Times New Roman" w:hAnsi="Times New Roman" w:eastAsia="宋体"/>
                      <w:color w:val="auto"/>
                      <w:spacing w:val="0"/>
                      <w:sz w:val="21"/>
                      <w:highlight w:val="none"/>
                      <w:shd w:val="clear" w:color="auto" w:fill="FFFFFF"/>
                    </w:rPr>
                    <w:t>项目一般固体废物贮存场所按《一般工业固体废物贮存和填埋污染控制标准》（GB18599-2020）设置、危险废物暂存</w:t>
                  </w:r>
                  <w:r>
                    <w:rPr>
                      <w:rFonts w:hint="eastAsia" w:ascii="Times New Roman" w:hAnsi="Times New Roman" w:eastAsia="宋体"/>
                      <w:color w:val="auto"/>
                      <w:spacing w:val="0"/>
                      <w:sz w:val="21"/>
                      <w:highlight w:val="none"/>
                      <w:shd w:val="clear" w:color="auto" w:fill="FFFFFF"/>
                      <w:lang w:eastAsia="zh-CN"/>
                    </w:rPr>
                    <w:t>按</w:t>
                  </w:r>
                  <w:r>
                    <w:rPr>
                      <w:rFonts w:hint="eastAsia" w:ascii="Times New Roman" w:hAnsi="Times New Roman" w:eastAsia="宋体"/>
                      <w:color w:val="auto"/>
                      <w:spacing w:val="0"/>
                      <w:sz w:val="21"/>
                      <w:highlight w:val="none"/>
                      <w:shd w:val="clear" w:color="auto" w:fill="FFFFFF"/>
                    </w:rPr>
                    <w:t>《危险废物贮存污染控制标准》（GB18597-</w:t>
                  </w:r>
                  <w:r>
                    <w:rPr>
                      <w:rFonts w:hint="eastAsia" w:ascii="Times New Roman" w:hAnsi="Times New Roman" w:eastAsia="宋体"/>
                      <w:color w:val="auto"/>
                      <w:spacing w:val="0"/>
                      <w:sz w:val="21"/>
                      <w:highlight w:val="none"/>
                      <w:shd w:val="clear" w:color="auto" w:fill="FFFFFF"/>
                      <w:lang w:val="en-US" w:eastAsia="zh-CN"/>
                    </w:rPr>
                    <w:t>2023</w:t>
                  </w:r>
                  <w:r>
                    <w:rPr>
                      <w:rFonts w:hint="eastAsia" w:ascii="Times New Roman" w:hAnsi="Times New Roman" w:eastAsia="宋体"/>
                      <w:color w:val="auto"/>
                      <w:spacing w:val="0"/>
                      <w:sz w:val="21"/>
                      <w:highlight w:val="none"/>
                      <w:shd w:val="clear" w:color="auto" w:fill="FFFFFF"/>
                    </w:rPr>
                    <w:t>）</w:t>
                  </w:r>
                  <w:r>
                    <w:rPr>
                      <w:rFonts w:hint="eastAsia" w:ascii="Times New Roman" w:hAnsi="Times New Roman" w:eastAsia="宋体"/>
                      <w:color w:val="auto"/>
                      <w:spacing w:val="0"/>
                      <w:sz w:val="21"/>
                      <w:highlight w:val="none"/>
                      <w:shd w:val="clear" w:color="auto" w:fill="FFFFFF"/>
                      <w:lang w:eastAsia="zh-CN"/>
                    </w:rPr>
                    <w:t>要求</w:t>
                  </w:r>
                  <w:r>
                    <w:rPr>
                      <w:rFonts w:hint="eastAsia" w:ascii="Times New Roman" w:hAnsi="Times New Roman" w:eastAsia="宋体"/>
                      <w:color w:val="auto"/>
                      <w:spacing w:val="0"/>
                      <w:sz w:val="21"/>
                      <w:highlight w:val="none"/>
                      <w:shd w:val="clear" w:color="auto" w:fill="FFFFFF"/>
                    </w:rPr>
                    <w:t>，并符合</w:t>
                  </w:r>
                  <w:r>
                    <w:rPr>
                      <w:rFonts w:ascii="Times New Roman" w:hAnsi="Times New Roman" w:eastAsia="宋体"/>
                      <w:color w:val="auto"/>
                      <w:spacing w:val="0"/>
                      <w:sz w:val="21"/>
                      <w:highlight w:val="none"/>
                      <w:shd w:val="clear" w:color="auto" w:fill="FFFFFF"/>
                    </w:rPr>
                    <w:t>HJ2025</w:t>
                  </w:r>
                  <w:r>
                    <w:rPr>
                      <w:rFonts w:hint="eastAsia" w:ascii="Times New Roman" w:hAnsi="Times New Roman" w:eastAsia="宋体"/>
                      <w:color w:val="auto"/>
                      <w:spacing w:val="0"/>
                      <w:sz w:val="21"/>
                      <w:highlight w:val="none"/>
                      <w:shd w:val="clear" w:color="auto" w:fill="FFFFFF"/>
                    </w:rPr>
                    <w:t>要求，其中危废暂存间内废铅酸蓄电池隔间还应按照《电池废料贮运规范》（GB/T 26493-2011）的规定，地面设置耐酸隔离层</w:t>
                  </w:r>
                  <w:r>
                    <w:rPr>
                      <w:rFonts w:hint="eastAsia" w:ascii="Times New Roman" w:hAnsi="Times New Roman" w:eastAsia="宋体"/>
                      <w:color w:val="auto"/>
                      <w:spacing w:val="0"/>
                      <w:sz w:val="21"/>
                      <w:highlight w:val="none"/>
                      <w:shd w:val="clear" w:color="auto" w:fill="FFFFFF"/>
                      <w:lang w:eastAsia="zh-CN"/>
                    </w:rPr>
                    <w:t>；</w:t>
                  </w:r>
                </w:p>
                <w:p w14:paraId="119ACB91">
                  <w:pPr>
                    <w:pStyle w:val="25"/>
                    <w:numPr>
                      <w:ilvl w:val="0"/>
                      <w:numId w:val="0"/>
                    </w:numPr>
                    <w:snapToGrid w:val="0"/>
                    <w:spacing w:before="0" w:beforeLines="0" w:beforeAutospacing="0" w:after="0" w:afterLines="0" w:afterAutospacing="0" w:line="240" w:lineRule="auto"/>
                    <w:ind w:left="0" w:leftChars="0" w:firstLine="0" w:firstLineChars="0"/>
                    <w:jc w:val="left"/>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kern w:val="0"/>
                      <w:sz w:val="21"/>
                      <w:szCs w:val="24"/>
                      <w:shd w:val="clear" w:color="auto" w:fill="FFFFFF"/>
                      <w:lang w:val="en-US" w:eastAsia="zh-CN" w:bidi="he-IL"/>
                    </w:rPr>
                    <w:t>2、</w:t>
                  </w:r>
                  <w:r>
                    <w:rPr>
                      <w:rFonts w:hint="eastAsia" w:ascii="Times New Roman" w:hAnsi="Times New Roman" w:eastAsia="宋体"/>
                      <w:color w:val="auto"/>
                      <w:spacing w:val="0"/>
                      <w:sz w:val="21"/>
                      <w:highlight w:val="none"/>
                      <w:shd w:val="clear" w:color="auto" w:fill="FFFFFF"/>
                      <w:lang w:eastAsia="zh-CN"/>
                    </w:rPr>
                    <w:t>项目</w:t>
                  </w:r>
                  <w:r>
                    <w:rPr>
                      <w:rFonts w:ascii="Times New Roman" w:hAnsi="Times New Roman" w:eastAsia="宋体"/>
                      <w:color w:val="auto"/>
                      <w:spacing w:val="0"/>
                      <w:sz w:val="21"/>
                      <w:highlight w:val="none"/>
                      <w:shd w:val="clear" w:color="auto" w:fill="FFFFFF"/>
                    </w:rPr>
                    <w:t>固体废物分类、分区进行存放</w:t>
                  </w:r>
                  <w:r>
                    <w:rPr>
                      <w:rFonts w:hint="eastAsia" w:ascii="Times New Roman" w:hAnsi="Times New Roman" w:eastAsia="宋体"/>
                      <w:color w:val="auto"/>
                      <w:spacing w:val="0"/>
                      <w:sz w:val="21"/>
                      <w:highlight w:val="none"/>
                      <w:shd w:val="clear" w:color="auto" w:fill="FFFFFF"/>
                      <w:lang w:eastAsia="zh-CN"/>
                    </w:rPr>
                    <w:t>，贮存场所及包装物按照</w:t>
                  </w:r>
                  <w:r>
                    <w:rPr>
                      <w:rFonts w:hint="eastAsia" w:ascii="Times New Roman" w:hAnsi="Times New Roman" w:eastAsia="宋体"/>
                      <w:color w:val="auto"/>
                      <w:spacing w:val="0"/>
                      <w:sz w:val="21"/>
                      <w:highlight w:val="none"/>
                      <w:shd w:val="clear" w:color="auto" w:fill="FFFFFF"/>
                    </w:rPr>
                    <w:t>《环境保护图形标识－固体废物贮存（处置）场》（GB15562.2）及其修改单设置环境保护图形标志</w:t>
                  </w:r>
                  <w:r>
                    <w:rPr>
                      <w:rFonts w:hint="eastAsia" w:ascii="Times New Roman" w:hAnsi="Times New Roman" w:eastAsia="宋体"/>
                      <w:color w:val="auto"/>
                      <w:spacing w:val="0"/>
                      <w:sz w:val="21"/>
                      <w:highlight w:val="none"/>
                      <w:shd w:val="clear" w:color="auto" w:fill="FFFFFF"/>
                      <w:lang w:eastAsia="zh-CN"/>
                    </w:rPr>
                    <w:t>，危险废物贮存设施及包装物的标志同时符合GB18597的要求；</w:t>
                  </w:r>
                </w:p>
                <w:p w14:paraId="26D09602">
                  <w:pPr>
                    <w:pStyle w:val="25"/>
                    <w:snapToGrid w:val="0"/>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lang w:val="en-US" w:eastAsia="zh-CN"/>
                    </w:rPr>
                  </w:pPr>
                  <w:r>
                    <w:rPr>
                      <w:rFonts w:hint="eastAsia" w:ascii="Times New Roman" w:hAnsi="Times New Roman" w:eastAsia="宋体"/>
                      <w:color w:val="auto"/>
                      <w:spacing w:val="0"/>
                      <w:sz w:val="21"/>
                      <w:highlight w:val="none"/>
                      <w:shd w:val="clear" w:color="auto" w:fill="FFFFFF"/>
                      <w:lang w:val="en-US" w:eastAsia="zh-CN"/>
                    </w:rPr>
                    <w:t>3、项目将委托合规资质单位对固体废物进行妥善处理，不非法转移、倾倒、利用和处置；</w:t>
                  </w:r>
                </w:p>
                <w:p w14:paraId="367ADEE7">
                  <w:pPr>
                    <w:pStyle w:val="25"/>
                    <w:snapToGrid w:val="0"/>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lang w:val="en-US" w:eastAsia="zh-CN"/>
                    </w:rPr>
                  </w:pPr>
                  <w:r>
                    <w:rPr>
                      <w:rFonts w:hint="eastAsia" w:ascii="Times New Roman" w:hAnsi="Times New Roman" w:eastAsia="宋体"/>
                      <w:color w:val="auto"/>
                      <w:spacing w:val="0"/>
                      <w:sz w:val="21"/>
                      <w:highlight w:val="none"/>
                      <w:shd w:val="clear" w:color="auto" w:fill="FFFFFF"/>
                      <w:lang w:val="en-US" w:eastAsia="zh-CN"/>
                    </w:rPr>
                    <w:t>4、项目对不同类型的制冷剂分别回收，采用专门容器单独存放；</w:t>
                  </w:r>
                </w:p>
                <w:p w14:paraId="4508AA36">
                  <w:pPr>
                    <w:pStyle w:val="25"/>
                    <w:snapToGrid w:val="0"/>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lang w:val="en-US" w:eastAsia="zh-CN"/>
                    </w:rPr>
                  </w:pPr>
                  <w:r>
                    <w:rPr>
                      <w:rFonts w:hint="eastAsia" w:ascii="Times New Roman" w:hAnsi="Times New Roman" w:eastAsia="宋体"/>
                      <w:color w:val="auto"/>
                      <w:spacing w:val="0"/>
                      <w:sz w:val="21"/>
                      <w:highlight w:val="none"/>
                      <w:shd w:val="clear" w:color="auto" w:fill="FFFFFF"/>
                      <w:lang w:val="en-US" w:eastAsia="zh-CN"/>
                    </w:rPr>
                    <w:t>5、</w:t>
                  </w:r>
                  <w:r>
                    <w:rPr>
                      <w:rFonts w:ascii="Times New Roman" w:hAnsi="Times New Roman" w:eastAsia="宋体"/>
                      <w:color w:val="auto"/>
                      <w:spacing w:val="0"/>
                      <w:sz w:val="21"/>
                      <w:highlight w:val="none"/>
                      <w:shd w:val="clear" w:color="auto" w:fill="FFFFFF"/>
                    </w:rPr>
                    <w:t>废弃电器、铅酸蓄电池贮存场地</w:t>
                  </w:r>
                  <w:r>
                    <w:rPr>
                      <w:rFonts w:hint="eastAsia" w:ascii="Times New Roman" w:hAnsi="Times New Roman" w:eastAsia="宋体"/>
                      <w:color w:val="auto"/>
                      <w:spacing w:val="0"/>
                      <w:sz w:val="21"/>
                      <w:highlight w:val="none"/>
                      <w:shd w:val="clear" w:color="auto" w:fill="FFFFFF"/>
                      <w:lang w:eastAsia="zh-CN"/>
                    </w:rPr>
                    <w:t>严格禁火；</w:t>
                  </w:r>
                </w:p>
                <w:p w14:paraId="1832DDD8">
                  <w:pPr>
                    <w:pStyle w:val="25"/>
                    <w:snapToGrid w:val="0"/>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lang w:val="en-US" w:eastAsia="zh-CN"/>
                    </w:rPr>
                    <w:t>6、</w:t>
                  </w:r>
                  <w:r>
                    <w:rPr>
                      <w:rFonts w:ascii="Times New Roman" w:hAnsi="Times New Roman" w:eastAsia="宋体"/>
                      <w:color w:val="auto"/>
                      <w:spacing w:val="0"/>
                      <w:sz w:val="21"/>
                      <w:highlight w:val="none"/>
                      <w:shd w:val="clear" w:color="auto" w:fill="FFFFFF"/>
                    </w:rPr>
                    <w:t>按照要求采用相应容器进行存放，</w:t>
                  </w:r>
                  <w:r>
                    <w:rPr>
                      <w:rFonts w:hint="eastAsia" w:ascii="Times New Roman" w:hAnsi="Times New Roman" w:eastAsia="宋体"/>
                      <w:color w:val="auto"/>
                      <w:spacing w:val="0"/>
                      <w:sz w:val="21"/>
                      <w:highlight w:val="none"/>
                      <w:shd w:val="clear" w:color="auto" w:fill="FFFFFF"/>
                      <w:lang w:eastAsia="zh-CN"/>
                    </w:rPr>
                    <w:t>危废暂存间设置导流沟槽和集液坑进行防渗漏，项目不对未引爆的安全气囊进行储存；</w:t>
                  </w:r>
                </w:p>
                <w:p w14:paraId="1BF2BBF0">
                  <w:pPr>
                    <w:pStyle w:val="25"/>
                    <w:snapToGrid w:val="0"/>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7、项目所有拆解固体废物分类贮存并按规定设置标识</w:t>
                  </w:r>
                </w:p>
              </w:tc>
              <w:tc>
                <w:tcPr>
                  <w:tcW w:w="259" w:type="pct"/>
                  <w:noWrap w:val="0"/>
                  <w:vAlign w:val="center"/>
                </w:tcPr>
                <w:p w14:paraId="7C614571">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7F2F6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21B67F03">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79EEBE53">
                  <w:pPr>
                    <w:pStyle w:val="25"/>
                    <w:snapToGrid w:val="0"/>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lang w:val="en-US" w:eastAsia="zh-CN"/>
                    </w:rPr>
                  </w:pPr>
                  <w:r>
                    <w:rPr>
                      <w:rFonts w:hint="eastAsia" w:ascii="Times New Roman" w:hAnsi="Times New Roman" w:eastAsia="宋体"/>
                      <w:color w:val="auto"/>
                      <w:spacing w:val="0"/>
                      <w:sz w:val="21"/>
                      <w:highlight w:val="none"/>
                      <w:shd w:val="clear" w:color="auto" w:fill="FFFFFF"/>
                      <w:lang w:val="en-US" w:eastAsia="zh-CN"/>
                    </w:rPr>
                    <w:t>6.3回用件贮存</w:t>
                  </w:r>
                </w:p>
                <w:p w14:paraId="319B455F">
                  <w:pPr>
                    <w:pStyle w:val="25"/>
                    <w:numPr>
                      <w:ilvl w:val="0"/>
                      <w:numId w:val="0"/>
                    </w:numPr>
                    <w:snapToGrid w:val="0"/>
                    <w:spacing w:before="0" w:beforeLines="0" w:beforeAutospacing="0" w:after="0" w:afterLines="0" w:afterAutospacing="0" w:line="240" w:lineRule="auto"/>
                    <w:ind w:left="0" w:leftChars="0" w:firstLine="0" w:firstLineChars="0"/>
                    <w:jc w:val="left"/>
                    <w:rPr>
                      <w:rFonts w:hint="eastAsia" w:ascii="Times New Roman" w:hAnsi="Times New Roman" w:eastAsia="宋体" w:cs="Times New Roman"/>
                      <w:color w:val="auto"/>
                      <w:spacing w:val="0"/>
                      <w:sz w:val="21"/>
                      <w:highlight w:val="none"/>
                      <w:shd w:val="clear" w:color="auto" w:fill="FFFFFF"/>
                      <w:lang w:val="en-US" w:eastAsia="zh-CN"/>
                    </w:rPr>
                  </w:pPr>
                  <w:r>
                    <w:rPr>
                      <w:rFonts w:hint="eastAsia" w:ascii="Times New Roman" w:hAnsi="Times New Roman" w:eastAsia="宋体" w:cs="Times New Roman"/>
                      <w:color w:val="auto"/>
                      <w:spacing w:val="0"/>
                      <w:sz w:val="21"/>
                      <w:highlight w:val="none"/>
                      <w:shd w:val="clear" w:color="auto" w:fill="FFFFFF"/>
                      <w:lang w:val="en-US" w:eastAsia="zh-CN"/>
                    </w:rPr>
                    <w:t>1、回用件应分类贮存和标识，存放在封闭或半封闭的贮存场地中；</w:t>
                  </w:r>
                </w:p>
                <w:p w14:paraId="415FAB5D">
                  <w:pPr>
                    <w:pStyle w:val="25"/>
                    <w:numPr>
                      <w:ilvl w:val="0"/>
                      <w:numId w:val="0"/>
                    </w:numPr>
                    <w:snapToGrid w:val="0"/>
                    <w:spacing w:before="0" w:beforeLines="0" w:beforeAutospacing="0" w:after="0" w:afterLines="0" w:afterAutospacing="0" w:line="240" w:lineRule="auto"/>
                    <w:ind w:leftChars="0"/>
                    <w:jc w:val="left"/>
                    <w:rPr>
                      <w:rFonts w:hint="default" w:ascii="Times New Roman" w:hAnsi="Times New Roman"/>
                      <w:color w:val="auto"/>
                      <w:lang w:val="en-US" w:eastAsia="zh-CN"/>
                    </w:rPr>
                  </w:pPr>
                  <w:r>
                    <w:rPr>
                      <w:rFonts w:hint="eastAsia" w:ascii="Times New Roman" w:hAnsi="Times New Roman" w:eastAsia="宋体" w:cs="Times New Roman"/>
                      <w:color w:val="auto"/>
                      <w:spacing w:val="0"/>
                      <w:sz w:val="21"/>
                      <w:highlight w:val="none"/>
                      <w:shd w:val="clear" w:color="auto" w:fill="FFFFFF"/>
                      <w:lang w:val="en-US" w:eastAsia="zh-CN"/>
                    </w:rPr>
                    <w:t>2、回用件贮存前应做清洁等处理。</w:t>
                  </w:r>
                </w:p>
              </w:tc>
              <w:tc>
                <w:tcPr>
                  <w:tcW w:w="1987" w:type="pct"/>
                  <w:noWrap w:val="0"/>
                  <w:vAlign w:val="center"/>
                </w:tcPr>
                <w:p w14:paraId="727DE458">
                  <w:pPr>
                    <w:pStyle w:val="25"/>
                    <w:snapToGrid w:val="0"/>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lang w:val="en-US" w:eastAsia="zh-CN"/>
                    </w:rPr>
                  </w:pPr>
                  <w:r>
                    <w:rPr>
                      <w:rFonts w:hint="eastAsia" w:ascii="Times New Roman" w:hAnsi="Times New Roman" w:eastAsia="宋体"/>
                      <w:color w:val="auto"/>
                      <w:spacing w:val="0"/>
                      <w:sz w:val="21"/>
                      <w:highlight w:val="none"/>
                      <w:shd w:val="clear" w:color="auto" w:fill="FFFFFF"/>
                      <w:lang w:val="en-US" w:eastAsia="zh-CN"/>
                    </w:rPr>
                    <w:t>项目对回用件标明“报废机动车回用件”转运至仓库可回用零件区存放出售，贮存场地半封闭，回用件根据需要采用抹布擦拭清洁，不涉及水洗。</w:t>
                  </w:r>
                </w:p>
              </w:tc>
              <w:tc>
                <w:tcPr>
                  <w:tcW w:w="259" w:type="pct"/>
                  <w:noWrap w:val="0"/>
                  <w:vAlign w:val="center"/>
                </w:tcPr>
                <w:p w14:paraId="5BD58F49">
                  <w:pPr>
                    <w:pStyle w:val="25"/>
                    <w:snapToGrid w:val="0"/>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lang w:eastAsia="zh-CN"/>
                    </w:rPr>
                    <w:t>符合</w:t>
                  </w:r>
                </w:p>
              </w:tc>
            </w:tr>
            <w:tr w14:paraId="21797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073EB153">
                  <w:pPr>
                    <w:widowControl/>
                    <w:snapToGrid w:val="0"/>
                    <w:jc w:val="center"/>
                    <w:rPr>
                      <w:rFonts w:ascii="Times New Roman" w:hAnsi="Times New Roman" w:eastAsia="宋体"/>
                      <w:color w:val="auto"/>
                      <w:spacing w:val="0"/>
                      <w:kern w:val="0"/>
                      <w:szCs w:val="21"/>
                      <w:highlight w:val="none"/>
                      <w:shd w:val="clear" w:color="auto" w:fill="FFFFFF"/>
                    </w:rPr>
                  </w:pPr>
                </w:p>
              </w:tc>
              <w:tc>
                <w:tcPr>
                  <w:tcW w:w="2520" w:type="pct"/>
                  <w:gridSpan w:val="2"/>
                  <w:noWrap w:val="0"/>
                  <w:vAlign w:val="center"/>
                </w:tcPr>
                <w:p w14:paraId="550F99C9">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*6.4</w:t>
                  </w:r>
                  <w:r>
                    <w:rPr>
                      <w:rFonts w:ascii="Times New Roman" w:hAnsi="Times New Roman" w:eastAsia="宋体"/>
                      <w:color w:val="auto"/>
                      <w:spacing w:val="0"/>
                      <w:sz w:val="21"/>
                      <w:highlight w:val="none"/>
                      <w:shd w:val="clear" w:color="auto" w:fill="FFFFFF"/>
                    </w:rPr>
                    <w:t>动力蓄电池贮存</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1、动力蓄电池的贮存应按照WB/T1061的贮存要求执行。2、动力蓄电池多层贮存时应采取框架结构并确保承重安全，且便于存取。3、存在漏电、漏液、破损等安全隐患的动力蓄电池应采取适当方式处理，并隔离存放。</w:t>
                  </w:r>
                </w:p>
              </w:tc>
              <w:tc>
                <w:tcPr>
                  <w:tcW w:w="1987" w:type="pct"/>
                  <w:noWrap w:val="0"/>
                  <w:vAlign w:val="center"/>
                </w:tcPr>
                <w:p w14:paraId="28DA52E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项目动力蓄电池贮存按照WB/T1061的贮存要求执行，</w:t>
                  </w:r>
                  <w:r>
                    <w:rPr>
                      <w:rFonts w:ascii="Times New Roman" w:hAnsi="Times New Roman" w:eastAsia="宋体"/>
                      <w:color w:val="auto"/>
                      <w:spacing w:val="0"/>
                      <w:sz w:val="21"/>
                      <w:highlight w:val="none"/>
                      <w:shd w:val="clear" w:color="auto" w:fill="FFFFFF"/>
                    </w:rPr>
                    <w:t>按照要求将动力蓄电池进行存放</w:t>
                  </w:r>
                  <w:r>
                    <w:rPr>
                      <w:rFonts w:hint="eastAsia" w:ascii="Times New Roman" w:hAnsi="Times New Roman" w:eastAsia="宋体"/>
                      <w:color w:val="auto"/>
                      <w:spacing w:val="0"/>
                      <w:sz w:val="21"/>
                      <w:highlight w:val="none"/>
                      <w:shd w:val="clear" w:color="auto" w:fill="FFFFFF"/>
                    </w:rPr>
                    <w:t>，并对漏电、漏液、破损等安全隐患的动力蓄电池</w:t>
                  </w:r>
                  <w:r>
                    <w:rPr>
                      <w:rFonts w:hint="eastAsia" w:ascii="Times New Roman" w:hAnsi="Times New Roman" w:eastAsia="宋体"/>
                      <w:color w:val="auto"/>
                      <w:spacing w:val="0"/>
                      <w:sz w:val="21"/>
                      <w:highlight w:val="none"/>
                      <w:shd w:val="clear" w:color="auto" w:fill="FFFFFF"/>
                      <w:lang w:eastAsia="zh-CN"/>
                    </w:rPr>
                    <w:t>进行堵漏后密闭耐酸容器装存、</w:t>
                  </w:r>
                  <w:r>
                    <w:rPr>
                      <w:rFonts w:hint="eastAsia" w:ascii="Times New Roman" w:hAnsi="Times New Roman" w:eastAsia="宋体"/>
                      <w:color w:val="auto"/>
                      <w:spacing w:val="0"/>
                      <w:sz w:val="21"/>
                      <w:highlight w:val="none"/>
                      <w:shd w:val="clear" w:color="auto" w:fill="FFFFFF"/>
                    </w:rPr>
                    <w:t>做绝缘处理、隔离存放。</w:t>
                  </w:r>
                </w:p>
              </w:tc>
              <w:tc>
                <w:tcPr>
                  <w:tcW w:w="259" w:type="pct"/>
                  <w:noWrap w:val="0"/>
                  <w:vAlign w:val="center"/>
                </w:tcPr>
                <w:p w14:paraId="19EC49C6">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5689A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restart"/>
                  <w:noWrap w:val="0"/>
                  <w:vAlign w:val="center"/>
                </w:tcPr>
                <w:p w14:paraId="53ED9EA9">
                  <w:pPr>
                    <w:pStyle w:val="25"/>
                    <w:snapToGrid w:val="0"/>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val="en-US" w:eastAsia="zh-CN"/>
                    </w:rPr>
                  </w:pPr>
                  <w:r>
                    <w:rPr>
                      <w:rFonts w:hint="eastAsia" w:ascii="Times New Roman" w:hAnsi="Times New Roman" w:eastAsia="宋体"/>
                      <w:color w:val="auto"/>
                      <w:spacing w:val="0"/>
                      <w:sz w:val="21"/>
                      <w:highlight w:val="none"/>
                      <w:shd w:val="clear" w:color="auto" w:fill="FFFFFF"/>
                      <w:lang w:val="en-US" w:eastAsia="zh-CN"/>
                    </w:rPr>
                    <w:t>7</w:t>
                  </w:r>
                </w:p>
                <w:p w14:paraId="27DD397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拆解技术要求</w:t>
                  </w:r>
                </w:p>
              </w:tc>
              <w:tc>
                <w:tcPr>
                  <w:tcW w:w="178" w:type="pct"/>
                  <w:vMerge w:val="restart"/>
                  <w:noWrap w:val="0"/>
                  <w:vAlign w:val="center"/>
                </w:tcPr>
                <w:p w14:paraId="32C7CE0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7.1</w:t>
                  </w:r>
                  <w:r>
                    <w:rPr>
                      <w:rFonts w:ascii="Times New Roman" w:hAnsi="Times New Roman" w:eastAsia="宋体"/>
                      <w:color w:val="auto"/>
                      <w:spacing w:val="0"/>
                      <w:sz w:val="21"/>
                      <w:highlight w:val="none"/>
                      <w:shd w:val="clear" w:color="auto" w:fill="FFFFFF"/>
                    </w:rPr>
                    <w:t>一般要求</w:t>
                  </w:r>
                </w:p>
              </w:tc>
              <w:tc>
                <w:tcPr>
                  <w:tcW w:w="2342" w:type="pct"/>
                  <w:noWrap w:val="0"/>
                  <w:vAlign w:val="center"/>
                </w:tcPr>
                <w:p w14:paraId="3F411814">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7.1.1</w:t>
                  </w:r>
                  <w:r>
                    <w:rPr>
                      <w:rFonts w:ascii="Times New Roman" w:hAnsi="Times New Roman" w:eastAsia="宋体"/>
                      <w:color w:val="auto"/>
                      <w:spacing w:val="0"/>
                      <w:sz w:val="21"/>
                      <w:highlight w:val="none"/>
                      <w:shd w:val="clear" w:color="auto" w:fill="FFFFFF"/>
                    </w:rPr>
                    <w:t>应按照机动车生产企业提供的拆解手册进行合理拆解，没有拆解手册的，参照同类其他车辆的规定拆解</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7A5147AA">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w:t>
                  </w:r>
                  <w:r>
                    <w:rPr>
                      <w:rFonts w:ascii="Times New Roman" w:hAnsi="Times New Roman" w:eastAsia="宋体"/>
                      <w:color w:val="auto"/>
                      <w:spacing w:val="0"/>
                      <w:sz w:val="21"/>
                      <w:highlight w:val="none"/>
                      <w:shd w:val="clear" w:color="auto" w:fill="FFFFFF"/>
                    </w:rPr>
                    <w:t>按照机动车生产企业提供的拆解手册进行合理拆解</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094AAE58">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3AFDE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232" w:type="pct"/>
                  <w:vMerge w:val="continue"/>
                  <w:noWrap w:val="0"/>
                  <w:vAlign w:val="center"/>
                </w:tcPr>
                <w:p w14:paraId="3BF101E1">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178" w:type="pct"/>
                  <w:vMerge w:val="continue"/>
                  <w:noWrap w:val="0"/>
                  <w:vAlign w:val="center"/>
                </w:tcPr>
                <w:p w14:paraId="3949B9AA">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2342" w:type="pct"/>
                  <w:noWrap w:val="0"/>
                  <w:vAlign w:val="center"/>
                </w:tcPr>
                <w:p w14:paraId="1C880102">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7.1.2</w:t>
                  </w:r>
                  <w:r>
                    <w:rPr>
                      <w:rFonts w:ascii="Times New Roman" w:hAnsi="Times New Roman" w:eastAsia="宋体"/>
                      <w:color w:val="auto"/>
                      <w:spacing w:val="0"/>
                      <w:sz w:val="21"/>
                      <w:highlight w:val="none"/>
                      <w:shd w:val="clear" w:color="auto" w:fill="FFFFFF"/>
                    </w:rPr>
                    <w:t>报废机动车拆解时，应采用合适的工具、设备与工艺，尽可能保证零部件的可再利用性以及材料的可回收利用性</w:t>
                  </w:r>
                </w:p>
              </w:tc>
              <w:tc>
                <w:tcPr>
                  <w:tcW w:w="1987" w:type="pct"/>
                  <w:noWrap w:val="0"/>
                  <w:vAlign w:val="center"/>
                </w:tcPr>
                <w:p w14:paraId="7B0247FB">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w:t>
                  </w:r>
                  <w:r>
                    <w:rPr>
                      <w:rFonts w:ascii="Times New Roman" w:hAnsi="Times New Roman" w:eastAsia="宋体"/>
                      <w:color w:val="auto"/>
                      <w:spacing w:val="0"/>
                      <w:sz w:val="21"/>
                      <w:highlight w:val="none"/>
                      <w:shd w:val="clear" w:color="auto" w:fill="FFFFFF"/>
                    </w:rPr>
                    <w:t>采用合适的工具、设备与工艺，尽可能保证零部件的可再利用性以及材料的可回收利用性</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7B1AD2FB">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12A3A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77738B1D">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178" w:type="pct"/>
                  <w:vMerge w:val="continue"/>
                  <w:noWrap w:val="0"/>
                  <w:vAlign w:val="center"/>
                </w:tcPr>
                <w:p w14:paraId="3827B68B">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2342" w:type="pct"/>
                  <w:noWrap w:val="0"/>
                  <w:vAlign w:val="center"/>
                </w:tcPr>
                <w:p w14:paraId="78F8EBDA">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*7.1.3</w:t>
                  </w:r>
                  <w:r>
                    <w:rPr>
                      <w:rFonts w:ascii="Times New Roman" w:hAnsi="Times New Roman" w:eastAsia="宋体"/>
                      <w:color w:val="auto"/>
                      <w:spacing w:val="0"/>
                      <w:sz w:val="21"/>
                      <w:highlight w:val="none"/>
                      <w:shd w:val="clear" w:color="auto" w:fill="FFFFFF"/>
                    </w:rPr>
                    <w:t>拆解电动汽车的企业，应接受汽车生产企业的技术指导，根据汽车生产企业提供的拆解信息或手册制定拆解作业程序或作业指导书，配备相应安全技术人员。应将从报废电动汽车上拆卸下来的动力蓄电池包</w:t>
                  </w:r>
                  <w:r>
                    <w:rPr>
                      <w:rFonts w:hint="eastAsia" w:ascii="Times New Roman" w:hAnsi="Times New Roman" w:eastAsia="宋体"/>
                      <w:color w:val="auto"/>
                      <w:spacing w:val="0"/>
                      <w:sz w:val="21"/>
                      <w:highlight w:val="none"/>
                      <w:shd w:val="clear" w:color="auto" w:fill="FFFFFF"/>
                      <w:lang w:eastAsia="zh-CN"/>
                    </w:rPr>
                    <w:t>（</w:t>
                  </w:r>
                  <w:r>
                    <w:rPr>
                      <w:rFonts w:ascii="Times New Roman" w:hAnsi="Times New Roman" w:eastAsia="宋体"/>
                      <w:color w:val="auto"/>
                      <w:spacing w:val="0"/>
                      <w:sz w:val="21"/>
                      <w:highlight w:val="none"/>
                      <w:shd w:val="clear" w:color="auto" w:fill="FFFFFF"/>
                    </w:rPr>
                    <w:t>组</w:t>
                  </w:r>
                  <w:r>
                    <w:rPr>
                      <w:rFonts w:hint="eastAsia" w:ascii="Times New Roman" w:hAnsi="Times New Roman" w:eastAsia="宋体"/>
                      <w:color w:val="auto"/>
                      <w:spacing w:val="0"/>
                      <w:sz w:val="21"/>
                      <w:highlight w:val="none"/>
                      <w:shd w:val="clear" w:color="auto" w:fill="FFFFFF"/>
                      <w:lang w:eastAsia="zh-CN"/>
                    </w:rPr>
                    <w:t>）</w:t>
                  </w:r>
                  <w:r>
                    <w:rPr>
                      <w:rFonts w:ascii="Times New Roman" w:hAnsi="Times New Roman" w:eastAsia="宋体"/>
                      <w:color w:val="auto"/>
                      <w:spacing w:val="0"/>
                      <w:sz w:val="21"/>
                      <w:highlight w:val="none"/>
                      <w:shd w:val="clear" w:color="auto" w:fill="FFFFFF"/>
                    </w:rPr>
                    <w:t>交售给电动汽车生产企业建立的动力蓄电池回收服务网点或从事废旧动力蓄电池综合利用的企业处理，不应拆解</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13AFAE48">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项目根据</w:t>
                  </w:r>
                  <w:r>
                    <w:rPr>
                      <w:rFonts w:ascii="Times New Roman" w:hAnsi="Times New Roman" w:eastAsia="宋体"/>
                      <w:color w:val="auto"/>
                      <w:spacing w:val="0"/>
                      <w:sz w:val="21"/>
                      <w:highlight w:val="none"/>
                      <w:shd w:val="clear" w:color="auto" w:fill="FFFFFF"/>
                    </w:rPr>
                    <w:t>汽车生产企业提供的拆解信息或手册制定拆解作业程序或作业指导书，</w:t>
                  </w:r>
                  <w:r>
                    <w:rPr>
                      <w:rFonts w:hint="eastAsia" w:ascii="Times New Roman" w:hAnsi="Times New Roman" w:eastAsia="宋体"/>
                      <w:color w:val="auto"/>
                      <w:spacing w:val="0"/>
                      <w:sz w:val="21"/>
                      <w:highlight w:val="none"/>
                      <w:shd w:val="clear" w:color="auto" w:fill="FFFFFF"/>
                    </w:rPr>
                    <w:t>并</w:t>
                  </w:r>
                  <w:r>
                    <w:rPr>
                      <w:rFonts w:ascii="Times New Roman" w:hAnsi="Times New Roman" w:eastAsia="宋体"/>
                      <w:color w:val="auto"/>
                      <w:spacing w:val="0"/>
                      <w:sz w:val="21"/>
                      <w:highlight w:val="none"/>
                      <w:shd w:val="clear" w:color="auto" w:fill="FFFFFF"/>
                    </w:rPr>
                    <w:t>配备相应安全技术人员</w:t>
                  </w:r>
                  <w:r>
                    <w:rPr>
                      <w:rFonts w:hint="eastAsia" w:ascii="Times New Roman" w:hAnsi="Times New Roman" w:eastAsia="宋体"/>
                      <w:color w:val="auto"/>
                      <w:spacing w:val="0"/>
                      <w:sz w:val="21"/>
                      <w:highlight w:val="none"/>
                      <w:shd w:val="clear" w:color="auto" w:fill="FFFFFF"/>
                    </w:rPr>
                    <w:t>；厂内</w:t>
                  </w:r>
                  <w:r>
                    <w:rPr>
                      <w:rFonts w:hint="eastAsia" w:ascii="Times New Roman" w:hAnsi="Times New Roman" w:eastAsia="宋体"/>
                      <w:color w:val="auto"/>
                      <w:spacing w:val="0"/>
                      <w:sz w:val="21"/>
                      <w:highlight w:val="none"/>
                      <w:shd w:val="clear" w:color="auto" w:fill="FFFFFF"/>
                      <w:lang w:val="en-US" w:eastAsia="zh-CN"/>
                    </w:rPr>
                    <w:t>仅从报废机动车上拆下蓄电池，</w:t>
                  </w:r>
                  <w:r>
                    <w:rPr>
                      <w:rFonts w:ascii="Times New Roman" w:hAnsi="Times New Roman" w:eastAsia="宋体"/>
                      <w:color w:val="auto"/>
                      <w:spacing w:val="0"/>
                      <w:sz w:val="21"/>
                      <w:highlight w:val="none"/>
                      <w:shd w:val="clear" w:color="auto" w:fill="FFFFFF"/>
                    </w:rPr>
                    <w:t>不</w:t>
                  </w:r>
                  <w:r>
                    <w:rPr>
                      <w:rFonts w:hint="eastAsia" w:ascii="Times New Roman" w:hAnsi="Times New Roman" w:eastAsia="宋体"/>
                      <w:color w:val="auto"/>
                      <w:spacing w:val="0"/>
                      <w:sz w:val="21"/>
                      <w:highlight w:val="none"/>
                      <w:shd w:val="clear" w:color="auto" w:fill="FFFFFF"/>
                      <w:lang w:val="en-US" w:eastAsia="zh-CN"/>
                    </w:rPr>
                    <w:t>进行动力蓄电池包拆分等</w:t>
                  </w:r>
                  <w:r>
                    <w:rPr>
                      <w:rFonts w:hint="eastAsia" w:ascii="Times New Roman" w:hAnsi="Times New Roman" w:eastAsia="宋体"/>
                      <w:color w:val="auto"/>
                      <w:spacing w:val="0"/>
                      <w:sz w:val="21"/>
                      <w:highlight w:val="none"/>
                      <w:shd w:val="clear" w:color="auto" w:fill="FFFFFF"/>
                    </w:rPr>
                    <w:t>蓄电池</w:t>
                  </w:r>
                  <w:r>
                    <w:rPr>
                      <w:rFonts w:hint="eastAsia" w:ascii="Times New Roman" w:hAnsi="Times New Roman" w:eastAsia="宋体"/>
                      <w:color w:val="auto"/>
                      <w:spacing w:val="0"/>
                      <w:sz w:val="21"/>
                      <w:highlight w:val="none"/>
                      <w:shd w:val="clear" w:color="auto" w:fill="FFFFFF"/>
                      <w:lang w:val="en-US" w:eastAsia="zh-CN"/>
                    </w:rPr>
                    <w:t>拆解</w:t>
                  </w:r>
                  <w:r>
                    <w:rPr>
                      <w:rFonts w:hint="eastAsia" w:ascii="Times New Roman" w:hAnsi="Times New Roman" w:eastAsia="宋体"/>
                      <w:color w:val="auto"/>
                      <w:spacing w:val="0"/>
                      <w:sz w:val="21"/>
                      <w:highlight w:val="none"/>
                      <w:shd w:val="clear" w:color="auto" w:fill="FFFFFF"/>
                    </w:rPr>
                    <w:t>，</w:t>
                  </w:r>
                  <w:r>
                    <w:rPr>
                      <w:rFonts w:hint="eastAsia" w:ascii="Times New Roman" w:hAnsi="Times New Roman" w:eastAsia="宋体"/>
                      <w:color w:val="auto"/>
                      <w:spacing w:val="0"/>
                      <w:sz w:val="21"/>
                      <w:highlight w:val="none"/>
                      <w:shd w:val="clear" w:color="auto" w:fill="FFFFFF"/>
                      <w:lang w:val="en-US" w:eastAsia="zh-CN"/>
                    </w:rPr>
                    <w:t>直接</w:t>
                  </w:r>
                  <w:r>
                    <w:rPr>
                      <w:rFonts w:hint="eastAsia" w:ascii="Times New Roman" w:hAnsi="Times New Roman" w:eastAsia="宋体"/>
                      <w:color w:val="auto"/>
                      <w:spacing w:val="0"/>
                      <w:sz w:val="21"/>
                      <w:highlight w:val="none"/>
                      <w:shd w:val="clear" w:color="auto" w:fill="FFFFFF"/>
                    </w:rPr>
                    <w:t>定期交于动力蓄电池回收服务网点进行处理。</w:t>
                  </w:r>
                </w:p>
              </w:tc>
              <w:tc>
                <w:tcPr>
                  <w:tcW w:w="259" w:type="pct"/>
                  <w:noWrap w:val="0"/>
                  <w:vAlign w:val="center"/>
                </w:tcPr>
                <w:p w14:paraId="7D1D15AD">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4FE1C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9" w:hRule="atLeast"/>
                <w:jc w:val="center"/>
              </w:trPr>
              <w:tc>
                <w:tcPr>
                  <w:tcW w:w="232" w:type="pct"/>
                  <w:vMerge w:val="continue"/>
                  <w:noWrap w:val="0"/>
                  <w:vAlign w:val="center"/>
                </w:tcPr>
                <w:p w14:paraId="413FAE06">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178" w:type="pct"/>
                  <w:vMerge w:val="restart"/>
                  <w:noWrap w:val="0"/>
                  <w:vAlign w:val="center"/>
                </w:tcPr>
                <w:p w14:paraId="136A1612">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7.2</w:t>
                  </w:r>
                  <w:r>
                    <w:rPr>
                      <w:rFonts w:ascii="Times New Roman" w:hAnsi="Times New Roman" w:eastAsia="宋体"/>
                      <w:color w:val="auto"/>
                      <w:spacing w:val="0"/>
                      <w:sz w:val="21"/>
                      <w:highlight w:val="none"/>
                      <w:shd w:val="clear" w:color="auto" w:fill="FFFFFF"/>
                    </w:rPr>
                    <w:t>传统燃料机动车</w:t>
                  </w:r>
                </w:p>
              </w:tc>
              <w:tc>
                <w:tcPr>
                  <w:tcW w:w="2342" w:type="pct"/>
                  <w:noWrap w:val="0"/>
                  <w:vAlign w:val="center"/>
                </w:tcPr>
                <w:p w14:paraId="610E4E9B">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*7.2.1</w:t>
                  </w:r>
                  <w:r>
                    <w:rPr>
                      <w:rFonts w:ascii="Times New Roman" w:hAnsi="Times New Roman" w:eastAsia="宋体"/>
                      <w:color w:val="auto"/>
                      <w:spacing w:val="0"/>
                      <w:sz w:val="21"/>
                      <w:highlight w:val="none"/>
                      <w:shd w:val="clear" w:color="auto" w:fill="FFFFFF"/>
                    </w:rPr>
                    <w:t>拆解预处理技术要求</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a)在室内或有防雨顶棚的拆解预处理平台上使用专用工具排空存留在车内的废液，并使用专用容器分类回收</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b)拆除铅酸蓄电池</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c)用专门设备回收机动车空调制冷剂</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d)拆除油箱和燃料罐</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e)拆除机油滤清器</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f)直接引爆安全气囊或者拆除安全气囊组件后引爆</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g)拆除催化系统</w:t>
                  </w:r>
                  <w:r>
                    <w:rPr>
                      <w:rFonts w:hint="eastAsia" w:ascii="Times New Roman" w:hAnsi="Times New Roman" w:eastAsia="宋体"/>
                      <w:color w:val="auto"/>
                      <w:spacing w:val="0"/>
                      <w:sz w:val="21"/>
                      <w:highlight w:val="none"/>
                      <w:shd w:val="clear" w:color="auto" w:fill="FFFFFF"/>
                      <w:lang w:eastAsia="zh-CN"/>
                    </w:rPr>
                    <w:t>（</w:t>
                  </w:r>
                  <w:r>
                    <w:rPr>
                      <w:rFonts w:ascii="Times New Roman" w:hAnsi="Times New Roman" w:eastAsia="宋体"/>
                      <w:color w:val="auto"/>
                      <w:spacing w:val="0"/>
                      <w:sz w:val="21"/>
                      <w:highlight w:val="none"/>
                      <w:shd w:val="clear" w:color="auto" w:fill="FFFFFF"/>
                    </w:rPr>
                    <w:t>催化转化器、选择性催化还原装置、柴油颗粒物捕集器等</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07CBC541">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根据项目工艺流程</w:t>
                  </w:r>
                  <w:r>
                    <w:rPr>
                      <w:rFonts w:hint="eastAsia" w:ascii="Times New Roman" w:hAnsi="Times New Roman" w:eastAsia="宋体"/>
                      <w:color w:val="auto"/>
                      <w:spacing w:val="0"/>
                      <w:sz w:val="21"/>
                      <w:highlight w:val="none"/>
                      <w:shd w:val="clear" w:color="auto" w:fill="FFFFFF"/>
                      <w:lang w:eastAsia="zh-CN"/>
                    </w:rPr>
                    <w:t>分析</w:t>
                  </w:r>
                  <w:r>
                    <w:rPr>
                      <w:rFonts w:hint="eastAsia" w:ascii="Times New Roman" w:hAnsi="Times New Roman" w:eastAsia="宋体"/>
                      <w:color w:val="auto"/>
                      <w:spacing w:val="0"/>
                      <w:sz w:val="21"/>
                      <w:highlight w:val="none"/>
                      <w:shd w:val="clear" w:color="auto" w:fill="FFFFFF"/>
                    </w:rPr>
                    <w:t>，项目拆解过程</w:t>
                  </w:r>
                  <w:r>
                    <w:rPr>
                      <w:rFonts w:ascii="Times New Roman" w:hAnsi="Times New Roman" w:eastAsia="宋体"/>
                      <w:color w:val="auto"/>
                      <w:spacing w:val="0"/>
                      <w:sz w:val="21"/>
                      <w:highlight w:val="none"/>
                      <w:shd w:val="clear" w:color="auto" w:fill="FFFFFF"/>
                    </w:rPr>
                    <w:t>严格按照要求进行</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4762EF40">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6FA19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4BC40CAC">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178" w:type="pct"/>
                  <w:vMerge w:val="continue"/>
                  <w:noWrap w:val="0"/>
                  <w:vAlign w:val="center"/>
                </w:tcPr>
                <w:p w14:paraId="49301CC9">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2342" w:type="pct"/>
                  <w:noWrap w:val="0"/>
                  <w:vAlign w:val="center"/>
                </w:tcPr>
                <w:p w14:paraId="4DD58EDE">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7.2.2</w:t>
                  </w:r>
                  <w:r>
                    <w:rPr>
                      <w:rFonts w:ascii="Times New Roman" w:hAnsi="Times New Roman" w:eastAsia="宋体"/>
                      <w:color w:val="auto"/>
                      <w:spacing w:val="0"/>
                      <w:sz w:val="21"/>
                      <w:highlight w:val="none"/>
                      <w:shd w:val="clear" w:color="auto" w:fill="FFFFFF"/>
                    </w:rPr>
                    <w:t>拆解技术要求</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a)拆除玻璃</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b)拆除消声器、转向锁总成、停车装置、倒车雷达及电子控制模块</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c)拆除车轮并拆下轮胎</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d)拆除能有效回收含铜、铝、镁的金属部件</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e)拆除能有效回收的大型塑料件(保险杠、仪表板、液体容器等)</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f)拆除橡胶制品部件</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g)拆解有关总成和其他零部件，并符合相关法规要求</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1790B1D6">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根据项目工艺流程</w:t>
                  </w:r>
                  <w:r>
                    <w:rPr>
                      <w:rFonts w:hint="eastAsia" w:ascii="Times New Roman" w:hAnsi="Times New Roman" w:eastAsia="宋体"/>
                      <w:color w:val="auto"/>
                      <w:spacing w:val="0"/>
                      <w:sz w:val="21"/>
                      <w:highlight w:val="none"/>
                      <w:shd w:val="clear" w:color="auto" w:fill="FFFFFF"/>
                      <w:lang w:eastAsia="zh-CN"/>
                    </w:rPr>
                    <w:t>分析</w:t>
                  </w:r>
                  <w:r>
                    <w:rPr>
                      <w:rFonts w:hint="eastAsia" w:ascii="Times New Roman" w:hAnsi="Times New Roman" w:eastAsia="宋体"/>
                      <w:color w:val="auto"/>
                      <w:spacing w:val="0"/>
                      <w:sz w:val="21"/>
                      <w:highlight w:val="none"/>
                      <w:shd w:val="clear" w:color="auto" w:fill="FFFFFF"/>
                    </w:rPr>
                    <w:t>，项目拆解过程</w:t>
                  </w:r>
                  <w:r>
                    <w:rPr>
                      <w:rFonts w:ascii="Times New Roman" w:hAnsi="Times New Roman" w:eastAsia="宋体"/>
                      <w:color w:val="auto"/>
                      <w:spacing w:val="0"/>
                      <w:sz w:val="21"/>
                      <w:highlight w:val="none"/>
                      <w:shd w:val="clear" w:color="auto" w:fill="FFFFFF"/>
                    </w:rPr>
                    <w:t>严格按照要求进行</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17DD838D">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69913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67166B44">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178" w:type="pct"/>
                  <w:vMerge w:val="restart"/>
                  <w:noWrap w:val="0"/>
                  <w:vAlign w:val="center"/>
                </w:tcPr>
                <w:p w14:paraId="6AD9D9E7">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7.3</w:t>
                  </w:r>
                  <w:r>
                    <w:rPr>
                      <w:rFonts w:ascii="Times New Roman" w:hAnsi="Times New Roman" w:eastAsia="宋体"/>
                      <w:color w:val="auto"/>
                      <w:spacing w:val="0"/>
                      <w:sz w:val="21"/>
                      <w:highlight w:val="none"/>
                      <w:shd w:val="clear" w:color="auto" w:fill="FFFFFF"/>
                    </w:rPr>
                    <w:t>电动汽车</w:t>
                  </w:r>
                </w:p>
              </w:tc>
              <w:tc>
                <w:tcPr>
                  <w:tcW w:w="2342" w:type="pct"/>
                  <w:noWrap w:val="0"/>
                  <w:vAlign w:val="center"/>
                </w:tcPr>
                <w:p w14:paraId="4DD174D3">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*7.3.1</w:t>
                  </w:r>
                  <w:r>
                    <w:rPr>
                      <w:rFonts w:ascii="Times New Roman" w:hAnsi="Times New Roman" w:eastAsia="宋体"/>
                      <w:color w:val="auto"/>
                      <w:spacing w:val="0"/>
                      <w:sz w:val="21"/>
                      <w:highlight w:val="none"/>
                      <w:shd w:val="clear" w:color="auto" w:fill="FFFFFF"/>
                    </w:rPr>
                    <w:t>动力蓄电池拆卸预处理技术要求</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a)检查车身有无漏液、有无带电</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b)</w:t>
                  </w:r>
                  <w:r>
                    <w:rPr>
                      <w:rFonts w:hint="eastAsia" w:ascii="Times New Roman" w:hAnsi="Times New Roman" w:eastAsia="宋体"/>
                      <w:color w:val="auto"/>
                      <w:spacing w:val="0"/>
                      <w:sz w:val="21"/>
                      <w:highlight w:val="none"/>
                      <w:shd w:val="clear" w:color="auto" w:fill="FFFFFF"/>
                      <w:lang w:eastAsia="zh-CN"/>
                    </w:rPr>
                    <w:t>检查</w:t>
                  </w:r>
                  <w:r>
                    <w:rPr>
                      <w:rFonts w:ascii="Times New Roman" w:hAnsi="Times New Roman" w:eastAsia="宋体"/>
                      <w:color w:val="auto"/>
                      <w:spacing w:val="0"/>
                      <w:sz w:val="21"/>
                      <w:highlight w:val="none"/>
                      <w:shd w:val="clear" w:color="auto" w:fill="FFFFFF"/>
                    </w:rPr>
                    <w:t>动力蓄电池布局和安装位置，确认诊断接口是否完好</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c)对动力蓄电池电压、温度等参数进行检测，评估其安全状态</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d)断开动力蓄电池高压回路</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e)在室内或有防雨顶棚的拆解预处理平台上使用防静电工具排空存留在车内的废液，并使用专用容器分类回收</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f)使用防静电设备回收电动汽车空调制冷剂</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6FCE85BE">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根据项目工艺流程</w:t>
                  </w:r>
                  <w:r>
                    <w:rPr>
                      <w:rFonts w:hint="eastAsia" w:ascii="Times New Roman" w:hAnsi="Times New Roman" w:eastAsia="宋体"/>
                      <w:color w:val="auto"/>
                      <w:spacing w:val="0"/>
                      <w:sz w:val="21"/>
                      <w:highlight w:val="none"/>
                      <w:shd w:val="clear" w:color="auto" w:fill="FFFFFF"/>
                      <w:lang w:eastAsia="zh-CN"/>
                    </w:rPr>
                    <w:t>分析</w:t>
                  </w:r>
                  <w:r>
                    <w:rPr>
                      <w:rFonts w:hint="eastAsia" w:ascii="Times New Roman" w:hAnsi="Times New Roman" w:eastAsia="宋体"/>
                      <w:color w:val="auto"/>
                      <w:spacing w:val="0"/>
                      <w:sz w:val="21"/>
                      <w:highlight w:val="none"/>
                      <w:shd w:val="clear" w:color="auto" w:fill="FFFFFF"/>
                    </w:rPr>
                    <w:t>，项目拆解过程</w:t>
                  </w:r>
                  <w:r>
                    <w:rPr>
                      <w:rFonts w:ascii="Times New Roman" w:hAnsi="Times New Roman" w:eastAsia="宋体"/>
                      <w:color w:val="auto"/>
                      <w:spacing w:val="0"/>
                      <w:sz w:val="21"/>
                      <w:highlight w:val="none"/>
                      <w:shd w:val="clear" w:color="auto" w:fill="FFFFFF"/>
                    </w:rPr>
                    <w:t>严格按照要求进行</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6CD40CBF">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689AB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1BCBC11E">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178" w:type="pct"/>
                  <w:vMerge w:val="continue"/>
                  <w:noWrap w:val="0"/>
                  <w:vAlign w:val="center"/>
                </w:tcPr>
                <w:p w14:paraId="07845783">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2342" w:type="pct"/>
                  <w:noWrap w:val="0"/>
                  <w:vAlign w:val="center"/>
                </w:tcPr>
                <w:p w14:paraId="5FE8891A">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*7.3.2</w:t>
                  </w:r>
                  <w:r>
                    <w:rPr>
                      <w:rFonts w:ascii="Times New Roman" w:hAnsi="Times New Roman" w:eastAsia="宋体"/>
                      <w:color w:val="auto"/>
                      <w:spacing w:val="0"/>
                      <w:sz w:val="21"/>
                      <w:highlight w:val="none"/>
                      <w:shd w:val="clear" w:color="auto" w:fill="FFFFFF"/>
                    </w:rPr>
                    <w:t>动力蓄电池拆卸技术要求</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a)拆卸动力蓄电池阻挡部件，如引擎盖、行李箱盖、车门等</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b)断开电压线束(电缆)，拆卸不同安装位置的动力蓄电池</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c)收集采用液冷结构方式散热的动力蓄电池包(组)内的冷却液</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d)对拆卸下的动力蓄电池线束接头、正负极片等外露线束和金属物进行绝缘处理，并在其明显位置处贴上标签，标明绝缘状况</w:t>
                  </w:r>
                  <w:r>
                    <w:rPr>
                      <w:rFonts w:hint="eastAsia" w:ascii="Times New Roman" w:hAnsi="Times New Roman" w:eastAsia="宋体"/>
                      <w:color w:val="auto"/>
                      <w:spacing w:val="0"/>
                      <w:sz w:val="21"/>
                      <w:highlight w:val="none"/>
                      <w:shd w:val="clear" w:color="auto" w:fill="FFFFFF"/>
                    </w:rPr>
                    <w:t>；</w:t>
                  </w:r>
                  <w:r>
                    <w:rPr>
                      <w:rFonts w:ascii="Times New Roman" w:hAnsi="Times New Roman" w:eastAsia="宋体"/>
                      <w:color w:val="auto"/>
                      <w:spacing w:val="0"/>
                      <w:sz w:val="21"/>
                      <w:highlight w:val="none"/>
                      <w:shd w:val="clear" w:color="auto" w:fill="FFFFFF"/>
                    </w:rPr>
                    <w:t>e)收集驱动电机总成内残余冷却液后，拆除驱动电机</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286AD564">
                  <w:pPr>
                    <w:pStyle w:val="25"/>
                    <w:snapToGrid w:val="0"/>
                    <w:spacing w:before="0" w:beforeLines="0" w:beforeAutospacing="0" w:after="0" w:afterLines="0" w:afterAutospacing="0" w:line="240" w:lineRule="auto"/>
                    <w:ind w:left="0"/>
                    <w:rPr>
                      <w:rFonts w:hint="default" w:ascii="Times New Roman" w:hAnsi="Times New Roman" w:eastAsia="宋体"/>
                      <w:color w:val="auto"/>
                      <w:spacing w:val="0"/>
                      <w:sz w:val="21"/>
                      <w:highlight w:val="none"/>
                      <w:shd w:val="clear" w:color="auto" w:fill="FFFFFF"/>
                      <w:lang w:val="en-US" w:eastAsia="zh-CN"/>
                    </w:rPr>
                  </w:pPr>
                  <w:r>
                    <w:rPr>
                      <w:rFonts w:hint="eastAsia" w:ascii="Times New Roman" w:hAnsi="Times New Roman" w:eastAsia="宋体"/>
                      <w:color w:val="auto"/>
                      <w:spacing w:val="0"/>
                      <w:sz w:val="21"/>
                      <w:highlight w:val="none"/>
                      <w:shd w:val="clear" w:color="auto" w:fill="FFFFFF"/>
                    </w:rPr>
                    <w:t>厂内</w:t>
                  </w:r>
                  <w:r>
                    <w:rPr>
                      <w:rFonts w:hint="eastAsia" w:ascii="Times New Roman" w:hAnsi="Times New Roman" w:eastAsia="宋体"/>
                      <w:color w:val="auto"/>
                      <w:spacing w:val="0"/>
                      <w:sz w:val="21"/>
                      <w:highlight w:val="none"/>
                      <w:shd w:val="clear" w:color="auto" w:fill="FFFFFF"/>
                      <w:lang w:val="en-US" w:eastAsia="zh-CN"/>
                    </w:rPr>
                    <w:t>仅从报废机动车上拆下蓄电池，</w:t>
                  </w:r>
                  <w:r>
                    <w:rPr>
                      <w:rFonts w:ascii="Times New Roman" w:hAnsi="Times New Roman" w:eastAsia="宋体"/>
                      <w:color w:val="auto"/>
                      <w:spacing w:val="0"/>
                      <w:sz w:val="21"/>
                      <w:highlight w:val="none"/>
                      <w:shd w:val="clear" w:color="auto" w:fill="FFFFFF"/>
                    </w:rPr>
                    <w:t>不</w:t>
                  </w:r>
                  <w:r>
                    <w:rPr>
                      <w:rFonts w:hint="eastAsia" w:ascii="Times New Roman" w:hAnsi="Times New Roman" w:eastAsia="宋体"/>
                      <w:color w:val="auto"/>
                      <w:spacing w:val="0"/>
                      <w:sz w:val="21"/>
                      <w:highlight w:val="none"/>
                      <w:shd w:val="clear" w:color="auto" w:fill="FFFFFF"/>
                      <w:lang w:val="en-US" w:eastAsia="zh-CN"/>
                    </w:rPr>
                    <w:t>进行动力蓄电池包拆分等</w:t>
                  </w:r>
                  <w:r>
                    <w:rPr>
                      <w:rFonts w:hint="eastAsia" w:ascii="Times New Roman" w:hAnsi="Times New Roman" w:eastAsia="宋体"/>
                      <w:color w:val="auto"/>
                      <w:spacing w:val="0"/>
                      <w:sz w:val="21"/>
                      <w:highlight w:val="none"/>
                      <w:shd w:val="clear" w:color="auto" w:fill="FFFFFF"/>
                    </w:rPr>
                    <w:t>蓄电池</w:t>
                  </w:r>
                  <w:r>
                    <w:rPr>
                      <w:rFonts w:hint="eastAsia" w:ascii="Times New Roman" w:hAnsi="Times New Roman" w:eastAsia="宋体"/>
                      <w:color w:val="auto"/>
                      <w:spacing w:val="0"/>
                      <w:sz w:val="21"/>
                      <w:highlight w:val="none"/>
                      <w:shd w:val="clear" w:color="auto" w:fill="FFFFFF"/>
                      <w:lang w:val="en-US" w:eastAsia="zh-CN"/>
                    </w:rPr>
                    <w:t>拆解，废冷却液等污染物产生</w:t>
                  </w:r>
                </w:p>
              </w:tc>
              <w:tc>
                <w:tcPr>
                  <w:tcW w:w="259" w:type="pct"/>
                  <w:noWrap w:val="0"/>
                  <w:vAlign w:val="center"/>
                </w:tcPr>
                <w:p w14:paraId="306C1029">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78441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 w:type="pct"/>
                  <w:vMerge w:val="continue"/>
                  <w:noWrap w:val="0"/>
                  <w:vAlign w:val="center"/>
                </w:tcPr>
                <w:p w14:paraId="12CD96E4">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178" w:type="pct"/>
                  <w:vMerge w:val="continue"/>
                  <w:noWrap w:val="0"/>
                  <w:vAlign w:val="center"/>
                </w:tcPr>
                <w:p w14:paraId="2CC547FA">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2342" w:type="pct"/>
                  <w:noWrap w:val="0"/>
                  <w:vAlign w:val="center"/>
                </w:tcPr>
                <w:p w14:paraId="59884BEE">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7.3.3</w:t>
                  </w:r>
                  <w:r>
                    <w:rPr>
                      <w:rFonts w:ascii="Times New Roman" w:hAnsi="Times New Roman" w:eastAsia="宋体"/>
                      <w:color w:val="auto"/>
                      <w:spacing w:val="0"/>
                      <w:sz w:val="21"/>
                      <w:highlight w:val="none"/>
                      <w:shd w:val="clear" w:color="auto" w:fill="FFFFFF"/>
                    </w:rPr>
                    <w:t>拆卸动力蓄电池后车体的其他预处理和拆解技术要求分别按照7.2.1和7.2.2的规定开展</w:t>
                  </w:r>
                  <w:r>
                    <w:rPr>
                      <w:rFonts w:hint="eastAsia" w:ascii="Times New Roman" w:hAnsi="Times New Roman" w:eastAsia="宋体"/>
                      <w:color w:val="auto"/>
                      <w:spacing w:val="0"/>
                      <w:sz w:val="21"/>
                      <w:highlight w:val="none"/>
                      <w:shd w:val="clear" w:color="auto" w:fill="FFFFFF"/>
                    </w:rPr>
                    <w:t>。</w:t>
                  </w:r>
                </w:p>
              </w:tc>
              <w:tc>
                <w:tcPr>
                  <w:tcW w:w="1987" w:type="pct"/>
                  <w:noWrap w:val="0"/>
                  <w:vAlign w:val="center"/>
                </w:tcPr>
                <w:p w14:paraId="7C1240E1">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根据项目工艺流程</w:t>
                  </w:r>
                  <w:r>
                    <w:rPr>
                      <w:rFonts w:hint="eastAsia" w:ascii="Times New Roman" w:hAnsi="Times New Roman" w:eastAsia="宋体"/>
                      <w:color w:val="auto"/>
                      <w:spacing w:val="0"/>
                      <w:sz w:val="21"/>
                      <w:highlight w:val="none"/>
                      <w:shd w:val="clear" w:color="auto" w:fill="FFFFFF"/>
                      <w:lang w:eastAsia="zh-CN"/>
                    </w:rPr>
                    <w:t>分析</w:t>
                  </w:r>
                  <w:r>
                    <w:rPr>
                      <w:rFonts w:hint="eastAsia" w:ascii="Times New Roman" w:hAnsi="Times New Roman" w:eastAsia="宋体"/>
                      <w:color w:val="auto"/>
                      <w:spacing w:val="0"/>
                      <w:sz w:val="21"/>
                      <w:highlight w:val="none"/>
                      <w:shd w:val="clear" w:color="auto" w:fill="FFFFFF"/>
                    </w:rPr>
                    <w:t>，项目拆解过程</w:t>
                  </w:r>
                  <w:r>
                    <w:rPr>
                      <w:rFonts w:ascii="Times New Roman" w:hAnsi="Times New Roman" w:eastAsia="宋体"/>
                      <w:color w:val="auto"/>
                      <w:spacing w:val="0"/>
                      <w:sz w:val="21"/>
                      <w:highlight w:val="none"/>
                      <w:shd w:val="clear" w:color="auto" w:fill="FFFFFF"/>
                    </w:rPr>
                    <w:t>严格按照要求进行</w:t>
                  </w:r>
                  <w:r>
                    <w:rPr>
                      <w:rFonts w:hint="eastAsia" w:ascii="Times New Roman" w:hAnsi="Times New Roman" w:eastAsia="宋体"/>
                      <w:color w:val="auto"/>
                      <w:spacing w:val="0"/>
                      <w:sz w:val="21"/>
                      <w:highlight w:val="none"/>
                      <w:shd w:val="clear" w:color="auto" w:fill="FFFFFF"/>
                    </w:rPr>
                    <w:t>。</w:t>
                  </w:r>
                </w:p>
              </w:tc>
              <w:tc>
                <w:tcPr>
                  <w:tcW w:w="259" w:type="pct"/>
                  <w:noWrap w:val="0"/>
                  <w:vAlign w:val="center"/>
                </w:tcPr>
                <w:p w14:paraId="5098B4A1">
                  <w:pPr>
                    <w:pStyle w:val="25"/>
                    <w:snapToGrid w:val="0"/>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bl>
          <w:p w14:paraId="0CADB20A">
            <w:pPr>
              <w:pStyle w:val="27"/>
              <w:keepNext w:val="0"/>
              <w:keepLines w:val="0"/>
              <w:pageBreakBefore w:val="0"/>
              <w:widowControl w:val="0"/>
              <w:kinsoku/>
              <w:wordWrap/>
              <w:overflowPunct/>
              <w:topLinePunct w:val="0"/>
              <w:autoSpaceDE w:val="0"/>
              <w:autoSpaceDN w:val="0"/>
              <w:bidi w:val="0"/>
              <w:adjustRightInd w:val="0"/>
              <w:snapToGrid w:val="0"/>
              <w:spacing w:before="0" w:after="0" w:line="240" w:lineRule="auto"/>
              <w:ind w:right="113"/>
              <w:jc w:val="both"/>
              <w:textAlignment w:val="baseline"/>
              <w:rPr>
                <w:rFonts w:hint="default" w:ascii="Times New Roman" w:hAnsi="Times New Roman" w:eastAsia="宋体" w:cs="Times New Roman"/>
                <w:color w:val="auto"/>
                <w:spacing w:val="-12"/>
                <w:kern w:val="0"/>
                <w:sz w:val="21"/>
                <w:szCs w:val="24"/>
                <w:highlight w:val="none"/>
                <w:shd w:val="clear" w:color="auto" w:fill="FFFFFF"/>
                <w:lang w:val="en-US" w:eastAsia="zh-CN" w:bidi="he-IL"/>
              </w:rPr>
            </w:pPr>
            <w:r>
              <w:rPr>
                <w:rFonts w:hint="eastAsia" w:ascii="Times New Roman" w:hAnsi="Times New Roman" w:eastAsia="宋体" w:cs="Times New Roman"/>
                <w:color w:val="auto"/>
                <w:spacing w:val="-12"/>
                <w:kern w:val="0"/>
                <w:sz w:val="21"/>
                <w:szCs w:val="24"/>
                <w:highlight w:val="none"/>
                <w:shd w:val="clear" w:color="auto" w:fill="FFFFFF"/>
                <w:lang w:val="en-US" w:eastAsia="zh-CN" w:bidi="he-IL"/>
              </w:rPr>
              <w:t>注：*为标准规定必须执行的强制性标准，其余为推荐性标准。</w:t>
            </w:r>
          </w:p>
          <w:p w14:paraId="43FC0D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p>
          <w:p w14:paraId="420552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14:paraId="30ACB6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t>与《报废机动车拆解企业污染控制技术规范》（HJ348-2022）的相符性分析</w:t>
            </w:r>
          </w:p>
          <w:p w14:paraId="6DE566ED">
            <w:pPr>
              <w:spacing w:before="120" w:beforeLines="50"/>
              <w:jc w:val="center"/>
              <w:rPr>
                <w:rFonts w:hint="default" w:ascii="Times New Roman" w:hAnsi="Times New Roman" w:eastAsia="黑体" w:cs="Times New Roman"/>
                <w:color w:val="auto"/>
                <w:sz w:val="21"/>
                <w:szCs w:val="21"/>
                <w:lang w:eastAsia="zh-CN"/>
              </w:rPr>
            </w:pPr>
            <w:r>
              <w:rPr>
                <w:rFonts w:hint="default" w:ascii="Times New Roman" w:hAnsi="Times New Roman" w:eastAsia="黑体" w:cs="Times New Roman"/>
                <w:color w:val="auto"/>
                <w:sz w:val="21"/>
                <w:szCs w:val="21"/>
                <w:lang w:eastAsia="zh-CN"/>
              </w:rPr>
              <w:t>表</w:t>
            </w:r>
            <w:r>
              <w:rPr>
                <w:rFonts w:hint="eastAsia" w:ascii="Times New Roman" w:hAnsi="Times New Roman" w:eastAsia="黑体" w:cs="Times New Roman"/>
                <w:color w:val="auto"/>
                <w:sz w:val="21"/>
                <w:szCs w:val="21"/>
                <w:lang w:eastAsia="zh-CN"/>
              </w:rPr>
              <w:t>1-</w:t>
            </w:r>
            <w:r>
              <w:rPr>
                <w:rFonts w:hint="eastAsia" w:ascii="Times New Roman" w:hAnsi="Times New Roman" w:eastAsia="黑体" w:cs="Times New Roman"/>
                <w:color w:val="auto"/>
                <w:sz w:val="21"/>
                <w:szCs w:val="21"/>
                <w:lang w:val="en-US" w:eastAsia="zh-CN"/>
              </w:rPr>
              <w:t>6</w:t>
            </w:r>
            <w:r>
              <w:rPr>
                <w:rFonts w:hint="eastAsia" w:ascii="Times New Roman" w:hAnsi="Times New Roman" w:eastAsia="黑体" w:cs="Times New Roman"/>
                <w:color w:val="auto"/>
                <w:sz w:val="21"/>
                <w:szCs w:val="21"/>
                <w:lang w:eastAsia="zh-CN"/>
              </w:rPr>
              <w:t xml:space="preserve">  </w:t>
            </w:r>
            <w:r>
              <w:rPr>
                <w:rFonts w:hint="default" w:ascii="Times New Roman" w:hAnsi="Times New Roman" w:eastAsia="黑体" w:cs="Times New Roman"/>
                <w:color w:val="auto"/>
                <w:sz w:val="21"/>
                <w:szCs w:val="21"/>
                <w:lang w:eastAsia="zh-CN"/>
              </w:rPr>
              <w:t>项目与《</w:t>
            </w:r>
            <w:r>
              <w:rPr>
                <w:rFonts w:hint="eastAsia" w:ascii="Times New Roman" w:hAnsi="Times New Roman" w:eastAsia="黑体" w:cs="Times New Roman"/>
                <w:color w:val="auto"/>
                <w:sz w:val="21"/>
                <w:szCs w:val="21"/>
                <w:lang w:eastAsia="zh-CN"/>
              </w:rPr>
              <w:t>报废机动车拆解企业污染控制技术规范</w:t>
            </w:r>
            <w:r>
              <w:rPr>
                <w:rFonts w:hint="default" w:ascii="Times New Roman" w:hAnsi="Times New Roman" w:eastAsia="黑体" w:cs="Times New Roman"/>
                <w:color w:val="auto"/>
                <w:sz w:val="21"/>
                <w:szCs w:val="21"/>
                <w:lang w:eastAsia="zh-CN"/>
              </w:rPr>
              <w:t>》（HJ348-</w:t>
            </w:r>
            <w:r>
              <w:rPr>
                <w:rFonts w:hint="eastAsia" w:ascii="Times New Roman" w:hAnsi="Times New Roman" w:eastAsia="黑体" w:cs="Times New Roman"/>
                <w:color w:val="auto"/>
                <w:sz w:val="21"/>
                <w:szCs w:val="21"/>
                <w:lang w:eastAsia="zh-CN"/>
              </w:rPr>
              <w:t>2022</w:t>
            </w:r>
            <w:r>
              <w:rPr>
                <w:rFonts w:hint="default" w:ascii="Times New Roman" w:hAnsi="Times New Roman" w:eastAsia="黑体" w:cs="Times New Roman"/>
                <w:color w:val="auto"/>
                <w:sz w:val="21"/>
                <w:szCs w:val="21"/>
                <w:lang w:eastAsia="zh-CN"/>
              </w:rPr>
              <w:t>）的相符性分析</w:t>
            </w:r>
          </w:p>
          <w:tbl>
            <w:tblPr>
              <w:tblStyle w:val="20"/>
              <w:tblW w:w="49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4"/>
              <w:gridCol w:w="640"/>
              <w:gridCol w:w="5809"/>
              <w:gridCol w:w="5051"/>
              <w:gridCol w:w="617"/>
            </w:tblGrid>
            <w:tr w14:paraId="07106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66" w:type="pct"/>
                  <w:gridSpan w:val="3"/>
                  <w:noWrap w:val="0"/>
                  <w:vAlign w:val="center"/>
                </w:tcPr>
                <w:p w14:paraId="4E1963B2">
                  <w:pPr>
                    <w:pStyle w:val="25"/>
                    <w:spacing w:before="0" w:beforeLines="0" w:beforeAutospacing="0" w:after="0" w:afterLines="0" w:afterAutospacing="0" w:line="240" w:lineRule="auto"/>
                    <w:ind w:left="0"/>
                    <w:rPr>
                      <w:rFonts w:ascii="Times New Roman" w:hAnsi="Times New Roman" w:eastAsia="宋体"/>
                      <w:b/>
                      <w:bCs/>
                      <w:color w:val="auto"/>
                      <w:spacing w:val="0"/>
                      <w:sz w:val="21"/>
                      <w:highlight w:val="none"/>
                      <w:shd w:val="clear" w:color="auto" w:fill="FFFFFF"/>
                    </w:rPr>
                  </w:pPr>
                  <w:r>
                    <w:rPr>
                      <w:rFonts w:hint="eastAsia" w:ascii="Times New Roman" w:hAnsi="Times New Roman" w:eastAsia="宋体"/>
                      <w:b/>
                      <w:bCs/>
                      <w:color w:val="auto"/>
                      <w:spacing w:val="0"/>
                      <w:sz w:val="21"/>
                      <w:highlight w:val="none"/>
                      <w:shd w:val="clear" w:color="auto" w:fill="FFFFFF"/>
                    </w:rPr>
                    <w:t>《报废机动车拆解企业污染控制技术规范》（HJ348-2022）要求摘录</w:t>
                  </w:r>
                </w:p>
              </w:tc>
              <w:tc>
                <w:tcPr>
                  <w:tcW w:w="1989" w:type="pct"/>
                  <w:noWrap w:val="0"/>
                  <w:vAlign w:val="center"/>
                </w:tcPr>
                <w:p w14:paraId="205B0538">
                  <w:pPr>
                    <w:pStyle w:val="25"/>
                    <w:spacing w:before="0" w:beforeLines="0" w:beforeAutospacing="0" w:after="0" w:afterLines="0" w:afterAutospacing="0" w:line="240" w:lineRule="auto"/>
                    <w:ind w:left="0"/>
                    <w:rPr>
                      <w:rFonts w:ascii="Times New Roman" w:hAnsi="Times New Roman" w:eastAsia="宋体"/>
                      <w:b/>
                      <w:bCs/>
                      <w:color w:val="auto"/>
                      <w:spacing w:val="0"/>
                      <w:sz w:val="21"/>
                      <w:highlight w:val="none"/>
                      <w:shd w:val="clear" w:color="auto" w:fill="FFFFFF"/>
                    </w:rPr>
                  </w:pPr>
                  <w:r>
                    <w:rPr>
                      <w:rFonts w:ascii="Times New Roman" w:hAnsi="Times New Roman" w:eastAsia="宋体"/>
                      <w:b/>
                      <w:bCs/>
                      <w:color w:val="auto"/>
                      <w:spacing w:val="0"/>
                      <w:sz w:val="21"/>
                      <w:highlight w:val="none"/>
                      <w:shd w:val="clear" w:color="auto" w:fill="FFFFFF"/>
                    </w:rPr>
                    <w:t>本项目拟建设情况</w:t>
                  </w:r>
                </w:p>
              </w:tc>
              <w:tc>
                <w:tcPr>
                  <w:tcW w:w="243" w:type="pct"/>
                  <w:noWrap w:val="0"/>
                  <w:vAlign w:val="center"/>
                </w:tcPr>
                <w:p w14:paraId="5E9BE3A7">
                  <w:pPr>
                    <w:pStyle w:val="25"/>
                    <w:spacing w:before="0" w:beforeLines="0" w:beforeAutospacing="0" w:after="0" w:afterLines="0" w:afterAutospacing="0" w:line="240" w:lineRule="auto"/>
                    <w:ind w:left="0"/>
                    <w:rPr>
                      <w:rFonts w:ascii="Times New Roman" w:hAnsi="Times New Roman" w:eastAsia="宋体"/>
                      <w:b/>
                      <w:bCs/>
                      <w:color w:val="auto"/>
                      <w:spacing w:val="0"/>
                      <w:sz w:val="21"/>
                      <w:highlight w:val="none"/>
                      <w:shd w:val="clear" w:color="auto" w:fill="FFFFFF"/>
                    </w:rPr>
                  </w:pPr>
                  <w:r>
                    <w:rPr>
                      <w:rFonts w:ascii="Times New Roman" w:hAnsi="Times New Roman" w:eastAsia="宋体"/>
                      <w:b/>
                      <w:bCs/>
                      <w:color w:val="auto"/>
                      <w:spacing w:val="0"/>
                      <w:sz w:val="21"/>
                      <w:highlight w:val="none"/>
                      <w:shd w:val="clear" w:color="auto" w:fill="FFFFFF"/>
                    </w:rPr>
                    <w:t>结论</w:t>
                  </w:r>
                </w:p>
              </w:tc>
            </w:tr>
            <w:tr w14:paraId="053DB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5"/>
                  <w:noWrap w:val="0"/>
                  <w:vAlign w:val="center"/>
                </w:tcPr>
                <w:p w14:paraId="3C17B087">
                  <w:pPr>
                    <w:pStyle w:val="25"/>
                    <w:spacing w:before="0" w:beforeLines="0" w:beforeAutospacing="0" w:after="0" w:afterLines="0" w:afterAutospacing="0" w:line="240" w:lineRule="auto"/>
                    <w:ind w:left="0"/>
                    <w:jc w:val="left"/>
                    <w:rPr>
                      <w:rFonts w:ascii="Times New Roman" w:hAnsi="Times New Roman" w:eastAsia="宋体"/>
                      <w:b/>
                      <w:bCs/>
                      <w:color w:val="auto"/>
                      <w:spacing w:val="0"/>
                      <w:sz w:val="21"/>
                      <w:highlight w:val="none"/>
                      <w:shd w:val="clear" w:color="auto" w:fill="FFFFFF"/>
                    </w:rPr>
                  </w:pPr>
                  <w:r>
                    <w:rPr>
                      <w:rFonts w:hint="eastAsia" w:ascii="Times New Roman" w:hAnsi="Times New Roman" w:eastAsia="宋体"/>
                      <w:b/>
                      <w:bCs/>
                      <w:color w:val="auto"/>
                      <w:spacing w:val="0"/>
                      <w:sz w:val="21"/>
                      <w:highlight w:val="none"/>
                      <w:shd w:val="clear" w:color="auto" w:fill="FFFFFF"/>
                    </w:rPr>
                    <w:t>4、总体要求</w:t>
                  </w:r>
                </w:p>
              </w:tc>
            </w:tr>
            <w:tr w14:paraId="1B779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0B336FF3">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4.1</w:t>
                  </w:r>
                </w:p>
              </w:tc>
              <w:tc>
                <w:tcPr>
                  <w:tcW w:w="2540" w:type="pct"/>
                  <w:gridSpan w:val="2"/>
                  <w:noWrap w:val="0"/>
                  <w:vAlign w:val="center"/>
                </w:tcPr>
                <w:p w14:paraId="4AC5DEDC">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报废机动车的拆解应遵循减量化、资源化、无害化的原则。报废机动车回收拆解企业应优先采用资源回收率高、污染物排放量少的工艺和设备，防范二次污染，实现减污降碳协同增效。</w:t>
                  </w:r>
                </w:p>
              </w:tc>
              <w:tc>
                <w:tcPr>
                  <w:tcW w:w="1989" w:type="pct"/>
                  <w:noWrap w:val="0"/>
                  <w:vAlign w:val="center"/>
                </w:tcPr>
                <w:p w14:paraId="423BBF7C">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项目采用国内先进工艺，</w:t>
                  </w:r>
                  <w:r>
                    <w:rPr>
                      <w:rFonts w:hint="eastAsia" w:ascii="Times New Roman" w:hAnsi="Times New Roman" w:eastAsia="宋体"/>
                      <w:color w:val="auto"/>
                      <w:spacing w:val="0"/>
                      <w:sz w:val="21"/>
                      <w:highlight w:val="none"/>
                      <w:shd w:val="clear" w:color="auto" w:fill="FFFFFF"/>
                      <w:lang w:eastAsia="zh-CN"/>
                    </w:rPr>
                    <w:t>根据后文物料平衡分析，回收率可达</w:t>
                  </w:r>
                  <w:r>
                    <w:rPr>
                      <w:rFonts w:hint="eastAsia" w:ascii="Times New Roman" w:hAnsi="Times New Roman" w:eastAsia="宋体"/>
                      <w:color w:val="auto"/>
                      <w:spacing w:val="0"/>
                      <w:sz w:val="21"/>
                      <w:highlight w:val="none"/>
                      <w:shd w:val="clear" w:color="auto" w:fill="FFFFFF"/>
                      <w:lang w:val="en-US" w:eastAsia="zh-CN"/>
                    </w:rPr>
                    <w:t>约97%</w:t>
                  </w:r>
                  <w:r>
                    <w:rPr>
                      <w:rFonts w:hint="eastAsia" w:ascii="Times New Roman" w:hAnsi="Times New Roman" w:eastAsia="宋体"/>
                      <w:color w:val="auto"/>
                      <w:spacing w:val="0"/>
                      <w:sz w:val="21"/>
                      <w:highlight w:val="none"/>
                      <w:shd w:val="clear" w:color="auto" w:fill="FFFFFF"/>
                    </w:rPr>
                    <w:t>，</w:t>
                  </w:r>
                  <w:r>
                    <w:rPr>
                      <w:rFonts w:hint="eastAsia" w:ascii="Times New Roman" w:hAnsi="Times New Roman" w:eastAsia="宋体"/>
                      <w:color w:val="auto"/>
                      <w:spacing w:val="0"/>
                      <w:sz w:val="21"/>
                      <w:highlight w:val="none"/>
                      <w:shd w:val="clear" w:color="auto" w:fill="FFFFFF"/>
                      <w:lang w:eastAsia="zh-CN"/>
                    </w:rPr>
                    <w:t>工艺</w:t>
                  </w:r>
                  <w:r>
                    <w:rPr>
                      <w:rFonts w:hint="eastAsia" w:ascii="Times New Roman" w:hAnsi="Times New Roman" w:eastAsia="宋体"/>
                      <w:color w:val="auto"/>
                      <w:spacing w:val="0"/>
                      <w:sz w:val="21"/>
                      <w:highlight w:val="none"/>
                      <w:shd w:val="clear" w:color="auto" w:fill="FFFFFF"/>
                    </w:rPr>
                    <w:t>污染排放量少，同时配套环保治理设施防范二次污染，使用高效先进设备，采用清洁电能，实现减污降碳协同增效。</w:t>
                  </w:r>
                </w:p>
              </w:tc>
              <w:tc>
                <w:tcPr>
                  <w:tcW w:w="243" w:type="pct"/>
                  <w:noWrap w:val="0"/>
                  <w:vAlign w:val="center"/>
                </w:tcPr>
                <w:p w14:paraId="362030F4">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2F44D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222165ED">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4.2</w:t>
                  </w:r>
                </w:p>
              </w:tc>
              <w:tc>
                <w:tcPr>
                  <w:tcW w:w="2540" w:type="pct"/>
                  <w:gridSpan w:val="2"/>
                  <w:noWrap w:val="0"/>
                  <w:vAlign w:val="center"/>
                </w:tcPr>
                <w:p w14:paraId="6938F631">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报废机动车拆解建设项目选址不应位于国务院和国务院有关主管部门及省、自治区、直辖市人民政府划定的生态保护红线区域、永久基本农田和其他需要特别保护的区域内</w:t>
                  </w:r>
                </w:p>
              </w:tc>
              <w:tc>
                <w:tcPr>
                  <w:tcW w:w="1989" w:type="pct"/>
                  <w:noWrap w:val="0"/>
                  <w:vAlign w:val="center"/>
                </w:tcPr>
                <w:p w14:paraId="3694BE1A">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rPr>
                    <w:t>项目</w:t>
                  </w:r>
                  <w:r>
                    <w:rPr>
                      <w:rFonts w:hint="eastAsia" w:ascii="Times New Roman" w:hAnsi="Times New Roman" w:eastAsia="宋体"/>
                      <w:color w:val="auto"/>
                      <w:spacing w:val="0"/>
                      <w:sz w:val="21"/>
                      <w:highlight w:val="none"/>
                      <w:shd w:val="clear" w:color="auto" w:fill="FFFFFF"/>
                      <w:lang w:eastAsia="zh-CN"/>
                    </w:rPr>
                    <w:t>租用现有工业区，选址</w:t>
                  </w:r>
                  <w:r>
                    <w:rPr>
                      <w:rFonts w:hint="eastAsia" w:ascii="Times New Roman" w:hAnsi="Times New Roman" w:eastAsia="宋体"/>
                      <w:color w:val="auto"/>
                      <w:spacing w:val="0"/>
                      <w:sz w:val="21"/>
                      <w:highlight w:val="none"/>
                      <w:shd w:val="clear" w:color="auto" w:fill="FFFFFF"/>
                    </w:rPr>
                    <w:t>不位于生态保护红线区域、永久基本农田和其他需要特别保护的区域内</w:t>
                  </w:r>
                  <w:r>
                    <w:rPr>
                      <w:rFonts w:hint="eastAsia" w:ascii="Times New Roman" w:hAnsi="Times New Roman" w:eastAsia="宋体"/>
                      <w:color w:val="auto"/>
                      <w:spacing w:val="0"/>
                      <w:sz w:val="21"/>
                      <w:highlight w:val="none"/>
                      <w:shd w:val="clear" w:color="auto" w:fill="FFFFFF"/>
                      <w:lang w:eastAsia="zh-CN"/>
                    </w:rPr>
                    <w:t>，不属于禁止建设区域。</w:t>
                  </w:r>
                </w:p>
              </w:tc>
              <w:tc>
                <w:tcPr>
                  <w:tcW w:w="243" w:type="pct"/>
                  <w:noWrap w:val="0"/>
                  <w:vAlign w:val="center"/>
                </w:tcPr>
                <w:p w14:paraId="74F052ED">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5FBF4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2DD29CAC">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4.3</w:t>
                  </w:r>
                </w:p>
              </w:tc>
              <w:tc>
                <w:tcPr>
                  <w:tcW w:w="2540" w:type="pct"/>
                  <w:gridSpan w:val="2"/>
                  <w:noWrap w:val="0"/>
                  <w:vAlign w:val="center"/>
                </w:tcPr>
                <w:p w14:paraId="7C5ECB64">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报废机动车回收拆解企业应具备集中的运营场地，并实行封闭式规范管理。</w:t>
                  </w:r>
                </w:p>
              </w:tc>
              <w:tc>
                <w:tcPr>
                  <w:tcW w:w="1989" w:type="pct"/>
                  <w:noWrap w:val="0"/>
                  <w:vAlign w:val="center"/>
                </w:tcPr>
                <w:p w14:paraId="61DA96FD">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项目</w:t>
                  </w:r>
                  <w:r>
                    <w:rPr>
                      <w:rFonts w:hint="eastAsia" w:ascii="Times New Roman" w:hAnsi="Times New Roman" w:eastAsia="宋体"/>
                      <w:color w:val="auto"/>
                      <w:spacing w:val="0"/>
                      <w:sz w:val="21"/>
                      <w:highlight w:val="none"/>
                      <w:shd w:val="clear" w:color="auto" w:fill="FFFFFF"/>
                    </w:rPr>
                    <w:t>所在厂区建有围墙，</w:t>
                  </w:r>
                  <w:r>
                    <w:rPr>
                      <w:rFonts w:hint="eastAsia" w:ascii="Times New Roman" w:hAnsi="Times New Roman" w:eastAsia="宋体"/>
                      <w:color w:val="auto"/>
                      <w:spacing w:val="0"/>
                      <w:sz w:val="21"/>
                      <w:highlight w:val="none"/>
                      <w:shd w:val="clear" w:color="auto" w:fill="FFFFFF"/>
                      <w:lang w:eastAsia="zh-CN"/>
                    </w:rPr>
                    <w:t>厂区为本单位独立使用</w:t>
                  </w:r>
                  <w:r>
                    <w:rPr>
                      <w:rFonts w:hint="eastAsia" w:ascii="Times New Roman" w:hAnsi="Times New Roman" w:eastAsia="宋体"/>
                      <w:color w:val="auto"/>
                      <w:spacing w:val="0"/>
                      <w:sz w:val="21"/>
                      <w:highlight w:val="none"/>
                      <w:shd w:val="clear" w:color="auto" w:fill="FFFFFF"/>
                    </w:rPr>
                    <w:t>，进出口设有门，禁止无关人员进入。</w:t>
                  </w:r>
                </w:p>
              </w:tc>
              <w:tc>
                <w:tcPr>
                  <w:tcW w:w="243" w:type="pct"/>
                  <w:noWrap w:val="0"/>
                  <w:vAlign w:val="center"/>
                </w:tcPr>
                <w:p w14:paraId="25199F30">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74AB2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4EF474F3">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4.4</w:t>
                  </w:r>
                </w:p>
              </w:tc>
              <w:tc>
                <w:tcPr>
                  <w:tcW w:w="2540" w:type="pct"/>
                  <w:gridSpan w:val="2"/>
                  <w:noWrap w:val="0"/>
                  <w:vAlign w:val="center"/>
                </w:tcPr>
                <w:p w14:paraId="7A3F28A9">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应根据HJ1034、HJ1200等规定取得排污许可证，并按照排污许可证管理要求进行规范排污。产生的废气、废水、噪声、固体废物等排放应满足国家和地方的污染物排放标准与排污许可要求，产生的固体废物应按照国家有关环境保护规定和标准要求妥善贮存、利用和处置。</w:t>
                  </w:r>
                </w:p>
              </w:tc>
              <w:tc>
                <w:tcPr>
                  <w:tcW w:w="1989" w:type="pct"/>
                  <w:noWrap w:val="0"/>
                  <w:vAlign w:val="center"/>
                </w:tcPr>
                <w:p w14:paraId="75C96021">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eastAsia="zh-CN"/>
                    </w:rPr>
                    <w:t>项目将按照相关规定</w:t>
                  </w:r>
                  <w:r>
                    <w:rPr>
                      <w:rFonts w:hint="eastAsia" w:ascii="Times New Roman" w:hAnsi="Times New Roman" w:eastAsia="宋体"/>
                      <w:color w:val="auto"/>
                      <w:spacing w:val="0"/>
                      <w:sz w:val="21"/>
                      <w:highlight w:val="none"/>
                      <w:shd w:val="clear" w:color="auto" w:fill="FFFFFF"/>
                    </w:rPr>
                    <w:t>取得排污许可证，并按照排污许可证管理要求进行规范排污。经核算，项目产生的废气、废水、噪声均可满足相关排放标准，产生的固体废物分类按照国家有关环境保护规定和标准要求妥善贮存、利用和处置。</w:t>
                  </w:r>
                </w:p>
              </w:tc>
              <w:tc>
                <w:tcPr>
                  <w:tcW w:w="243" w:type="pct"/>
                  <w:noWrap w:val="0"/>
                  <w:vAlign w:val="center"/>
                </w:tcPr>
                <w:p w14:paraId="439AAF2D">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0545F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2770CED7">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4.5</w:t>
                  </w:r>
                </w:p>
              </w:tc>
              <w:tc>
                <w:tcPr>
                  <w:tcW w:w="2540" w:type="pct"/>
                  <w:gridSpan w:val="2"/>
                  <w:noWrap w:val="0"/>
                  <w:vAlign w:val="center"/>
                </w:tcPr>
                <w:p w14:paraId="6CCF44B3">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报废机动车回收拆解企业应依照《报废机动车回收管理办法实施细则》等相关要求向机动车生产企业获取报废机动车拆解指导手册等相关技术信息，依法开展报废机动车拆解工作。</w:t>
                  </w:r>
                </w:p>
              </w:tc>
              <w:tc>
                <w:tcPr>
                  <w:tcW w:w="1989" w:type="pct"/>
                  <w:noWrap w:val="0"/>
                  <w:vAlign w:val="center"/>
                </w:tcPr>
                <w:p w14:paraId="5B3037A9">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企业</w:t>
                  </w:r>
                  <w:r>
                    <w:rPr>
                      <w:rFonts w:hint="eastAsia" w:ascii="Times New Roman" w:hAnsi="Times New Roman" w:eastAsia="宋体"/>
                      <w:color w:val="auto"/>
                      <w:spacing w:val="0"/>
                      <w:sz w:val="21"/>
                      <w:highlight w:val="none"/>
                      <w:shd w:val="clear" w:color="auto" w:fill="FFFFFF"/>
                    </w:rPr>
                    <w:t>将按要求向</w:t>
                  </w:r>
                  <w:r>
                    <w:rPr>
                      <w:rFonts w:ascii="Times New Roman" w:hAnsi="Times New Roman" w:eastAsia="宋体"/>
                      <w:color w:val="auto"/>
                      <w:spacing w:val="0"/>
                      <w:sz w:val="21"/>
                      <w:highlight w:val="none"/>
                      <w:shd w:val="clear" w:color="auto" w:fill="FFFFFF"/>
                    </w:rPr>
                    <w:t>汽车生产企业获得《汽车拆解指导手册》及相关技术信息</w:t>
                  </w:r>
                  <w:r>
                    <w:rPr>
                      <w:rFonts w:hint="eastAsia" w:ascii="Times New Roman" w:hAnsi="Times New Roman" w:eastAsia="宋体"/>
                      <w:color w:val="auto"/>
                      <w:spacing w:val="0"/>
                      <w:sz w:val="21"/>
                      <w:highlight w:val="none"/>
                      <w:shd w:val="clear" w:color="auto" w:fill="FFFFFF"/>
                    </w:rPr>
                    <w:t>。</w:t>
                  </w:r>
                </w:p>
              </w:tc>
              <w:tc>
                <w:tcPr>
                  <w:tcW w:w="243" w:type="pct"/>
                  <w:noWrap w:val="0"/>
                  <w:vAlign w:val="center"/>
                </w:tcPr>
                <w:p w14:paraId="1ADD0356">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14731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7734E234">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4.6</w:t>
                  </w:r>
                </w:p>
              </w:tc>
              <w:tc>
                <w:tcPr>
                  <w:tcW w:w="2540" w:type="pct"/>
                  <w:gridSpan w:val="2"/>
                  <w:noWrap w:val="0"/>
                  <w:vAlign w:val="center"/>
                </w:tcPr>
                <w:p w14:paraId="11A8FE28">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报废机动车回收拆解企业应依据GB22128等相关规定开展拆解作业。不应露天拆解报废机动车，拆解</w:t>
                  </w:r>
                  <w:r>
                    <w:rPr>
                      <w:rFonts w:hint="eastAsia" w:ascii="Times New Roman" w:hAnsi="Times New Roman" w:eastAsia="宋体"/>
                      <w:color w:val="auto"/>
                      <w:spacing w:val="0"/>
                      <w:sz w:val="21"/>
                      <w:highlight w:val="none"/>
                      <w:shd w:val="clear" w:color="auto" w:fill="FFFFFF"/>
                      <w:lang w:eastAsia="zh-CN"/>
                    </w:rPr>
                    <w:t>产物</w:t>
                  </w:r>
                  <w:r>
                    <w:rPr>
                      <w:rFonts w:hint="eastAsia" w:ascii="Times New Roman" w:hAnsi="Times New Roman" w:eastAsia="宋体"/>
                      <w:color w:val="auto"/>
                      <w:spacing w:val="0"/>
                      <w:sz w:val="21"/>
                      <w:highlight w:val="none"/>
                      <w:shd w:val="clear" w:color="auto" w:fill="FFFFFF"/>
                    </w:rPr>
                    <w:t>不应露天堆放，不应对大气、土壤、地表水和地下水造成污染。</w:t>
                  </w:r>
                </w:p>
              </w:tc>
              <w:tc>
                <w:tcPr>
                  <w:tcW w:w="1989" w:type="pct"/>
                  <w:noWrap w:val="0"/>
                  <w:vAlign w:val="center"/>
                </w:tcPr>
                <w:p w14:paraId="14A27146">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本项目依据GB22128等相关规定开展拆解作业，拆解作业区位于厂房内，拆解下的可回收利用存放于仓库内，危废存放于规范化危废暂存间内，一般固废存放于一般固废暂存</w:t>
                  </w:r>
                  <w:r>
                    <w:rPr>
                      <w:rFonts w:hint="eastAsia" w:ascii="Times New Roman" w:hAnsi="Times New Roman" w:eastAsia="宋体"/>
                      <w:color w:val="auto"/>
                      <w:spacing w:val="0"/>
                      <w:sz w:val="21"/>
                      <w:highlight w:val="none"/>
                      <w:shd w:val="clear" w:color="auto" w:fill="FFFFFF"/>
                      <w:lang w:eastAsia="zh-CN"/>
                    </w:rPr>
                    <w:t>间</w:t>
                  </w:r>
                  <w:r>
                    <w:rPr>
                      <w:rFonts w:hint="eastAsia" w:ascii="Times New Roman" w:hAnsi="Times New Roman" w:eastAsia="宋体"/>
                      <w:color w:val="auto"/>
                      <w:spacing w:val="0"/>
                      <w:sz w:val="21"/>
                      <w:highlight w:val="none"/>
                      <w:shd w:val="clear" w:color="auto" w:fill="FFFFFF"/>
                    </w:rPr>
                    <w:t>，因此拆解作业和产污堆放均非露天；项目拟对全厂地面硬化且分区防渗，废气采取治理措施，</w:t>
                  </w:r>
                  <w:r>
                    <w:rPr>
                      <w:rFonts w:hint="eastAsia" w:ascii="Times New Roman" w:hAnsi="Times New Roman" w:eastAsia="宋体"/>
                      <w:color w:val="auto"/>
                      <w:spacing w:val="0"/>
                      <w:sz w:val="21"/>
                      <w:highlight w:val="none"/>
                      <w:shd w:val="clear" w:color="auto" w:fill="FFFFFF"/>
                      <w:lang w:val="en-US" w:eastAsia="zh-CN"/>
                    </w:rPr>
                    <w:t>作业区露天区域</w:t>
                  </w:r>
                  <w:r>
                    <w:rPr>
                      <w:rFonts w:hint="eastAsia" w:ascii="Times New Roman" w:hAnsi="Times New Roman" w:eastAsia="宋体"/>
                      <w:color w:val="auto"/>
                      <w:spacing w:val="0"/>
                      <w:sz w:val="21"/>
                      <w:highlight w:val="none"/>
                      <w:shd w:val="clear" w:color="auto" w:fill="FFFFFF"/>
                    </w:rPr>
                    <w:t>初期雨水</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lang w:val="en-US" w:eastAsia="zh-CN"/>
                    </w:rPr>
                    <w:t>清洁废水经处理后全部回用，不外排，生活污水</w:t>
                  </w:r>
                  <w:r>
                    <w:rPr>
                      <w:rFonts w:hint="eastAsia" w:ascii="Times New Roman" w:hAnsi="Times New Roman" w:eastAsia="宋体"/>
                      <w:color w:val="auto"/>
                      <w:spacing w:val="0"/>
                      <w:sz w:val="21"/>
                      <w:highlight w:val="none"/>
                      <w:shd w:val="clear" w:color="auto" w:fill="FFFFFF"/>
                    </w:rPr>
                    <w:t>经处理后排入</w:t>
                  </w:r>
                  <w:r>
                    <w:rPr>
                      <w:rFonts w:hint="eastAsia" w:ascii="Times New Roman" w:hAnsi="Times New Roman" w:eastAsia="宋体"/>
                      <w:color w:val="auto"/>
                      <w:spacing w:val="0"/>
                      <w:sz w:val="21"/>
                      <w:highlight w:val="none"/>
                      <w:shd w:val="clear" w:color="auto" w:fill="FFFFFF"/>
                      <w:lang w:eastAsia="zh-CN"/>
                    </w:rPr>
                    <w:t>松下镇山前村污水管网，进入松下镇山前村污水站集中处理，</w:t>
                  </w:r>
                  <w:r>
                    <w:rPr>
                      <w:rFonts w:hint="eastAsia" w:ascii="Times New Roman" w:hAnsi="Times New Roman" w:eastAsia="宋体"/>
                      <w:color w:val="auto"/>
                      <w:spacing w:val="0"/>
                      <w:sz w:val="21"/>
                      <w:highlight w:val="none"/>
                      <w:shd w:val="clear" w:color="auto" w:fill="FFFFFF"/>
                    </w:rPr>
                    <w:t>不对大气、土壤、地表水和地下水造成污染。</w:t>
                  </w:r>
                </w:p>
              </w:tc>
              <w:tc>
                <w:tcPr>
                  <w:tcW w:w="243" w:type="pct"/>
                  <w:noWrap w:val="0"/>
                  <w:vAlign w:val="center"/>
                </w:tcPr>
                <w:p w14:paraId="26644D5A">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3C89B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6E1BE40C">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4.7</w:t>
                  </w:r>
                </w:p>
              </w:tc>
              <w:tc>
                <w:tcPr>
                  <w:tcW w:w="2540" w:type="pct"/>
                  <w:gridSpan w:val="2"/>
                  <w:noWrap w:val="0"/>
                  <w:vAlign w:val="center"/>
                </w:tcPr>
                <w:p w14:paraId="6F4FDD63">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报废机动车回收拆解企业应具备与生产规模相匹配的环境保护设施，环境保护设施的设计、施工与运行应遵守“三同时”环境管理制度。</w:t>
                  </w:r>
                </w:p>
              </w:tc>
              <w:tc>
                <w:tcPr>
                  <w:tcW w:w="1989" w:type="pct"/>
                  <w:noWrap w:val="0"/>
                  <w:vAlign w:val="center"/>
                </w:tcPr>
                <w:p w14:paraId="56FA4B9E">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项目将采取与生产规模匹配的环保措施，将严格遵守“三同时”制度。</w:t>
                  </w:r>
                </w:p>
              </w:tc>
              <w:tc>
                <w:tcPr>
                  <w:tcW w:w="243" w:type="pct"/>
                  <w:noWrap w:val="0"/>
                  <w:vAlign w:val="center"/>
                </w:tcPr>
                <w:p w14:paraId="2468444A">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65F6E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33601BD2">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4.8</w:t>
                  </w:r>
                </w:p>
              </w:tc>
              <w:tc>
                <w:tcPr>
                  <w:tcW w:w="2540" w:type="pct"/>
                  <w:gridSpan w:val="2"/>
                  <w:noWrap w:val="0"/>
                  <w:vAlign w:val="center"/>
                </w:tcPr>
                <w:p w14:paraId="2980185D">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报废机动车回收拆解及贮存过程除满足环境保护相关要求外，还应符合国家安全生产、职业健康、交通运输、消防等法规标准的相关要求。</w:t>
                  </w:r>
                </w:p>
              </w:tc>
              <w:tc>
                <w:tcPr>
                  <w:tcW w:w="1989" w:type="pct"/>
                  <w:noWrap w:val="0"/>
                  <w:vAlign w:val="center"/>
                </w:tcPr>
                <w:p w14:paraId="56CA14B1">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项目在满足环境保护相关要求外，建设单位还根据国家安全生产、职业健康、交通运输、消防等法规标准进行设计。</w:t>
                  </w:r>
                </w:p>
              </w:tc>
              <w:tc>
                <w:tcPr>
                  <w:tcW w:w="243" w:type="pct"/>
                  <w:noWrap w:val="0"/>
                  <w:vAlign w:val="center"/>
                </w:tcPr>
                <w:p w14:paraId="785C2E6C">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17509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14:paraId="079B9440">
                  <w:pPr>
                    <w:pStyle w:val="25"/>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b/>
                      <w:bCs/>
                      <w:color w:val="auto"/>
                      <w:spacing w:val="0"/>
                      <w:sz w:val="21"/>
                      <w:highlight w:val="none"/>
                      <w:shd w:val="clear" w:color="auto" w:fill="FFFFFF"/>
                    </w:rPr>
                    <w:t>5、基础设施污染控制要求</w:t>
                  </w:r>
                </w:p>
              </w:tc>
            </w:tr>
            <w:tr w14:paraId="0D4C9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46D72FAE">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5.1</w:t>
                  </w:r>
                </w:p>
              </w:tc>
              <w:tc>
                <w:tcPr>
                  <w:tcW w:w="2540" w:type="pct"/>
                  <w:gridSpan w:val="2"/>
                  <w:noWrap w:val="0"/>
                  <w:vAlign w:val="center"/>
                </w:tcPr>
                <w:p w14:paraId="5CA42046">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应划分不同的功能区，包括办公区和作业区。作业区应包括：a)整车贮存区（分为传统燃料机动车区和电动汽车区）；b)动力蓄电池拆卸区；c)铅蓄电池拆卸区；d)电池分类贮存区；e)拆解区；f)产品（半成品；不包括电池）贮存区；g)破碎分选区；h)一般工业固体废物贮存区；i）危险废物贮存区</w:t>
                  </w:r>
                </w:p>
              </w:tc>
              <w:tc>
                <w:tcPr>
                  <w:tcW w:w="1989" w:type="pct"/>
                  <w:noWrap w:val="0"/>
                  <w:vAlign w:val="center"/>
                </w:tcPr>
                <w:p w14:paraId="2F9E03E1">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vertAlign w:val="superscript"/>
                    </w:rPr>
                  </w:pPr>
                  <w:r>
                    <w:rPr>
                      <w:rFonts w:hint="eastAsia" w:ascii="Times New Roman" w:hAnsi="Times New Roman" w:eastAsia="宋体"/>
                      <w:color w:val="auto"/>
                      <w:spacing w:val="0"/>
                      <w:sz w:val="21"/>
                      <w:highlight w:val="none"/>
                      <w:shd w:val="clear" w:color="auto" w:fill="FFFFFF"/>
                    </w:rPr>
                    <w:t>厂区按生产需求，划分为办公区和作业区</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lang w:val="en-US" w:eastAsia="zh-CN"/>
                    </w:rPr>
                    <w:t>作业区包括大小车拆解车间、预处理车间（含铅蓄电池拆卸作业）、动力蓄电池拆卸车间、仓库区、大车停车场、小车停车场、摩托车停车场、一般固废暂存区、危废暂存间等。</w:t>
                  </w:r>
                  <w:r>
                    <w:rPr>
                      <w:rFonts w:hint="eastAsia" w:ascii="Times New Roman" w:hAnsi="Times New Roman" w:eastAsia="宋体"/>
                      <w:color w:val="auto"/>
                      <w:spacing w:val="0"/>
                      <w:sz w:val="21"/>
                      <w:highlight w:val="none"/>
                      <w:shd w:val="clear" w:color="auto" w:fill="FFFFFF"/>
                    </w:rPr>
                    <w:t>项目不涉及破碎分选，因此除破碎分选区外，其他作业区</w:t>
                  </w:r>
                  <w:r>
                    <w:rPr>
                      <w:rFonts w:hint="eastAsia" w:ascii="Times New Roman" w:hAnsi="Times New Roman" w:eastAsia="宋体"/>
                      <w:color w:val="auto"/>
                      <w:spacing w:val="0"/>
                      <w:sz w:val="21"/>
                      <w:highlight w:val="none"/>
                      <w:shd w:val="clear" w:color="auto" w:fill="FFFFFF"/>
                      <w:lang w:eastAsia="zh-CN"/>
                    </w:rPr>
                    <w:t>均</w:t>
                  </w:r>
                  <w:r>
                    <w:rPr>
                      <w:rFonts w:hint="eastAsia" w:ascii="Times New Roman" w:hAnsi="Times New Roman" w:eastAsia="宋体"/>
                      <w:color w:val="auto"/>
                      <w:spacing w:val="0"/>
                      <w:sz w:val="21"/>
                      <w:highlight w:val="none"/>
                      <w:shd w:val="clear" w:color="auto" w:fill="FFFFFF"/>
                    </w:rPr>
                    <w:t>按规范进行设置。</w:t>
                  </w:r>
                </w:p>
              </w:tc>
              <w:tc>
                <w:tcPr>
                  <w:tcW w:w="243" w:type="pct"/>
                  <w:noWrap w:val="0"/>
                  <w:vAlign w:val="center"/>
                </w:tcPr>
                <w:p w14:paraId="2CFA0AE8">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3493F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04F4A19A">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5.2</w:t>
                  </w:r>
                </w:p>
              </w:tc>
              <w:tc>
                <w:tcPr>
                  <w:tcW w:w="2540" w:type="pct"/>
                  <w:gridSpan w:val="2"/>
                  <w:noWrap w:val="0"/>
                  <w:vAlign w:val="center"/>
                </w:tcPr>
                <w:p w14:paraId="62225639">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报废机动车回收拆解企业厂区内功能区的设计和建设应满足以下要求：</w:t>
                  </w:r>
                </w:p>
                <w:p w14:paraId="3DB39460">
                  <w:pPr>
                    <w:pStyle w:val="25"/>
                    <w:numPr>
                      <w:ilvl w:val="0"/>
                      <w:numId w:val="8"/>
                    </w:numPr>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作业区面积大小和功能区划分应满足拆解作业的需求；</w:t>
                  </w:r>
                </w:p>
                <w:p w14:paraId="62856AF5">
                  <w:pPr>
                    <w:pStyle w:val="25"/>
                    <w:numPr>
                      <w:ilvl w:val="0"/>
                      <w:numId w:val="8"/>
                    </w:numPr>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不同的功能区应具有明显标志；</w:t>
                  </w:r>
                </w:p>
                <w:p w14:paraId="306EAF7D">
                  <w:pPr>
                    <w:pStyle w:val="25"/>
                    <w:numPr>
                      <w:ilvl w:val="0"/>
                      <w:numId w:val="8"/>
                    </w:numPr>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作业区应具有防渗地面和油水收集设施，地面应符合GB50037的防油渗地面要求；</w:t>
                  </w:r>
                </w:p>
                <w:p w14:paraId="1A020A00">
                  <w:pPr>
                    <w:pStyle w:val="25"/>
                    <w:numPr>
                      <w:ilvl w:val="0"/>
                      <w:numId w:val="8"/>
                    </w:numPr>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作业区地面混凝土强度等级不低于C20，厚度不低于150mm，其中物流通道路面和拆解作业区域强度不低于C30，厚度不低于200mm。大型拆解设备承重区域的硬化标准参照设备工艺要求执行；</w:t>
                  </w:r>
                </w:p>
                <w:p w14:paraId="00C819D7">
                  <w:pPr>
                    <w:pStyle w:val="25"/>
                    <w:numPr>
                      <w:ilvl w:val="0"/>
                      <w:numId w:val="8"/>
                    </w:numPr>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拆解区应为封闭或半封闭建筑物；</w:t>
                  </w:r>
                </w:p>
                <w:p w14:paraId="3F9343D2">
                  <w:pPr>
                    <w:pStyle w:val="25"/>
                    <w:numPr>
                      <w:ilvl w:val="0"/>
                      <w:numId w:val="8"/>
                    </w:numPr>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破碎分选区设在密闭区域内，控制工业废气、粉尘和噪声污染；</w:t>
                  </w:r>
                </w:p>
                <w:p w14:paraId="26830B63">
                  <w:pPr>
                    <w:pStyle w:val="25"/>
                    <w:numPr>
                      <w:ilvl w:val="0"/>
                      <w:numId w:val="8"/>
                    </w:numPr>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危险废物贮存区应设置液体导流和收集装置，地面应无液体积聚，如有冲洗废水应纳入废水收集处理设施处理；</w:t>
                  </w:r>
                </w:p>
                <w:p w14:paraId="28D0D091">
                  <w:pPr>
                    <w:pStyle w:val="25"/>
                    <w:numPr>
                      <w:ilvl w:val="0"/>
                      <w:numId w:val="8"/>
                    </w:numPr>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不同种类的危险废物应单独收集、分类存放，中间有明显间隔；贮存场所应设置警示标识，同时还应满足GB18597中其他相关要求；</w:t>
                  </w:r>
                </w:p>
                <w:p w14:paraId="2C2C6C7C">
                  <w:pPr>
                    <w:pStyle w:val="25"/>
                    <w:numPr>
                      <w:ilvl w:val="0"/>
                      <w:numId w:val="8"/>
                    </w:numPr>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铅蓄电池的拆卸、贮存区的地面应做防酸、防腐、防渗及硬化处理，同时还应满足HJ519中其他相关要求；</w:t>
                  </w:r>
                </w:p>
                <w:p w14:paraId="3FD0C5D9">
                  <w:pPr>
                    <w:pStyle w:val="25"/>
                    <w:numPr>
                      <w:ilvl w:val="0"/>
                      <w:numId w:val="8"/>
                    </w:numPr>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动力蓄电池拆卸、贮存区应满足HJ1186中的相关要求，地面应采用环氧地坪等硬化措施，地面应做防酸、防腐、防渗、硬化及绝缘处理；</w:t>
                  </w:r>
                </w:p>
                <w:p w14:paraId="0C6398B9">
                  <w:pPr>
                    <w:pStyle w:val="25"/>
                    <w:numPr>
                      <w:ilvl w:val="0"/>
                      <w:numId w:val="8"/>
                    </w:numPr>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各贮存区应在显著位置设置标识，标明贮存物的类别、名称、规格、注意事项等，根据其特性合理划分贮存区域，采取必要的隔离措施；</w:t>
                  </w:r>
                </w:p>
              </w:tc>
              <w:tc>
                <w:tcPr>
                  <w:tcW w:w="1989" w:type="pct"/>
                  <w:noWrap w:val="0"/>
                  <w:vAlign w:val="center"/>
                </w:tcPr>
                <w:p w14:paraId="5AE4DAC2">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a)作业区面积大小和功能区划可满足作业需求；</w:t>
                  </w:r>
                </w:p>
                <w:p w14:paraId="571E2710">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b)建设单位将对不同功能区粘贴标识；</w:t>
                  </w:r>
                </w:p>
                <w:p w14:paraId="4973B0AC">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c)项目作业区地面硬化并铺设环氧</w:t>
                  </w:r>
                  <w:r>
                    <w:rPr>
                      <w:rStyle w:val="24"/>
                      <w:rFonts w:hint="eastAsia" w:ascii="Times New Roman" w:hAnsi="Times New Roman" w:eastAsia="宋体"/>
                      <w:color w:val="auto"/>
                      <w:sz w:val="21"/>
                      <w:highlight w:val="none"/>
                      <w:lang w:val="en-US" w:eastAsia="zh-CN"/>
                    </w:rPr>
                    <w:t>树脂涂层</w:t>
                  </w:r>
                  <w:r>
                    <w:rPr>
                      <w:rFonts w:hint="eastAsia" w:ascii="Times New Roman" w:hAnsi="Times New Roman" w:eastAsia="宋体"/>
                      <w:color w:val="auto"/>
                      <w:spacing w:val="0"/>
                      <w:sz w:val="21"/>
                      <w:highlight w:val="none"/>
                      <w:shd w:val="clear" w:color="auto" w:fill="FFFFFF"/>
                    </w:rPr>
                    <w:t>，可符合GB50037的防油渗地面要求，并配套</w:t>
                  </w:r>
                  <w:r>
                    <w:rPr>
                      <w:rFonts w:hint="eastAsia" w:ascii="Times New Roman" w:hAnsi="Times New Roman" w:eastAsia="宋体"/>
                      <w:color w:val="auto"/>
                      <w:spacing w:val="0"/>
                      <w:sz w:val="21"/>
                      <w:highlight w:val="none"/>
                      <w:shd w:val="clear" w:color="auto" w:fill="FFFFFF"/>
                      <w:lang w:eastAsia="zh-CN"/>
                    </w:rPr>
                    <w:t>专用</w:t>
                  </w:r>
                  <w:r>
                    <w:rPr>
                      <w:rFonts w:hint="eastAsia" w:ascii="Times New Roman" w:hAnsi="Times New Roman" w:eastAsia="宋体"/>
                      <w:color w:val="auto"/>
                      <w:spacing w:val="0"/>
                      <w:sz w:val="21"/>
                      <w:highlight w:val="none"/>
                      <w:shd w:val="clear" w:color="auto" w:fill="FFFFFF"/>
                    </w:rPr>
                    <w:t>抽油设备和</w:t>
                  </w:r>
                  <w:r>
                    <w:rPr>
                      <w:rFonts w:hint="eastAsia" w:ascii="Times New Roman" w:hAnsi="Times New Roman" w:eastAsia="宋体"/>
                      <w:color w:val="auto"/>
                      <w:spacing w:val="0"/>
                      <w:sz w:val="21"/>
                      <w:highlight w:val="none"/>
                      <w:shd w:val="clear" w:color="auto" w:fill="FFFFFF"/>
                      <w:lang w:eastAsia="zh-CN"/>
                    </w:rPr>
                    <w:t>密闭专用储油容器</w:t>
                  </w:r>
                  <w:r>
                    <w:rPr>
                      <w:rFonts w:hint="eastAsia" w:ascii="Times New Roman" w:hAnsi="Times New Roman" w:eastAsia="宋体"/>
                      <w:color w:val="auto"/>
                      <w:spacing w:val="0"/>
                      <w:sz w:val="21"/>
                      <w:highlight w:val="none"/>
                      <w:shd w:val="clear" w:color="auto" w:fill="FFFFFF"/>
                    </w:rPr>
                    <w:t>；</w:t>
                  </w:r>
                </w:p>
                <w:p w14:paraId="2481D113">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d)</w:t>
                  </w:r>
                  <w:r>
                    <w:rPr>
                      <w:rFonts w:hint="eastAsia" w:ascii="Times New Roman" w:hAnsi="Times New Roman" w:eastAsia="宋体"/>
                      <w:color w:val="auto"/>
                      <w:spacing w:val="0"/>
                      <w:sz w:val="21"/>
                      <w:highlight w:val="none"/>
                      <w:shd w:val="clear" w:color="auto" w:fill="FFFFFF"/>
                      <w:lang w:eastAsia="zh-CN"/>
                    </w:rPr>
                    <w:t>项目厂区采取分区防渗，</w:t>
                  </w:r>
                  <w:r>
                    <w:rPr>
                      <w:rFonts w:hint="eastAsia" w:ascii="Times New Roman" w:hAnsi="Times New Roman" w:eastAsia="宋体"/>
                      <w:color w:val="auto"/>
                      <w:spacing w:val="0"/>
                      <w:sz w:val="21"/>
                      <w:highlight w:val="none"/>
                      <w:shd w:val="clear" w:color="auto" w:fill="FFFFFF"/>
                    </w:rPr>
                    <w:t>项目作业区地面混凝土强度等级不低于C20，厚度不低于150mm，其中物流通道路面和拆解作业区域强度不低于C30，厚度不低于200mm。大型拆解设备承重区域的硬化标准参照设备工艺要求执行；</w:t>
                  </w:r>
                </w:p>
                <w:p w14:paraId="6790B6E4">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e)厂内拆解区为封闭建筑物</w:t>
                  </w:r>
                  <w:r>
                    <w:rPr>
                      <w:rFonts w:hint="eastAsia" w:ascii="Times New Roman" w:hAnsi="Times New Roman" w:eastAsia="宋体"/>
                      <w:color w:val="auto"/>
                      <w:spacing w:val="0"/>
                      <w:sz w:val="21"/>
                      <w:highlight w:val="none"/>
                      <w:shd w:val="clear" w:color="auto" w:fill="FFFFFF"/>
                      <w:lang w:eastAsia="zh-CN"/>
                    </w:rPr>
                    <w:t>，仅保留物料进出口</w:t>
                  </w:r>
                  <w:r>
                    <w:rPr>
                      <w:rFonts w:hint="eastAsia" w:ascii="Times New Roman" w:hAnsi="Times New Roman" w:eastAsia="宋体"/>
                      <w:color w:val="auto"/>
                      <w:spacing w:val="0"/>
                      <w:sz w:val="21"/>
                      <w:highlight w:val="none"/>
                      <w:shd w:val="clear" w:color="auto" w:fill="FFFFFF"/>
                    </w:rPr>
                    <w:t>；</w:t>
                  </w:r>
                </w:p>
                <w:p w14:paraId="2368356F">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f)项目不涉及破碎分选；</w:t>
                  </w:r>
                </w:p>
                <w:p w14:paraId="437D674E">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g)项目危险废物暂存间设置导流沟和集液坑；</w:t>
                  </w:r>
                  <w:r>
                    <w:rPr>
                      <w:rFonts w:hint="eastAsia" w:ascii="Times New Roman" w:hAnsi="Times New Roman" w:eastAsia="宋体"/>
                      <w:color w:val="auto"/>
                      <w:spacing w:val="0"/>
                      <w:sz w:val="21"/>
                      <w:highlight w:val="none"/>
                      <w:shd w:val="clear" w:color="auto" w:fill="FFFFFF"/>
                      <w:lang w:val="en-US" w:eastAsia="zh-CN"/>
                    </w:rPr>
                    <w:t>危险废物暂存间不涉及</w:t>
                  </w:r>
                  <w:r>
                    <w:rPr>
                      <w:rFonts w:hint="eastAsia" w:ascii="Times New Roman" w:hAnsi="Times New Roman" w:eastAsia="宋体"/>
                      <w:color w:val="auto"/>
                      <w:spacing w:val="0"/>
                      <w:sz w:val="21"/>
                      <w:highlight w:val="none"/>
                      <w:shd w:val="clear" w:color="auto" w:fill="FFFFFF"/>
                    </w:rPr>
                    <w:t>冲洗。</w:t>
                  </w:r>
                </w:p>
                <w:p w14:paraId="32E9B627">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h)项目对危险废物在危废暂存间分类分区暂存，各区设明显间隔；设置警示标识，危废暂存间按GB18597中要求建设；</w:t>
                  </w:r>
                </w:p>
                <w:p w14:paraId="5F05491D">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i)项目铅蓄电池的拆卸、贮存区的地面做防酸、防腐、防渗及硬化处理，项目铅蓄电池仅暂存，不在厂拆解，拆下的铅蓄电池使用耐腐蚀包装容器装存</w:t>
                  </w:r>
                  <w:r>
                    <w:rPr>
                      <w:rFonts w:hint="eastAsia" w:ascii="Times New Roman" w:hAnsi="Times New Roman" w:eastAsia="宋体"/>
                      <w:color w:val="auto"/>
                      <w:spacing w:val="0"/>
                      <w:sz w:val="21"/>
                      <w:highlight w:val="none"/>
                      <w:shd w:val="clear" w:color="auto" w:fill="FFFFFF"/>
                      <w:lang w:eastAsia="zh-CN"/>
                    </w:rPr>
                    <w:t>在危废暂存间暂存，并配套导流沟槽和集液坑</w:t>
                  </w:r>
                  <w:r>
                    <w:rPr>
                      <w:rFonts w:hint="eastAsia" w:ascii="Times New Roman" w:hAnsi="Times New Roman" w:eastAsia="宋体"/>
                      <w:color w:val="auto"/>
                      <w:spacing w:val="0"/>
                      <w:sz w:val="21"/>
                      <w:highlight w:val="none"/>
                      <w:shd w:val="clear" w:color="auto" w:fill="FFFFFF"/>
                    </w:rPr>
                    <w:t>，可满足HJ519蓄电池暂存要求；</w:t>
                  </w:r>
                </w:p>
                <w:p w14:paraId="75D4B93D">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j)项目动力蓄电池拆卸、贮存区地面硬化，涂覆环氧层，做防酸、防腐、防渗、硬化及绝缘处理；项目动力蓄电池仅暂存，不在厂拆解，可满足HJ1186中的暂存相关要求；</w:t>
                  </w:r>
                </w:p>
                <w:p w14:paraId="3F74F14A">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k)项目各贮存区合理分区，按需设置间隔，并设置标识，标明贮存物的类别、名称、规格、注意事项等。</w:t>
                  </w:r>
                </w:p>
              </w:tc>
              <w:tc>
                <w:tcPr>
                  <w:tcW w:w="243" w:type="pct"/>
                  <w:noWrap w:val="0"/>
                  <w:vAlign w:val="center"/>
                </w:tcPr>
                <w:p w14:paraId="03A1DD19">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05CDE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2B7B03D3">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5.3</w:t>
                  </w:r>
                </w:p>
              </w:tc>
              <w:tc>
                <w:tcPr>
                  <w:tcW w:w="2540" w:type="pct"/>
                  <w:gridSpan w:val="2"/>
                  <w:noWrap w:val="0"/>
                  <w:vAlign w:val="center"/>
                </w:tcPr>
                <w:p w14:paraId="515855F5">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报废机动车回收拆解企业内的道路应采取硬化措施，如出现破损应及时维修。</w:t>
                  </w:r>
                </w:p>
              </w:tc>
              <w:tc>
                <w:tcPr>
                  <w:tcW w:w="1989" w:type="pct"/>
                  <w:noWrap w:val="0"/>
                  <w:vAlign w:val="center"/>
                </w:tcPr>
                <w:p w14:paraId="5A9CE5E3">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项目厂区内道路</w:t>
                  </w:r>
                  <w:r>
                    <w:rPr>
                      <w:rFonts w:ascii="Times New Roman" w:hAnsi="Times New Roman" w:eastAsia="宋体"/>
                      <w:color w:val="auto"/>
                      <w:spacing w:val="0"/>
                      <w:sz w:val="21"/>
                      <w:highlight w:val="none"/>
                      <w:shd w:val="clear" w:color="auto" w:fill="FFFFFF"/>
                    </w:rPr>
                    <w:t>拟采取硬化措施，运营期间若破损立即补救</w:t>
                  </w:r>
                  <w:r>
                    <w:rPr>
                      <w:rFonts w:hint="eastAsia" w:ascii="Times New Roman" w:hAnsi="Times New Roman" w:eastAsia="宋体"/>
                      <w:color w:val="auto"/>
                      <w:spacing w:val="0"/>
                      <w:sz w:val="21"/>
                      <w:highlight w:val="none"/>
                      <w:shd w:val="clear" w:color="auto" w:fill="FFFFFF"/>
                    </w:rPr>
                    <w:t>，确保其在运营时无破损。</w:t>
                  </w:r>
                </w:p>
              </w:tc>
              <w:tc>
                <w:tcPr>
                  <w:tcW w:w="243" w:type="pct"/>
                  <w:noWrap w:val="0"/>
                  <w:vAlign w:val="center"/>
                </w:tcPr>
                <w:p w14:paraId="5B533642">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7BFD7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34929225">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5.4</w:t>
                  </w:r>
                </w:p>
              </w:tc>
              <w:tc>
                <w:tcPr>
                  <w:tcW w:w="2540" w:type="pct"/>
                  <w:gridSpan w:val="2"/>
                  <w:noWrap w:val="0"/>
                  <w:vAlign w:val="center"/>
                </w:tcPr>
                <w:p w14:paraId="3A73D416">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报废机动车回收拆解企业应做到雨污分流，在作业区内产生的初期雨水、清洗水和其他非生活废水应设置专门的收集</w:t>
                  </w:r>
                  <w:r>
                    <w:rPr>
                      <w:rFonts w:hint="eastAsia" w:ascii="Times New Roman" w:hAnsi="Times New Roman" w:eastAsia="宋体"/>
                      <w:color w:val="auto"/>
                      <w:spacing w:val="0"/>
                      <w:sz w:val="21"/>
                      <w:highlight w:val="none"/>
                      <w:shd w:val="clear" w:color="auto" w:fill="FFFFFF"/>
                      <w:lang w:eastAsia="zh-CN"/>
                    </w:rPr>
                    <w:t>设施</w:t>
                  </w:r>
                  <w:r>
                    <w:rPr>
                      <w:rFonts w:hint="eastAsia" w:ascii="Times New Roman" w:hAnsi="Times New Roman" w:eastAsia="宋体"/>
                      <w:color w:val="auto"/>
                      <w:spacing w:val="0"/>
                      <w:sz w:val="21"/>
                      <w:highlight w:val="none"/>
                      <w:shd w:val="clear" w:color="auto" w:fill="FFFFFF"/>
                    </w:rPr>
                    <w:t>和污水处理设施。厂内应按照GB/T 50483的要求设置初期雨水收集池</w:t>
                  </w:r>
                </w:p>
              </w:tc>
              <w:tc>
                <w:tcPr>
                  <w:tcW w:w="1989" w:type="pct"/>
                  <w:noWrap w:val="0"/>
                  <w:vAlign w:val="center"/>
                </w:tcPr>
                <w:p w14:paraId="3EC24B6B">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厂区雨污分流，屋</w:t>
                  </w:r>
                  <w:r>
                    <w:rPr>
                      <w:rFonts w:hint="eastAsia" w:ascii="Times New Roman" w:hAnsi="Times New Roman" w:eastAsia="宋体"/>
                      <w:color w:val="auto"/>
                      <w:spacing w:val="0"/>
                      <w:sz w:val="21"/>
                      <w:highlight w:val="none"/>
                      <w:shd w:val="clear" w:color="auto" w:fill="FFFFFF"/>
                      <w:lang w:val="en-US" w:eastAsia="zh-CN"/>
                    </w:rPr>
                    <w:t>棚</w:t>
                  </w:r>
                  <w:r>
                    <w:rPr>
                      <w:rFonts w:hint="eastAsia" w:ascii="Times New Roman" w:hAnsi="Times New Roman" w:eastAsia="宋体"/>
                      <w:color w:val="auto"/>
                      <w:spacing w:val="0"/>
                      <w:sz w:val="21"/>
                      <w:highlight w:val="none"/>
                      <w:shd w:val="clear" w:color="auto" w:fill="FFFFFF"/>
                    </w:rPr>
                    <w:t>面雨水</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lang w:val="en-US" w:eastAsia="zh-CN"/>
                    </w:rPr>
                    <w:t>非作业区雨水</w:t>
                  </w:r>
                  <w:r>
                    <w:rPr>
                      <w:rFonts w:hint="eastAsia" w:ascii="Times New Roman" w:hAnsi="Times New Roman" w:eastAsia="宋体"/>
                      <w:color w:val="auto"/>
                      <w:spacing w:val="0"/>
                      <w:sz w:val="21"/>
                      <w:highlight w:val="none"/>
                      <w:shd w:val="clear" w:color="auto" w:fill="FFFFFF"/>
                    </w:rPr>
                    <w:t>通过雨水管直接排入市政雨水管网，</w:t>
                  </w:r>
                  <w:r>
                    <w:rPr>
                      <w:rFonts w:hint="eastAsia" w:ascii="Times New Roman" w:hAnsi="Times New Roman" w:eastAsia="宋体"/>
                      <w:color w:val="auto"/>
                      <w:spacing w:val="0"/>
                      <w:sz w:val="21"/>
                      <w:highlight w:val="none"/>
                      <w:shd w:val="clear" w:color="auto" w:fill="FFFFFF"/>
                      <w:lang w:val="en-US" w:eastAsia="zh-CN"/>
                    </w:rPr>
                    <w:t>作业区露天区域初期雨水、清洁废水经收集后进入收集池暂存后</w:t>
                  </w:r>
                  <w:r>
                    <w:rPr>
                      <w:rFonts w:hint="eastAsia" w:ascii="Times New Roman" w:hAnsi="Times New Roman" w:eastAsia="宋体"/>
                      <w:color w:val="auto"/>
                      <w:spacing w:val="0"/>
                      <w:sz w:val="21"/>
                      <w:highlight w:val="none"/>
                      <w:shd w:val="clear" w:color="auto" w:fill="FFFFFF"/>
                      <w:lang w:eastAsia="zh-CN"/>
                    </w:rPr>
                    <w:t>进入废水处理设施（油水分离+混凝沉淀+过滤）</w:t>
                  </w:r>
                  <w:r>
                    <w:rPr>
                      <w:rFonts w:hint="eastAsia" w:ascii="Times New Roman" w:hAnsi="Times New Roman" w:eastAsia="宋体"/>
                      <w:color w:val="auto"/>
                      <w:spacing w:val="0"/>
                      <w:sz w:val="21"/>
                      <w:highlight w:val="none"/>
                      <w:shd w:val="clear" w:color="auto" w:fill="FFFFFF"/>
                    </w:rPr>
                    <w:t>处理后</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lang w:val="en-US" w:eastAsia="zh-CN"/>
                    </w:rPr>
                    <w:t>全部回用，不外排</w:t>
                  </w:r>
                  <w:r>
                    <w:rPr>
                      <w:rFonts w:hint="eastAsia" w:ascii="Times New Roman" w:hAnsi="Times New Roman" w:eastAsia="宋体"/>
                      <w:color w:val="auto"/>
                      <w:spacing w:val="0"/>
                      <w:sz w:val="21"/>
                      <w:highlight w:val="none"/>
                      <w:shd w:val="clear" w:color="auto" w:fill="FFFFFF"/>
                    </w:rPr>
                    <w:t>。</w:t>
                  </w:r>
                </w:p>
              </w:tc>
              <w:tc>
                <w:tcPr>
                  <w:tcW w:w="243" w:type="pct"/>
                  <w:noWrap w:val="0"/>
                  <w:vAlign w:val="center"/>
                </w:tcPr>
                <w:p w14:paraId="253A580C">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31A85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14:paraId="620D3876">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b/>
                      <w:bCs/>
                      <w:color w:val="auto"/>
                      <w:spacing w:val="0"/>
                      <w:sz w:val="21"/>
                      <w:highlight w:val="none"/>
                      <w:shd w:val="clear" w:color="auto" w:fill="FFFFFF"/>
                    </w:rPr>
                    <w:t>6、拆解过程污染控制要求</w:t>
                  </w:r>
                </w:p>
              </w:tc>
            </w:tr>
            <w:tr w14:paraId="0F666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18A72388">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6.1</w:t>
                  </w:r>
                </w:p>
              </w:tc>
              <w:tc>
                <w:tcPr>
                  <w:tcW w:w="2540" w:type="pct"/>
                  <w:gridSpan w:val="2"/>
                  <w:noWrap w:val="0"/>
                  <w:vAlign w:val="center"/>
                </w:tcPr>
                <w:p w14:paraId="40F34424">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传统燃料报废机动车在开展拆解作业前应抽排下列气体及液体：燃油、发动机油、变速器/齿轮箱（包括后差速器和/或分动器）油、动力转向油、制动液等石油基油或者液态合成润滑剂、冷却液、挡风玻璃清洗液、制冷剂等，并使用专用容器回收贮存。操作场所应有防漏、截流和清污措施，抽排挥发性油液时应通过油气回收装置吸收拆解区域内的挥发性气体。防止上述气体及液体遗撒或泄漏。</w:t>
                  </w:r>
                </w:p>
              </w:tc>
              <w:tc>
                <w:tcPr>
                  <w:tcW w:w="1989" w:type="pct"/>
                  <w:noWrap w:val="0"/>
                  <w:vAlign w:val="center"/>
                </w:tcPr>
                <w:p w14:paraId="12B942F2">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在开展传统燃料报废机动车拆解作业前，建设单位将对表中所列气体及液体，采用专用抽取设施进行抽取后使用专用容器回收贮存。项目拆解作业车间地面防渗并铺设环氧地坪</w:t>
                  </w:r>
                  <w:r>
                    <w:rPr>
                      <w:rFonts w:hint="eastAsia" w:ascii="Times New Roman" w:hAnsi="Times New Roman" w:eastAsia="宋体"/>
                      <w:color w:val="auto"/>
                      <w:spacing w:val="0"/>
                      <w:sz w:val="21"/>
                      <w:highlight w:val="none"/>
                      <w:shd w:val="clear" w:color="auto" w:fill="FFFFFF"/>
                      <w:lang w:eastAsia="zh-CN"/>
                    </w:rPr>
                    <w:t>，配套吸油毡、应急收集容器等</w:t>
                  </w:r>
                  <w:r>
                    <w:rPr>
                      <w:rFonts w:hint="eastAsia" w:ascii="Times New Roman" w:hAnsi="Times New Roman" w:eastAsia="宋体"/>
                      <w:color w:val="auto"/>
                      <w:spacing w:val="0"/>
                      <w:sz w:val="21"/>
                      <w:highlight w:val="none"/>
                      <w:shd w:val="clear" w:color="auto" w:fill="FFFFFF"/>
                    </w:rPr>
                    <w:t>。抽排挥发性油液时产生的挥发性气体采用“</w:t>
                  </w:r>
                  <w:r>
                    <w:rPr>
                      <w:rFonts w:hint="eastAsia" w:ascii="Times New Roman" w:hAnsi="Times New Roman" w:eastAsia="宋体"/>
                      <w:color w:val="auto"/>
                      <w:spacing w:val="0"/>
                      <w:sz w:val="21"/>
                      <w:highlight w:val="none"/>
                      <w:shd w:val="clear" w:color="auto" w:fill="FFFFFF"/>
                      <w:lang w:val="en-US" w:eastAsia="zh-CN"/>
                    </w:rPr>
                    <w:t>过滤棉</w:t>
                  </w:r>
                  <w:r>
                    <w:rPr>
                      <w:rFonts w:hint="eastAsia" w:ascii="Times New Roman" w:hAnsi="Times New Roman" w:eastAsia="宋体"/>
                      <w:color w:val="auto"/>
                      <w:spacing w:val="0"/>
                      <w:sz w:val="21"/>
                      <w:highlight w:val="none"/>
                      <w:shd w:val="clear" w:color="auto" w:fill="FFFFFF"/>
                    </w:rPr>
                    <w:t>+</w:t>
                  </w:r>
                  <w:r>
                    <w:rPr>
                      <w:rFonts w:hint="eastAsia" w:ascii="Times New Roman" w:hAnsi="Times New Roman" w:eastAsia="宋体"/>
                      <w:color w:val="auto"/>
                      <w:spacing w:val="0"/>
                      <w:sz w:val="21"/>
                      <w:highlight w:val="none"/>
                      <w:shd w:val="clear" w:color="auto" w:fill="FFFFFF"/>
                      <w:lang w:val="en-US" w:eastAsia="zh-CN"/>
                    </w:rPr>
                    <w:t>双级</w:t>
                  </w:r>
                  <w:r>
                    <w:rPr>
                      <w:rFonts w:hint="eastAsia" w:ascii="Times New Roman" w:hAnsi="Times New Roman" w:eastAsia="宋体"/>
                      <w:color w:val="auto"/>
                      <w:spacing w:val="0"/>
                      <w:sz w:val="21"/>
                      <w:highlight w:val="none"/>
                      <w:shd w:val="clear" w:color="auto" w:fill="FFFFFF"/>
                    </w:rPr>
                    <w:t>活性炭装置”收集处理后高空排放。</w:t>
                  </w:r>
                </w:p>
              </w:tc>
              <w:tc>
                <w:tcPr>
                  <w:tcW w:w="243" w:type="pct"/>
                  <w:noWrap w:val="0"/>
                  <w:vAlign w:val="center"/>
                </w:tcPr>
                <w:p w14:paraId="65FA9325">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39BD2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65CBF858">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6.2</w:t>
                  </w:r>
                </w:p>
              </w:tc>
              <w:tc>
                <w:tcPr>
                  <w:tcW w:w="2540" w:type="pct"/>
                  <w:gridSpan w:val="2"/>
                  <w:noWrap w:val="0"/>
                  <w:vAlign w:val="center"/>
                </w:tcPr>
                <w:p w14:paraId="3D11950D">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报废电动汽车进场检测时，受损变形以及漏液、漏电、电源供应作业不正常或者其他的事故车辆应进行明显标识，及时隔离并优先处理，避免造成环境风险。</w:t>
                  </w:r>
                </w:p>
              </w:tc>
              <w:tc>
                <w:tcPr>
                  <w:tcW w:w="1989" w:type="pct"/>
                  <w:vMerge w:val="restart"/>
                  <w:noWrap w:val="0"/>
                  <w:vAlign w:val="center"/>
                </w:tcPr>
                <w:p w14:paraId="1CAEF47C">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项目报废电动车进场时进行排故，并行电池拆卸等预处理后再进行贮存。用防静电设备彻底抽排制冷剂，并用专用容器回收储存</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rPr>
                    <w:t>拆卸下的电池将妥善贮存在动力蓄电池贮存间，漏液电池将使用单独密闭耐腐蚀容器装存。</w:t>
                  </w:r>
                </w:p>
              </w:tc>
              <w:tc>
                <w:tcPr>
                  <w:tcW w:w="243" w:type="pct"/>
                  <w:noWrap w:val="0"/>
                  <w:vAlign w:val="center"/>
                </w:tcPr>
                <w:p w14:paraId="751AE4FA">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659CA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noWrap w:val="0"/>
                  <w:vAlign w:val="center"/>
                </w:tcPr>
                <w:p w14:paraId="293B4CE9">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6.3</w:t>
                  </w:r>
                </w:p>
              </w:tc>
              <w:tc>
                <w:tcPr>
                  <w:tcW w:w="2540" w:type="pct"/>
                  <w:gridSpan w:val="2"/>
                  <w:noWrap w:val="0"/>
                  <w:vAlign w:val="center"/>
                </w:tcPr>
                <w:p w14:paraId="6EC53698">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电动汽车在开展拆解作业前，应采用防静电设备彻底抽排制冷剂，并用专用容器回收储存，避免电解质和有机溶剂泄漏。拆卸下来的动力蓄电池存在漏液、冒烟、漏电、外壳破损等情形的，应及时处理并采用专用容器单独存放，避免动力蓄电池自燃引起的环境风险。</w:t>
                  </w:r>
                </w:p>
              </w:tc>
              <w:tc>
                <w:tcPr>
                  <w:tcW w:w="1989" w:type="pct"/>
                  <w:vMerge w:val="continue"/>
                  <w:noWrap w:val="0"/>
                  <w:vAlign w:val="center"/>
                </w:tcPr>
                <w:p w14:paraId="3393D697">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243" w:type="pct"/>
                  <w:noWrap w:val="0"/>
                  <w:vAlign w:val="center"/>
                </w:tcPr>
                <w:p w14:paraId="37A7CFB5">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5E5C2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1CAE4093">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6.4</w:t>
                  </w:r>
                </w:p>
              </w:tc>
              <w:tc>
                <w:tcPr>
                  <w:tcW w:w="2540" w:type="pct"/>
                  <w:gridSpan w:val="2"/>
                  <w:noWrap w:val="0"/>
                  <w:vAlign w:val="center"/>
                </w:tcPr>
                <w:p w14:paraId="116756CB">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动力蓄电池不应与铅蓄电池混合贮存。</w:t>
                  </w:r>
                </w:p>
              </w:tc>
              <w:tc>
                <w:tcPr>
                  <w:tcW w:w="1989" w:type="pct"/>
                  <w:noWrap w:val="0"/>
                  <w:vAlign w:val="center"/>
                </w:tcPr>
                <w:p w14:paraId="7FE6F64B">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rPr>
                    <w:t>项目动力蓄电池单独设置区域存放</w:t>
                  </w:r>
                  <w:r>
                    <w:rPr>
                      <w:rFonts w:hint="eastAsia" w:ascii="Times New Roman" w:hAnsi="Times New Roman" w:eastAsia="宋体"/>
                      <w:color w:val="auto"/>
                      <w:spacing w:val="0"/>
                      <w:sz w:val="21"/>
                      <w:highlight w:val="none"/>
                      <w:shd w:val="clear" w:color="auto" w:fill="FFFFFF"/>
                      <w:lang w:eastAsia="zh-CN"/>
                    </w:rPr>
                    <w:t>，不与铅蓄电池混合贮存。</w:t>
                  </w:r>
                </w:p>
              </w:tc>
              <w:tc>
                <w:tcPr>
                  <w:tcW w:w="243" w:type="pct"/>
                  <w:noWrap w:val="0"/>
                  <w:vAlign w:val="center"/>
                </w:tcPr>
                <w:p w14:paraId="43124BD3">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177A3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0E629704">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6.5</w:t>
                  </w:r>
                </w:p>
              </w:tc>
              <w:tc>
                <w:tcPr>
                  <w:tcW w:w="2540" w:type="pct"/>
                  <w:gridSpan w:val="2"/>
                  <w:noWrap w:val="0"/>
                  <w:vAlign w:val="center"/>
                </w:tcPr>
                <w:p w14:paraId="421067D0">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报废机动车回收拆解企业不应在未完成各项拆解作业前对报废机动车进行破碎处理或者直接进行熔炼处理。</w:t>
                  </w:r>
                </w:p>
              </w:tc>
              <w:tc>
                <w:tcPr>
                  <w:tcW w:w="1989" w:type="pct"/>
                  <w:noWrap w:val="0"/>
                  <w:vAlign w:val="center"/>
                </w:tcPr>
                <w:p w14:paraId="05E35C35">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项目仅进行报废机动车拆解，不涉及破碎处理和熔炼处理。</w:t>
                  </w:r>
                </w:p>
              </w:tc>
              <w:tc>
                <w:tcPr>
                  <w:tcW w:w="243" w:type="pct"/>
                  <w:noWrap w:val="0"/>
                  <w:vAlign w:val="center"/>
                </w:tcPr>
                <w:p w14:paraId="3624B8A5">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3962C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510A4BA3">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6</w:t>
                  </w:r>
                  <w:r>
                    <w:rPr>
                      <w:rFonts w:hint="eastAsia" w:ascii="Times New Roman" w:hAnsi="Times New Roman" w:eastAsia="宋体"/>
                      <w:color w:val="auto"/>
                      <w:spacing w:val="0"/>
                      <w:sz w:val="21"/>
                      <w:highlight w:val="none"/>
                      <w:shd w:val="clear" w:color="auto" w:fill="FFFFFF"/>
                    </w:rPr>
                    <w:t>.6</w:t>
                  </w:r>
                </w:p>
              </w:tc>
              <w:tc>
                <w:tcPr>
                  <w:tcW w:w="2540" w:type="pct"/>
                  <w:gridSpan w:val="2"/>
                  <w:noWrap w:val="0"/>
                  <w:vAlign w:val="center"/>
                </w:tcPr>
                <w:p w14:paraId="4E449EB2">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报废机动车回收拆解企业不应焚烧报废机动车拆解过程中产生的废电线电缆、废轮胎和其他废物。</w:t>
                  </w:r>
                </w:p>
              </w:tc>
              <w:tc>
                <w:tcPr>
                  <w:tcW w:w="1989" w:type="pct"/>
                  <w:noWrap w:val="0"/>
                  <w:vAlign w:val="center"/>
                </w:tcPr>
                <w:p w14:paraId="5DAFD705">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项目对拆解下来的可回收物暂存后外售，危险废物由资质单位定期清运处置，动力蓄电池交由电池网点回收，均不进行焚烧。</w:t>
                  </w:r>
                </w:p>
              </w:tc>
              <w:tc>
                <w:tcPr>
                  <w:tcW w:w="243" w:type="pct"/>
                  <w:noWrap w:val="0"/>
                  <w:vAlign w:val="center"/>
                </w:tcPr>
                <w:p w14:paraId="3901E656">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5FFC2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2C4CB78B">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6.7</w:t>
                  </w:r>
                </w:p>
              </w:tc>
              <w:tc>
                <w:tcPr>
                  <w:tcW w:w="2540" w:type="pct"/>
                  <w:gridSpan w:val="2"/>
                  <w:noWrap w:val="0"/>
                  <w:vAlign w:val="center"/>
                </w:tcPr>
                <w:p w14:paraId="3F8D5240">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报废机动车拆解产生的废旧玻璃、报废机动车破碎残余物、引爆后的安全气囊等应避免危险废物的沾染，未沾染危险废物的应按一般工业固体废物进行管理。</w:t>
                  </w:r>
                </w:p>
              </w:tc>
              <w:tc>
                <w:tcPr>
                  <w:tcW w:w="1989" w:type="pct"/>
                  <w:noWrap w:val="0"/>
                  <w:vAlign w:val="center"/>
                </w:tcPr>
                <w:p w14:paraId="6AB95F2B">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项目拆解产生废旧玻璃、报废机动车破碎残余物、引爆后的安全气囊严格避免沾染危险废物，做一般</w:t>
                  </w:r>
                  <w:r>
                    <w:rPr>
                      <w:rFonts w:hint="eastAsia" w:ascii="Times New Roman" w:hAnsi="Times New Roman" w:eastAsia="宋体"/>
                      <w:color w:val="auto"/>
                      <w:spacing w:val="0"/>
                      <w:sz w:val="21"/>
                      <w:highlight w:val="none"/>
                      <w:shd w:val="clear" w:color="auto" w:fill="FFFFFF"/>
                      <w:lang w:eastAsia="zh-CN"/>
                    </w:rPr>
                    <w:t>工业固废管理</w:t>
                  </w:r>
                  <w:r>
                    <w:rPr>
                      <w:rFonts w:hint="eastAsia" w:ascii="Times New Roman" w:hAnsi="Times New Roman" w:eastAsia="宋体"/>
                      <w:color w:val="auto"/>
                      <w:spacing w:val="0"/>
                      <w:sz w:val="21"/>
                      <w:highlight w:val="none"/>
                      <w:shd w:val="clear" w:color="auto" w:fill="FFFFFF"/>
                    </w:rPr>
                    <w:t>。</w:t>
                  </w:r>
                </w:p>
              </w:tc>
              <w:tc>
                <w:tcPr>
                  <w:tcW w:w="243" w:type="pct"/>
                  <w:noWrap w:val="0"/>
                  <w:vAlign w:val="center"/>
                </w:tcPr>
                <w:p w14:paraId="321AD602">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35881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016C837B">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6.8</w:t>
                  </w:r>
                </w:p>
              </w:tc>
              <w:tc>
                <w:tcPr>
                  <w:tcW w:w="2540" w:type="pct"/>
                  <w:gridSpan w:val="2"/>
                  <w:noWrap w:val="0"/>
                  <w:vAlign w:val="center"/>
                </w:tcPr>
                <w:p w14:paraId="0D1EDECC">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拆解产生的废铅蓄电池、废矿物油、废电路板、废尾气净化催化剂以及含有或沾染危险废物的废弃包装物、容器等依据《国家危险废物名录》属于危险废物的，应按照危险废物贮存管理相关要求进行分区、分类贮存。废弃含油抹布和劳保用品宜集中收集。</w:t>
                  </w:r>
                </w:p>
              </w:tc>
              <w:tc>
                <w:tcPr>
                  <w:tcW w:w="1989" w:type="pct"/>
                  <w:noWrap w:val="0"/>
                  <w:vAlign w:val="center"/>
                </w:tcPr>
                <w:p w14:paraId="556AF159">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rPr>
                    <w:t>项目危险废物按危险废物贮存管理相关要求，在危废暂存间内分区分类暂存，委托资质单位定期清运处置。</w:t>
                  </w:r>
                  <w:r>
                    <w:rPr>
                      <w:rFonts w:hint="eastAsia" w:ascii="Times New Roman" w:hAnsi="Times New Roman" w:eastAsia="宋体"/>
                      <w:color w:val="auto"/>
                      <w:spacing w:val="0"/>
                      <w:sz w:val="21"/>
                      <w:highlight w:val="none"/>
                      <w:shd w:val="clear" w:color="auto" w:fill="FFFFFF"/>
                      <w:lang w:eastAsia="zh-CN"/>
                    </w:rPr>
                    <w:t>含油废抹布及手套</w:t>
                  </w:r>
                  <w:r>
                    <w:rPr>
                      <w:rFonts w:hint="eastAsia" w:ascii="Times New Roman" w:hAnsi="Times New Roman" w:eastAsia="宋体"/>
                      <w:color w:val="auto"/>
                      <w:spacing w:val="0"/>
                      <w:sz w:val="21"/>
                      <w:highlight w:val="none"/>
                      <w:shd w:val="clear" w:color="auto" w:fill="FFFFFF"/>
                    </w:rPr>
                    <w:t>混入生活垃圾，由当地环卫部门统一清运处置</w:t>
                  </w:r>
                  <w:r>
                    <w:rPr>
                      <w:rFonts w:hint="eastAsia" w:ascii="Times New Roman" w:hAnsi="Times New Roman" w:eastAsia="宋体"/>
                      <w:color w:val="auto"/>
                      <w:spacing w:val="0"/>
                      <w:sz w:val="21"/>
                      <w:highlight w:val="none"/>
                      <w:shd w:val="clear" w:color="auto" w:fill="FFFFFF"/>
                      <w:lang w:eastAsia="zh-CN"/>
                    </w:rPr>
                    <w:t>。</w:t>
                  </w:r>
                </w:p>
              </w:tc>
              <w:tc>
                <w:tcPr>
                  <w:tcW w:w="243" w:type="pct"/>
                  <w:noWrap w:val="0"/>
                  <w:vAlign w:val="center"/>
                </w:tcPr>
                <w:p w14:paraId="7985FEA7">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178CC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1EBC82DF">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6.9</w:t>
                  </w:r>
                </w:p>
              </w:tc>
              <w:tc>
                <w:tcPr>
                  <w:tcW w:w="2540" w:type="pct"/>
                  <w:gridSpan w:val="2"/>
                  <w:noWrap w:val="0"/>
                  <w:vAlign w:val="center"/>
                </w:tcPr>
                <w:p w14:paraId="210498AA">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报废机动车回收拆解企业不应倾倒铅蓄电池内的电解液、铅块和铅膏等废物。对于破损的铅蓄电池，应单独贮存，并采取防止电解液泄漏的措施。</w:t>
                  </w:r>
                </w:p>
              </w:tc>
              <w:tc>
                <w:tcPr>
                  <w:tcW w:w="1989" w:type="pct"/>
                  <w:noWrap w:val="0"/>
                  <w:vAlign w:val="center"/>
                </w:tcPr>
                <w:p w14:paraId="0FF4B70A">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项目严格操作要求，不倾倒铅蓄电池内的电解液等废物。对于破损的铅蓄电池，采用独立耐腐蚀容器装存后在危废间暂存。</w:t>
                  </w:r>
                </w:p>
              </w:tc>
              <w:tc>
                <w:tcPr>
                  <w:tcW w:w="243" w:type="pct"/>
                  <w:noWrap w:val="0"/>
                  <w:vAlign w:val="center"/>
                </w:tcPr>
                <w:p w14:paraId="5BE1843E">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41767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11DA504E">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6.10</w:t>
                  </w:r>
                </w:p>
              </w:tc>
              <w:tc>
                <w:tcPr>
                  <w:tcW w:w="2540" w:type="pct"/>
                  <w:gridSpan w:val="2"/>
                  <w:noWrap w:val="0"/>
                  <w:vAlign w:val="center"/>
                </w:tcPr>
                <w:p w14:paraId="49C620B4">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报废机动车拆解产生的产物和固体废物应合理分类，不能自行利用处置的，分别委托具有相关资质、相应处理能力或经营范围的单位利用和处置。</w:t>
                  </w:r>
                </w:p>
              </w:tc>
              <w:tc>
                <w:tcPr>
                  <w:tcW w:w="1989" w:type="pct"/>
                  <w:noWrap w:val="0"/>
                  <w:vAlign w:val="center"/>
                </w:tcPr>
                <w:p w14:paraId="19E1FCBE">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项目拆解所得可利用物外售</w:t>
                  </w:r>
                  <w:r>
                    <w:rPr>
                      <w:rFonts w:hint="eastAsia" w:ascii="Times New Roman" w:hAnsi="Times New Roman" w:eastAsia="宋体"/>
                      <w:color w:val="auto"/>
                      <w:spacing w:val="0"/>
                      <w:sz w:val="21"/>
                      <w:highlight w:val="none"/>
                      <w:shd w:val="clear" w:color="auto" w:fill="FFFFFF"/>
                      <w:lang w:eastAsia="zh-CN"/>
                    </w:rPr>
                    <w:t>合规</w:t>
                  </w:r>
                  <w:r>
                    <w:rPr>
                      <w:rFonts w:hint="eastAsia" w:ascii="Times New Roman" w:hAnsi="Times New Roman" w:eastAsia="宋体"/>
                      <w:color w:val="auto"/>
                      <w:spacing w:val="0"/>
                      <w:sz w:val="21"/>
                      <w:highlight w:val="none"/>
                      <w:shd w:val="clear" w:color="auto" w:fill="FFFFFF"/>
                    </w:rPr>
                    <w:t>回收单位</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rPr>
                    <w:t>危险废物由资质单位定期清运处置，动力蓄电池交由电池网点回收。</w:t>
                  </w:r>
                </w:p>
              </w:tc>
              <w:tc>
                <w:tcPr>
                  <w:tcW w:w="243" w:type="pct"/>
                  <w:noWrap w:val="0"/>
                  <w:vAlign w:val="center"/>
                </w:tcPr>
                <w:p w14:paraId="2ED00BA0">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7FDDD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7BC93B74">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6.11</w:t>
                  </w:r>
                </w:p>
              </w:tc>
              <w:tc>
                <w:tcPr>
                  <w:tcW w:w="2540" w:type="pct"/>
                  <w:gridSpan w:val="2"/>
                  <w:noWrap w:val="0"/>
                  <w:vAlign w:val="center"/>
                </w:tcPr>
                <w:p w14:paraId="729112B4">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拆解产物应符合国家及地方处理处置要求，其中主要拆解产物特性及去向见附录A。如报废机动车回收拆解企业具备与报废机动车拆解处理相关的深加工或二次加工经营业务，应当符合其他相关污染控制要求。</w:t>
                  </w:r>
                </w:p>
              </w:tc>
              <w:tc>
                <w:tcPr>
                  <w:tcW w:w="1989" w:type="pct"/>
                  <w:noWrap w:val="0"/>
                  <w:vAlign w:val="center"/>
                </w:tcPr>
                <w:p w14:paraId="3DD0CD43">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eastAsia="zh-CN"/>
                    </w:rPr>
                    <w:t>根据对照，</w:t>
                  </w:r>
                  <w:r>
                    <w:rPr>
                      <w:rFonts w:hint="eastAsia" w:ascii="Times New Roman" w:hAnsi="Times New Roman" w:eastAsia="宋体"/>
                      <w:color w:val="auto"/>
                      <w:spacing w:val="0"/>
                      <w:sz w:val="21"/>
                      <w:highlight w:val="none"/>
                      <w:shd w:val="clear" w:color="auto" w:fill="FFFFFF"/>
                    </w:rPr>
                    <w:t>项目拆解</w:t>
                  </w:r>
                  <w:r>
                    <w:rPr>
                      <w:rFonts w:hint="eastAsia" w:ascii="Times New Roman" w:hAnsi="Times New Roman" w:eastAsia="宋体"/>
                      <w:color w:val="auto"/>
                      <w:spacing w:val="0"/>
                      <w:sz w:val="21"/>
                      <w:highlight w:val="none"/>
                      <w:shd w:val="clear" w:color="auto" w:fill="FFFFFF"/>
                      <w:lang w:eastAsia="zh-CN"/>
                    </w:rPr>
                    <w:t>产物</w:t>
                  </w:r>
                  <w:r>
                    <w:rPr>
                      <w:rFonts w:hint="eastAsia" w:ascii="Times New Roman" w:hAnsi="Times New Roman" w:eastAsia="宋体"/>
                      <w:color w:val="auto"/>
                      <w:spacing w:val="0"/>
                      <w:sz w:val="21"/>
                      <w:highlight w:val="none"/>
                      <w:shd w:val="clear" w:color="auto" w:fill="FFFFFF"/>
                    </w:rPr>
                    <w:t>符合国家及地方处理处置要求</w:t>
                  </w:r>
                  <w:r>
                    <w:rPr>
                      <w:rFonts w:hint="eastAsia" w:ascii="Times New Roman" w:hAnsi="Times New Roman" w:eastAsia="宋体"/>
                      <w:color w:val="auto"/>
                      <w:spacing w:val="0"/>
                      <w:sz w:val="21"/>
                      <w:highlight w:val="none"/>
                      <w:shd w:val="clear" w:color="auto" w:fill="FFFFFF"/>
                      <w:lang w:eastAsia="zh-CN"/>
                    </w:rPr>
                    <w:t>；项目</w:t>
                  </w:r>
                  <w:r>
                    <w:rPr>
                      <w:rFonts w:hint="eastAsia" w:ascii="Times New Roman" w:hAnsi="Times New Roman" w:eastAsia="宋体"/>
                      <w:color w:val="auto"/>
                      <w:spacing w:val="0"/>
                      <w:sz w:val="21"/>
                      <w:highlight w:val="none"/>
                      <w:shd w:val="clear" w:color="auto" w:fill="FFFFFF"/>
                    </w:rPr>
                    <w:t>不涉及深加工或二次加工经营业务。</w:t>
                  </w:r>
                </w:p>
              </w:tc>
              <w:tc>
                <w:tcPr>
                  <w:tcW w:w="243" w:type="pct"/>
                  <w:noWrap w:val="0"/>
                  <w:vAlign w:val="center"/>
                </w:tcPr>
                <w:p w14:paraId="28B393AE">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60D47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63D1938E">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6.12</w:t>
                  </w:r>
                </w:p>
              </w:tc>
              <w:tc>
                <w:tcPr>
                  <w:tcW w:w="2540" w:type="pct"/>
                  <w:gridSpan w:val="2"/>
                  <w:noWrap w:val="0"/>
                  <w:vAlign w:val="center"/>
                </w:tcPr>
                <w:p w14:paraId="69129A61">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报废机动车油箱中的燃料（汽油、柴油、天然气、液化石油气、甲醇等）应分类收集。</w:t>
                  </w:r>
                </w:p>
              </w:tc>
              <w:tc>
                <w:tcPr>
                  <w:tcW w:w="1989" w:type="pct"/>
                  <w:noWrap w:val="0"/>
                  <w:vAlign w:val="center"/>
                </w:tcPr>
                <w:p w14:paraId="618CB12A">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rPr>
                    <w:t>项目对</w:t>
                  </w:r>
                  <w:r>
                    <w:rPr>
                      <w:rFonts w:hint="eastAsia" w:ascii="Times New Roman" w:hAnsi="Times New Roman" w:eastAsia="宋体"/>
                      <w:color w:val="auto"/>
                      <w:spacing w:val="0"/>
                      <w:sz w:val="21"/>
                      <w:highlight w:val="none"/>
                      <w:shd w:val="clear" w:color="auto" w:fill="FFFFFF"/>
                      <w:lang w:eastAsia="zh-CN"/>
                    </w:rPr>
                    <w:t>油箱、燃料罐</w:t>
                  </w:r>
                  <w:r>
                    <w:rPr>
                      <w:rFonts w:hint="eastAsia" w:ascii="Times New Roman" w:hAnsi="Times New Roman" w:eastAsia="宋体"/>
                      <w:color w:val="auto"/>
                      <w:spacing w:val="0"/>
                      <w:sz w:val="21"/>
                      <w:highlight w:val="none"/>
                      <w:shd w:val="clear" w:color="auto" w:fill="FFFFFF"/>
                    </w:rPr>
                    <w:t>中抽取的燃料分类收集。</w:t>
                  </w:r>
                </w:p>
              </w:tc>
              <w:tc>
                <w:tcPr>
                  <w:tcW w:w="243" w:type="pct"/>
                  <w:noWrap w:val="0"/>
                  <w:vAlign w:val="center"/>
                </w:tcPr>
                <w:p w14:paraId="01E78A4B">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5135E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000" w:type="pct"/>
                  <w:gridSpan w:val="5"/>
                  <w:noWrap w:val="0"/>
                  <w:vAlign w:val="center"/>
                </w:tcPr>
                <w:p w14:paraId="2F18DDE0">
                  <w:pPr>
                    <w:pStyle w:val="25"/>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b/>
                      <w:bCs/>
                      <w:color w:val="auto"/>
                      <w:spacing w:val="0"/>
                      <w:sz w:val="21"/>
                      <w:highlight w:val="none"/>
                      <w:shd w:val="clear" w:color="auto" w:fill="FFFFFF"/>
                    </w:rPr>
                    <w:t>7、企业污染物排放要求</w:t>
                  </w:r>
                </w:p>
              </w:tc>
            </w:tr>
            <w:tr w14:paraId="69F49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12FEEBF6">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7.1</w:t>
                  </w:r>
                </w:p>
              </w:tc>
              <w:tc>
                <w:tcPr>
                  <w:tcW w:w="252" w:type="pct"/>
                  <w:noWrap w:val="0"/>
                  <w:vAlign w:val="center"/>
                </w:tcPr>
                <w:p w14:paraId="26D2F405">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水污染物排放要求</w:t>
                  </w:r>
                </w:p>
              </w:tc>
              <w:tc>
                <w:tcPr>
                  <w:tcW w:w="2288" w:type="pct"/>
                  <w:noWrap w:val="0"/>
                  <w:vAlign w:val="center"/>
                </w:tcPr>
                <w:p w14:paraId="51746A3B">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7.1.1报废机动车回收拆解企业厂区收集的初期雨水、清洗水和其他非生活废水等应通过收集管道（井）等收集后进入污水处理设施进行处理，达到国家和地方的污染物排放标准后方可排放。</w:t>
                  </w:r>
                </w:p>
              </w:tc>
              <w:tc>
                <w:tcPr>
                  <w:tcW w:w="1989" w:type="pct"/>
                  <w:noWrap w:val="0"/>
                  <w:vAlign w:val="center"/>
                </w:tcPr>
                <w:p w14:paraId="2A476AE6">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项目作业区露天区域初期雨水、清洁废水经收集后进入收集池暂存后</w:t>
                  </w:r>
                  <w:r>
                    <w:rPr>
                      <w:rFonts w:hint="eastAsia" w:ascii="Times New Roman" w:hAnsi="Times New Roman" w:eastAsia="宋体"/>
                      <w:color w:val="auto"/>
                      <w:spacing w:val="0"/>
                      <w:sz w:val="21"/>
                      <w:highlight w:val="none"/>
                      <w:shd w:val="clear" w:color="auto" w:fill="FFFFFF"/>
                      <w:lang w:eastAsia="zh-CN"/>
                    </w:rPr>
                    <w:t>进入废水处理设施（油水分离+混凝沉淀+过滤）</w:t>
                  </w:r>
                  <w:r>
                    <w:rPr>
                      <w:rFonts w:hint="eastAsia" w:ascii="Times New Roman" w:hAnsi="Times New Roman" w:eastAsia="宋体"/>
                      <w:color w:val="auto"/>
                      <w:spacing w:val="0"/>
                      <w:sz w:val="21"/>
                      <w:highlight w:val="none"/>
                      <w:shd w:val="clear" w:color="auto" w:fill="FFFFFF"/>
                    </w:rPr>
                    <w:t>处理</w:t>
                  </w:r>
                  <w:r>
                    <w:rPr>
                      <w:rFonts w:hint="eastAsia" w:ascii="Times New Roman" w:hAnsi="Times New Roman" w:eastAsia="宋体"/>
                      <w:color w:val="auto"/>
                      <w:spacing w:val="0"/>
                      <w:sz w:val="21"/>
                      <w:highlight w:val="none"/>
                      <w:shd w:val="clear" w:color="auto" w:fill="FFFFFF"/>
                      <w:lang w:val="en-US" w:eastAsia="zh-CN"/>
                    </w:rPr>
                    <w:t>达标</w:t>
                  </w:r>
                  <w:r>
                    <w:rPr>
                      <w:rFonts w:hint="eastAsia" w:ascii="Times New Roman" w:hAnsi="Times New Roman" w:eastAsia="宋体"/>
                      <w:color w:val="auto"/>
                      <w:spacing w:val="0"/>
                      <w:sz w:val="21"/>
                      <w:highlight w:val="none"/>
                      <w:shd w:val="clear" w:color="auto" w:fill="FFFFFF"/>
                    </w:rPr>
                    <w:t>后</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lang w:val="en-US" w:eastAsia="zh-CN"/>
                    </w:rPr>
                    <w:t>全部回用，不外排</w:t>
                  </w:r>
                  <w:r>
                    <w:rPr>
                      <w:rFonts w:hint="eastAsia" w:ascii="Times New Roman" w:hAnsi="Times New Roman" w:eastAsia="宋体"/>
                      <w:color w:val="auto"/>
                      <w:spacing w:val="0"/>
                      <w:sz w:val="21"/>
                      <w:highlight w:val="none"/>
                      <w:shd w:val="clear" w:color="auto" w:fill="FFFFFF"/>
                    </w:rPr>
                    <w:t>。</w:t>
                  </w:r>
                </w:p>
              </w:tc>
              <w:tc>
                <w:tcPr>
                  <w:tcW w:w="243" w:type="pct"/>
                  <w:noWrap w:val="0"/>
                  <w:vAlign w:val="center"/>
                </w:tcPr>
                <w:p w14:paraId="4D839456">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7A997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restart"/>
                  <w:noWrap w:val="0"/>
                  <w:vAlign w:val="center"/>
                </w:tcPr>
                <w:p w14:paraId="4F6AD9DE">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7.2</w:t>
                  </w:r>
                </w:p>
              </w:tc>
              <w:tc>
                <w:tcPr>
                  <w:tcW w:w="252" w:type="pct"/>
                  <w:vMerge w:val="restart"/>
                  <w:noWrap w:val="0"/>
                  <w:vAlign w:val="center"/>
                </w:tcPr>
                <w:p w14:paraId="2742918D">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大气污染物排放要求</w:t>
                  </w:r>
                </w:p>
              </w:tc>
              <w:tc>
                <w:tcPr>
                  <w:tcW w:w="2288" w:type="pct"/>
                  <w:noWrap w:val="0"/>
                  <w:vAlign w:val="center"/>
                </w:tcPr>
                <w:p w14:paraId="6DF5FFEE">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7.2.1报废机动车回收拆解企业排放废气中颗粒物、挥发性有机物（VOCs）等应符合GB 16297、GB 37822 规定的排放要求。地方污染物排放标准有更严格要求的，从其规定。</w:t>
                  </w:r>
                </w:p>
              </w:tc>
              <w:tc>
                <w:tcPr>
                  <w:tcW w:w="1989" w:type="pct"/>
                  <w:noWrap w:val="0"/>
                  <w:vAlign w:val="center"/>
                </w:tcPr>
                <w:p w14:paraId="7C001AE4">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项目颗粒物经收集治理后排放满足GB 16297</w:t>
                  </w:r>
                  <w:r>
                    <w:rPr>
                      <w:rFonts w:hint="eastAsia" w:ascii="Times New Roman" w:hAnsi="Times New Roman" w:eastAsia="宋体"/>
                      <w:color w:val="auto"/>
                      <w:spacing w:val="0"/>
                      <w:sz w:val="21"/>
                      <w:highlight w:val="none"/>
                      <w:shd w:val="clear" w:color="auto" w:fill="FFFFFF"/>
                      <w:lang w:val="en-US" w:eastAsia="zh-CN"/>
                    </w:rPr>
                    <w:t>相关排放要求，挥发性有机物满足</w:t>
                  </w:r>
                  <w:r>
                    <w:rPr>
                      <w:rFonts w:hint="eastAsia" w:ascii="Times New Roman" w:hAnsi="Times New Roman" w:eastAsia="宋体"/>
                      <w:color w:val="auto"/>
                      <w:spacing w:val="0"/>
                      <w:sz w:val="21"/>
                      <w:highlight w:val="none"/>
                      <w:shd w:val="clear" w:color="auto" w:fill="FFFFFF"/>
                    </w:rPr>
                    <w:t xml:space="preserve">GB 37822 </w:t>
                  </w:r>
                  <w:r>
                    <w:rPr>
                      <w:rFonts w:hint="eastAsia" w:ascii="Times New Roman" w:hAnsi="Times New Roman" w:eastAsia="宋体"/>
                      <w:color w:val="auto"/>
                      <w:spacing w:val="0"/>
                      <w:sz w:val="21"/>
                      <w:highlight w:val="none"/>
                      <w:shd w:val="clear" w:color="auto" w:fill="FFFFFF"/>
                      <w:lang w:eastAsia="zh-CN"/>
                    </w:rPr>
                    <w:t>、DB35/1782-2018（</w:t>
                  </w:r>
                  <w:r>
                    <w:rPr>
                      <w:rFonts w:hint="eastAsia" w:ascii="Times New Roman" w:hAnsi="Times New Roman" w:eastAsia="宋体"/>
                      <w:color w:val="auto"/>
                      <w:spacing w:val="0"/>
                      <w:sz w:val="21"/>
                      <w:highlight w:val="none"/>
                      <w:shd w:val="clear" w:color="auto" w:fill="FFFFFF"/>
                      <w:lang w:val="en-US" w:eastAsia="zh-CN"/>
                    </w:rPr>
                    <w:t>严于</w:t>
                  </w:r>
                  <w:r>
                    <w:rPr>
                      <w:rFonts w:hint="eastAsia" w:ascii="Times New Roman" w:hAnsi="Times New Roman" w:eastAsia="宋体"/>
                      <w:color w:val="auto"/>
                      <w:spacing w:val="0"/>
                      <w:sz w:val="21"/>
                      <w:highlight w:val="none"/>
                      <w:shd w:val="clear" w:color="auto" w:fill="FFFFFF"/>
                    </w:rPr>
                    <w:t>GB 16297</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rPr>
                    <w:t>相关排放要求。</w:t>
                  </w:r>
                </w:p>
              </w:tc>
              <w:tc>
                <w:tcPr>
                  <w:tcW w:w="243" w:type="pct"/>
                  <w:noWrap w:val="0"/>
                  <w:vAlign w:val="center"/>
                </w:tcPr>
                <w:p w14:paraId="509F77AB">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ascii="Times New Roman" w:hAnsi="Times New Roman" w:eastAsia="宋体"/>
                      <w:color w:val="auto"/>
                      <w:spacing w:val="0"/>
                      <w:sz w:val="21"/>
                      <w:highlight w:val="none"/>
                      <w:shd w:val="clear" w:color="auto" w:fill="FFFFFF"/>
                    </w:rPr>
                    <w:t>符合</w:t>
                  </w:r>
                </w:p>
              </w:tc>
            </w:tr>
            <w:tr w14:paraId="3701A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continue"/>
                  <w:noWrap w:val="0"/>
                  <w:vAlign w:val="center"/>
                </w:tcPr>
                <w:p w14:paraId="07701E5F">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52" w:type="pct"/>
                  <w:vMerge w:val="continue"/>
                  <w:noWrap w:val="0"/>
                  <w:vAlign w:val="center"/>
                </w:tcPr>
                <w:p w14:paraId="16D4EC5D">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288" w:type="pct"/>
                  <w:noWrap w:val="0"/>
                  <w:vAlign w:val="center"/>
                </w:tcPr>
                <w:p w14:paraId="400C14AC">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7.2.2报废机动车回收拆解企业应在厂区及易产生粉尘的生产环节采取有效防尘、降尘、集尘措施，拆解过程产生的粉尘等应收集净化后排放。</w:t>
                  </w:r>
                </w:p>
              </w:tc>
              <w:tc>
                <w:tcPr>
                  <w:tcW w:w="1989" w:type="pct"/>
                  <w:noWrap w:val="0"/>
                  <w:vAlign w:val="center"/>
                </w:tcPr>
                <w:p w14:paraId="32934E5B">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val="en-US" w:eastAsia="zh-CN"/>
                    </w:rPr>
                    <w:t>项目</w:t>
                  </w:r>
                  <w:r>
                    <w:rPr>
                      <w:rFonts w:hint="eastAsia" w:ascii="Times New Roman" w:hAnsi="Times New Roman" w:eastAsia="宋体"/>
                      <w:color w:val="auto"/>
                      <w:spacing w:val="0"/>
                      <w:sz w:val="21"/>
                      <w:highlight w:val="none"/>
                      <w:shd w:val="clear" w:color="auto" w:fill="FFFFFF"/>
                    </w:rPr>
                    <w:t>对拆解过程中产生的粉尘</w:t>
                  </w:r>
                  <w:r>
                    <w:rPr>
                      <w:rFonts w:hint="eastAsia" w:ascii="Times New Roman" w:hAnsi="Times New Roman" w:eastAsia="宋体"/>
                      <w:color w:val="auto"/>
                      <w:spacing w:val="0"/>
                      <w:sz w:val="21"/>
                      <w:highlight w:val="none"/>
                      <w:shd w:val="clear" w:color="auto" w:fill="FFFFFF"/>
                      <w:lang w:val="en-US" w:eastAsia="zh-CN"/>
                    </w:rPr>
                    <w:t>拟</w:t>
                  </w:r>
                  <w:r>
                    <w:rPr>
                      <w:rFonts w:hint="eastAsia" w:ascii="Times New Roman" w:hAnsi="Times New Roman" w:eastAsia="宋体"/>
                      <w:color w:val="auto"/>
                      <w:spacing w:val="0"/>
                      <w:sz w:val="21"/>
                      <w:highlight w:val="none"/>
                      <w:shd w:val="clear" w:color="auto" w:fill="FFFFFF"/>
                    </w:rPr>
                    <w:t>采用移动式布袋除尘器处理后车间内无组织排放。</w:t>
                  </w:r>
                </w:p>
              </w:tc>
              <w:tc>
                <w:tcPr>
                  <w:tcW w:w="243" w:type="pct"/>
                  <w:noWrap w:val="0"/>
                  <w:vAlign w:val="center"/>
                </w:tcPr>
                <w:p w14:paraId="395C5CAD">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046FC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26" w:type="pct"/>
                  <w:vMerge w:val="continue"/>
                  <w:noWrap w:val="0"/>
                  <w:vAlign w:val="center"/>
                </w:tcPr>
                <w:p w14:paraId="64FC137E">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52" w:type="pct"/>
                  <w:vMerge w:val="continue"/>
                  <w:noWrap w:val="0"/>
                  <w:vAlign w:val="center"/>
                </w:tcPr>
                <w:p w14:paraId="3E411B70">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288" w:type="pct"/>
                  <w:noWrap w:val="0"/>
                  <w:vAlign w:val="center"/>
                </w:tcPr>
                <w:p w14:paraId="12DA388B">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7.2.3报废机动车回收拆解企业的恶臭污染物排放应满足GB 14554中的相关要求。</w:t>
                  </w:r>
                </w:p>
              </w:tc>
              <w:tc>
                <w:tcPr>
                  <w:tcW w:w="1989" w:type="pct"/>
                  <w:noWrap w:val="0"/>
                  <w:vAlign w:val="center"/>
                </w:tcPr>
                <w:p w14:paraId="4B3BD8AE">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lang w:eastAsia="zh-CN"/>
                    </w:rPr>
                    <w:t>项目加强厂区污染防治管控后，厂界臭气浓度排放可满足</w:t>
                  </w:r>
                  <w:r>
                    <w:rPr>
                      <w:rFonts w:hint="eastAsia" w:ascii="Times New Roman" w:hAnsi="Times New Roman" w:eastAsia="宋体"/>
                      <w:color w:val="auto"/>
                      <w:spacing w:val="0"/>
                      <w:sz w:val="21"/>
                      <w:highlight w:val="none"/>
                      <w:shd w:val="clear" w:color="auto" w:fill="FFFFFF"/>
                      <w:lang w:val="en-US" w:eastAsia="zh-CN"/>
                    </w:rPr>
                    <w:t>GB14554表1中二级新改扩建要求</w:t>
                  </w:r>
                  <w:r>
                    <w:rPr>
                      <w:rFonts w:hint="eastAsia" w:ascii="Times New Roman" w:hAnsi="Times New Roman" w:eastAsia="宋体"/>
                      <w:color w:val="auto"/>
                      <w:spacing w:val="0"/>
                      <w:sz w:val="21"/>
                      <w:highlight w:val="none"/>
                      <w:shd w:val="clear" w:color="auto" w:fill="FFFFFF"/>
                    </w:rPr>
                    <w:t>。</w:t>
                  </w:r>
                </w:p>
              </w:tc>
              <w:tc>
                <w:tcPr>
                  <w:tcW w:w="243" w:type="pct"/>
                  <w:noWrap w:val="0"/>
                  <w:vAlign w:val="center"/>
                </w:tcPr>
                <w:p w14:paraId="51ED5291">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2D0BA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continue"/>
                  <w:noWrap w:val="0"/>
                  <w:vAlign w:val="center"/>
                </w:tcPr>
                <w:p w14:paraId="58708052">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52" w:type="pct"/>
                  <w:vMerge w:val="continue"/>
                  <w:noWrap w:val="0"/>
                  <w:vAlign w:val="center"/>
                </w:tcPr>
                <w:p w14:paraId="00756F4D">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p>
              </w:tc>
              <w:tc>
                <w:tcPr>
                  <w:tcW w:w="2288" w:type="pct"/>
                  <w:noWrap w:val="0"/>
                  <w:vAlign w:val="center"/>
                </w:tcPr>
                <w:p w14:paraId="52D79F37">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7.2.4报废机动车回收拆解企业应依照《消耗臭氧层物质管理条例》，对消耗臭氧层物质和氢氟碳化物进行分类回收，并交由专业单位进行利用或无害化处置，不应直接排放。涉及《中国受控消耗臭氧层物质清单》所列的废制冷剂应按照国家相关规定进行管理。</w:t>
                  </w:r>
                </w:p>
              </w:tc>
              <w:tc>
                <w:tcPr>
                  <w:tcW w:w="1989" w:type="pct"/>
                  <w:noWrap w:val="0"/>
                  <w:vAlign w:val="center"/>
                </w:tcPr>
                <w:p w14:paraId="1C2647D7">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项目对制冷剂使用专用设备抽取后使用密闭容器</w:t>
                  </w:r>
                  <w:r>
                    <w:rPr>
                      <w:rFonts w:hint="eastAsia" w:ascii="Times New Roman" w:hAnsi="Times New Roman" w:eastAsia="宋体"/>
                      <w:color w:val="auto"/>
                      <w:spacing w:val="0"/>
                      <w:sz w:val="21"/>
                      <w:highlight w:val="none"/>
                      <w:shd w:val="clear" w:color="auto" w:fill="FFFFFF"/>
                      <w:lang w:eastAsia="zh-CN"/>
                    </w:rPr>
                    <w:t>贮存</w:t>
                  </w:r>
                  <w:r>
                    <w:rPr>
                      <w:rFonts w:hint="eastAsia" w:ascii="Times New Roman" w:hAnsi="Times New Roman" w:eastAsia="宋体"/>
                      <w:color w:val="auto"/>
                      <w:spacing w:val="0"/>
                      <w:sz w:val="21"/>
                      <w:highlight w:val="none"/>
                      <w:shd w:val="clear" w:color="auto" w:fill="FFFFFF"/>
                    </w:rPr>
                    <w:t>，定期交由资质单位处置，不直接排放。</w:t>
                  </w:r>
                </w:p>
              </w:tc>
              <w:tc>
                <w:tcPr>
                  <w:tcW w:w="243" w:type="pct"/>
                  <w:noWrap w:val="0"/>
                  <w:vAlign w:val="center"/>
                </w:tcPr>
                <w:p w14:paraId="48540078">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7AC12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restart"/>
                  <w:noWrap w:val="0"/>
                  <w:vAlign w:val="center"/>
                </w:tcPr>
                <w:p w14:paraId="547D5960">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7.3</w:t>
                  </w:r>
                </w:p>
              </w:tc>
              <w:tc>
                <w:tcPr>
                  <w:tcW w:w="252" w:type="pct"/>
                  <w:vMerge w:val="restart"/>
                  <w:noWrap w:val="0"/>
                  <w:vAlign w:val="center"/>
                </w:tcPr>
                <w:p w14:paraId="60D7D643">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噪声排放控制要求</w:t>
                  </w:r>
                </w:p>
              </w:tc>
              <w:tc>
                <w:tcPr>
                  <w:tcW w:w="2288" w:type="pct"/>
                  <w:noWrap w:val="0"/>
                  <w:vAlign w:val="center"/>
                </w:tcPr>
                <w:p w14:paraId="1C0DB10B">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7.3.1 报废机动车回收拆解企业应采取隔声降噪措施，减小厂界噪声，满足GB12348中的相关要求。</w:t>
                  </w:r>
                </w:p>
              </w:tc>
              <w:tc>
                <w:tcPr>
                  <w:tcW w:w="1989" w:type="pct"/>
                  <w:noWrap w:val="0"/>
                  <w:vAlign w:val="center"/>
                </w:tcPr>
                <w:p w14:paraId="35F6E2D8">
                  <w:pPr>
                    <w:pStyle w:val="25"/>
                    <w:spacing w:before="0" w:beforeLines="0" w:beforeAutospacing="0" w:after="0" w:afterLines="0" w:afterAutospacing="0" w:line="240" w:lineRule="auto"/>
                    <w:ind w:left="0"/>
                    <w:jc w:val="center"/>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项目采取选用低噪声设备，设置基础隔声减振等综合降噪措施，可满足GB12348中的相关要求。</w:t>
                  </w:r>
                </w:p>
              </w:tc>
              <w:tc>
                <w:tcPr>
                  <w:tcW w:w="243" w:type="pct"/>
                  <w:noWrap w:val="0"/>
                  <w:vAlign w:val="center"/>
                </w:tcPr>
                <w:p w14:paraId="753BA691">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69230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continue"/>
                  <w:noWrap w:val="0"/>
                  <w:vAlign w:val="center"/>
                </w:tcPr>
                <w:p w14:paraId="42D64B72">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52" w:type="pct"/>
                  <w:vMerge w:val="continue"/>
                  <w:noWrap w:val="0"/>
                  <w:vAlign w:val="center"/>
                </w:tcPr>
                <w:p w14:paraId="73A9C349">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288" w:type="pct"/>
                  <w:noWrap w:val="0"/>
                  <w:vAlign w:val="center"/>
                </w:tcPr>
                <w:p w14:paraId="0D4E8394">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7.3.2 对于破碎机、分选机、风机等机械设备，应采用合理的降噪、减噪措施。如选用低噪声设备，安装隔振元件、柔性接头、隔振垫等。</w:t>
                  </w:r>
                </w:p>
              </w:tc>
              <w:tc>
                <w:tcPr>
                  <w:tcW w:w="1989" w:type="pct"/>
                  <w:noWrap w:val="0"/>
                  <w:vAlign w:val="center"/>
                </w:tcPr>
                <w:p w14:paraId="413A173A">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lang w:eastAsia="zh-CN"/>
                    </w:rPr>
                  </w:pPr>
                  <w:r>
                    <w:rPr>
                      <w:rFonts w:hint="eastAsia" w:ascii="Times New Roman" w:hAnsi="Times New Roman" w:eastAsia="宋体"/>
                      <w:color w:val="auto"/>
                      <w:spacing w:val="0"/>
                      <w:sz w:val="21"/>
                      <w:highlight w:val="none"/>
                      <w:shd w:val="clear" w:color="auto" w:fill="FFFFFF"/>
                      <w:lang w:eastAsia="zh-CN"/>
                    </w:rPr>
                    <w:t>项目不涉及破碎及后续的分选。</w:t>
                  </w:r>
                </w:p>
              </w:tc>
              <w:tc>
                <w:tcPr>
                  <w:tcW w:w="243" w:type="pct"/>
                  <w:noWrap w:val="0"/>
                  <w:vAlign w:val="center"/>
                </w:tcPr>
                <w:p w14:paraId="77EBA70D">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413E7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continue"/>
                  <w:noWrap w:val="0"/>
                  <w:vAlign w:val="center"/>
                </w:tcPr>
                <w:p w14:paraId="034BCF07">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52" w:type="pct"/>
                  <w:vMerge w:val="continue"/>
                  <w:noWrap w:val="0"/>
                  <w:vAlign w:val="center"/>
                </w:tcPr>
                <w:p w14:paraId="6835555C">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288" w:type="pct"/>
                  <w:noWrap w:val="0"/>
                  <w:vAlign w:val="center"/>
                </w:tcPr>
                <w:p w14:paraId="48C991D7">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7.3.3在空压机、风机等的输气管道或在进气口、排气口上安装消声元件，采取屏蔽隔声措施等。</w:t>
                  </w:r>
                </w:p>
              </w:tc>
              <w:tc>
                <w:tcPr>
                  <w:tcW w:w="1989" w:type="pct"/>
                  <w:noWrap w:val="0"/>
                  <w:vAlign w:val="center"/>
                </w:tcPr>
                <w:p w14:paraId="20C1AC63">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项目采取在空压机、风机等的输气管道或在进气口、排气口上安装消声元件、基础隔声减振等综合降噪措施。</w:t>
                  </w:r>
                </w:p>
              </w:tc>
              <w:tc>
                <w:tcPr>
                  <w:tcW w:w="243" w:type="pct"/>
                  <w:noWrap w:val="0"/>
                  <w:vAlign w:val="center"/>
                </w:tcPr>
                <w:p w14:paraId="02D52094">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69604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continue"/>
                  <w:noWrap w:val="0"/>
                  <w:vAlign w:val="center"/>
                </w:tcPr>
                <w:p w14:paraId="1D34326B">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52" w:type="pct"/>
                  <w:vMerge w:val="continue"/>
                  <w:noWrap w:val="0"/>
                  <w:vAlign w:val="center"/>
                </w:tcPr>
                <w:p w14:paraId="6DF6BF5C">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288" w:type="pct"/>
                  <w:noWrap w:val="0"/>
                  <w:vAlign w:val="center"/>
                </w:tcPr>
                <w:p w14:paraId="5E1CAFFF">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7.3.4对于搬运、手工拆解、车辆运输等非机械噪声产生环节，宜采取可减少固体振动和碰撞过程噪声产生的管理措施，如使用手动运输车辆、车间地面涂刷防护地坪、使用软性传输装置等措施；加强工人的防噪声劳动保护措施，如使用耳塞等。</w:t>
                  </w:r>
                </w:p>
              </w:tc>
              <w:tc>
                <w:tcPr>
                  <w:tcW w:w="1989" w:type="pct"/>
                  <w:noWrap w:val="0"/>
                  <w:vAlign w:val="center"/>
                </w:tcPr>
                <w:p w14:paraId="0C8ABF55">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项目严格作业规范，减少人工噪声产生，并加强工人的防噪声劳动保护，使用耳塞、头罩等。</w:t>
                  </w:r>
                </w:p>
              </w:tc>
              <w:tc>
                <w:tcPr>
                  <w:tcW w:w="243" w:type="pct"/>
                  <w:noWrap w:val="0"/>
                  <w:vAlign w:val="center"/>
                </w:tcPr>
                <w:p w14:paraId="4023B240">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7B6DD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09414D5B">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7.4</w:t>
                  </w:r>
                </w:p>
              </w:tc>
              <w:tc>
                <w:tcPr>
                  <w:tcW w:w="252" w:type="pct"/>
                  <w:noWrap w:val="0"/>
                  <w:vAlign w:val="center"/>
                </w:tcPr>
                <w:p w14:paraId="4F1043B0">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固体废物污染控制要求</w:t>
                  </w:r>
                </w:p>
              </w:tc>
              <w:tc>
                <w:tcPr>
                  <w:tcW w:w="2288" w:type="pct"/>
                  <w:noWrap w:val="0"/>
                  <w:vAlign w:val="center"/>
                </w:tcPr>
                <w:p w14:paraId="2BF52CB8">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一般工业固体废物中不应混入危险废物。拆解过程中产生的一般工业固体废物应满足GB 18599 的其他相关要求；危险废物应满足GB 18597 中的其他相关要求。</w:t>
                  </w:r>
                </w:p>
              </w:tc>
              <w:tc>
                <w:tcPr>
                  <w:tcW w:w="1989" w:type="pct"/>
                  <w:noWrap w:val="0"/>
                  <w:vAlign w:val="center"/>
                </w:tcPr>
                <w:p w14:paraId="39E3F31F">
                  <w:pPr>
                    <w:pStyle w:val="25"/>
                    <w:spacing w:before="0" w:beforeLines="0" w:beforeAutospacing="0" w:after="0" w:afterLines="0" w:afterAutospacing="0" w:line="240" w:lineRule="auto"/>
                    <w:ind w:left="0"/>
                    <w:rPr>
                      <w:rFonts w:hint="default" w:ascii="Times New Roman" w:hAnsi="Times New Roman" w:eastAsia="宋体"/>
                      <w:color w:val="auto"/>
                      <w:spacing w:val="0"/>
                      <w:sz w:val="21"/>
                      <w:highlight w:val="none"/>
                      <w:shd w:val="clear" w:color="auto" w:fill="FFFFFF"/>
                      <w:lang w:val="en-US" w:eastAsia="zh-CN"/>
                    </w:rPr>
                  </w:pPr>
                  <w:r>
                    <w:rPr>
                      <w:rFonts w:hint="eastAsia" w:ascii="Times New Roman" w:hAnsi="Times New Roman" w:eastAsia="宋体"/>
                      <w:color w:val="auto"/>
                      <w:spacing w:val="0"/>
                      <w:sz w:val="21"/>
                      <w:highlight w:val="none"/>
                      <w:shd w:val="clear" w:color="auto" w:fill="FFFFFF"/>
                    </w:rPr>
                    <w:t>项目一般固废和危险废物不</w:t>
                  </w:r>
                  <w:r>
                    <w:rPr>
                      <w:rFonts w:hint="eastAsia" w:ascii="Times New Roman" w:hAnsi="Times New Roman" w:eastAsia="宋体"/>
                      <w:color w:val="auto"/>
                      <w:spacing w:val="0"/>
                      <w:sz w:val="21"/>
                      <w:highlight w:val="none"/>
                      <w:shd w:val="clear" w:color="auto" w:fill="FFFFFF"/>
                      <w:lang w:eastAsia="zh-CN"/>
                    </w:rPr>
                    <w:t>混合</w:t>
                  </w:r>
                  <w:r>
                    <w:rPr>
                      <w:rFonts w:hint="eastAsia" w:ascii="Times New Roman" w:hAnsi="Times New Roman" w:eastAsia="宋体"/>
                      <w:color w:val="auto"/>
                      <w:spacing w:val="0"/>
                      <w:sz w:val="21"/>
                      <w:highlight w:val="none"/>
                      <w:shd w:val="clear" w:color="auto" w:fill="FFFFFF"/>
                    </w:rPr>
                    <w:t>存放，项目一般固废贮存、处置将按GB 18599 相关要求进行，危险废物贮存、处置将按照GB 18597中相关要求进行</w:t>
                  </w:r>
                  <w:r>
                    <w:rPr>
                      <w:rFonts w:hint="eastAsia" w:ascii="Times New Roman" w:hAnsi="Times New Roman" w:eastAsia="宋体"/>
                      <w:color w:val="auto"/>
                      <w:spacing w:val="0"/>
                      <w:sz w:val="21"/>
                      <w:highlight w:val="none"/>
                      <w:shd w:val="clear" w:color="auto" w:fill="FFFFFF"/>
                      <w:lang w:eastAsia="zh-CN"/>
                    </w:rPr>
                    <w:t>，</w:t>
                  </w:r>
                  <w:r>
                    <w:rPr>
                      <w:rFonts w:hint="eastAsia" w:ascii="Times New Roman" w:hAnsi="Times New Roman" w:eastAsia="宋体"/>
                      <w:color w:val="auto"/>
                      <w:spacing w:val="0"/>
                      <w:sz w:val="21"/>
                      <w:highlight w:val="none"/>
                      <w:shd w:val="clear" w:color="auto" w:fill="FFFFFF"/>
                      <w:lang w:val="en-US" w:eastAsia="zh-CN"/>
                    </w:rPr>
                    <w:t>其中</w:t>
                  </w:r>
                  <w:r>
                    <w:rPr>
                      <w:rFonts w:hint="eastAsia" w:ascii="Times New Roman" w:hAnsi="Times New Roman" w:eastAsia="宋体"/>
                      <w:color w:val="auto"/>
                      <w:spacing w:val="0"/>
                      <w:sz w:val="21"/>
                      <w:highlight w:val="none"/>
                      <w:shd w:val="clear" w:color="auto" w:fill="FFFFFF"/>
                    </w:rPr>
                    <w:t>危废暂存间内废铅酸蓄电池隔间还应按照《电池废料贮运规范》（GB/T 26493-2011）</w:t>
                  </w:r>
                  <w:r>
                    <w:rPr>
                      <w:rFonts w:hint="eastAsia" w:ascii="Times New Roman" w:hAnsi="Times New Roman" w:eastAsia="宋体"/>
                      <w:color w:val="auto"/>
                      <w:spacing w:val="0"/>
                      <w:sz w:val="21"/>
                      <w:highlight w:val="none"/>
                      <w:shd w:val="clear" w:color="auto" w:fill="FFFFFF"/>
                      <w:lang w:eastAsia="zh-CN"/>
                    </w:rPr>
                    <w:t>等</w:t>
                  </w:r>
                  <w:r>
                    <w:rPr>
                      <w:rFonts w:hint="eastAsia" w:ascii="Times New Roman" w:hAnsi="Times New Roman" w:eastAsia="宋体"/>
                      <w:color w:val="auto"/>
                      <w:spacing w:val="0"/>
                      <w:sz w:val="21"/>
                      <w:highlight w:val="none"/>
                      <w:shd w:val="clear" w:color="auto" w:fill="FFFFFF"/>
                    </w:rPr>
                    <w:t>规定，地面设置耐酸隔离层。</w:t>
                  </w:r>
                </w:p>
              </w:tc>
              <w:tc>
                <w:tcPr>
                  <w:tcW w:w="243" w:type="pct"/>
                  <w:noWrap w:val="0"/>
                  <w:vAlign w:val="center"/>
                </w:tcPr>
                <w:p w14:paraId="26EA5D41">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47151D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14:paraId="0F80E3DC">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b/>
                      <w:bCs/>
                      <w:color w:val="auto"/>
                      <w:spacing w:val="0"/>
                      <w:sz w:val="21"/>
                      <w:highlight w:val="none"/>
                      <w:shd w:val="clear" w:color="auto" w:fill="FFFFFF"/>
                    </w:rPr>
                    <w:t>8、企业环境管理要求</w:t>
                  </w:r>
                </w:p>
              </w:tc>
            </w:tr>
            <w:tr w14:paraId="285D6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restart"/>
                  <w:noWrap w:val="0"/>
                  <w:vAlign w:val="center"/>
                </w:tcPr>
                <w:p w14:paraId="609A189F">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8.1</w:t>
                  </w:r>
                </w:p>
              </w:tc>
              <w:tc>
                <w:tcPr>
                  <w:tcW w:w="252" w:type="pct"/>
                  <w:vMerge w:val="restart"/>
                  <w:noWrap w:val="0"/>
                  <w:vAlign w:val="center"/>
                </w:tcPr>
                <w:p w14:paraId="47CEE37E">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固体废物管理要求</w:t>
                  </w:r>
                </w:p>
              </w:tc>
              <w:tc>
                <w:tcPr>
                  <w:tcW w:w="2288" w:type="pct"/>
                  <w:noWrap w:val="0"/>
                  <w:vAlign w:val="center"/>
                </w:tcPr>
                <w:p w14:paraId="127CFF35">
                  <w:pPr>
                    <w:pStyle w:val="25"/>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8.1.1企业应建立、健全一般工业固体废物污染环境防治责任制度，采取以下措施防止造成环境污染：a） 建立一般工业固体废物台账记录，应满足一般工业固体废物管理台账制定指南相关要求；b） 分类收集后贮存应设置标识标签，注明拆解产物的名称、贮存时间、数量等信息；贮存过程应采取防止货物和包装损坏或泄漏。</w:t>
                  </w:r>
                </w:p>
              </w:tc>
              <w:tc>
                <w:tcPr>
                  <w:tcW w:w="1989" w:type="pct"/>
                  <w:noWrap w:val="0"/>
                  <w:vAlign w:val="center"/>
                </w:tcPr>
                <w:p w14:paraId="64E46031">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项目将按照规范要求建立、健全一般工业固体废物污染环境防治责任制度，建立台账，设置标识标签，注明相关信息，贮存过程轻拿轻放，定期检查包装，防止货物和包装损坏或泄漏。</w:t>
                  </w:r>
                </w:p>
              </w:tc>
              <w:tc>
                <w:tcPr>
                  <w:tcW w:w="243" w:type="pct"/>
                  <w:noWrap w:val="0"/>
                  <w:vAlign w:val="center"/>
                </w:tcPr>
                <w:p w14:paraId="44549815">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39A3E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continue"/>
                  <w:noWrap w:val="0"/>
                  <w:vAlign w:val="center"/>
                </w:tcPr>
                <w:p w14:paraId="40886FCE">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52" w:type="pct"/>
                  <w:vMerge w:val="continue"/>
                  <w:noWrap w:val="0"/>
                  <w:vAlign w:val="center"/>
                </w:tcPr>
                <w:p w14:paraId="28E5B779">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288" w:type="pct"/>
                  <w:noWrap w:val="0"/>
                  <w:vAlign w:val="center"/>
                </w:tcPr>
                <w:p w14:paraId="3EA97C66">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8.1.2企业应建立、健全污染环境防治责任制度，采取以下措施严格控制危险废物造成环境污染：a） 制定危险废物管理计划和建立危险废物台账记录，应满足HJ 1259 相关要求；b） 交由持有危险废物经营许可证并具有相关经营范围的企业进行处理，并签订委托处理合同；c） 拆解过程产生的固体废物危险特性不明时，按照相关要求开展危险废物鉴别工作；d） 转移危险废物时，应严格执行《危险废物转移管理办法》有关要求。</w:t>
                  </w:r>
                </w:p>
              </w:tc>
              <w:tc>
                <w:tcPr>
                  <w:tcW w:w="1989" w:type="pct"/>
                  <w:noWrap w:val="0"/>
                  <w:vAlign w:val="center"/>
                </w:tcPr>
                <w:p w14:paraId="52CCB0C1">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项目将按照相关要求，建立、健全污染环境防治责任制度，严格控制危险废物造成环境污染，按HJ1259要求制定危废管理计划和台账，与资质单位签订协议，危险</w:t>
                  </w:r>
                  <w:r>
                    <w:rPr>
                      <w:rFonts w:hint="eastAsia" w:ascii="Times New Roman" w:hAnsi="Times New Roman" w:eastAsia="宋体"/>
                      <w:color w:val="auto"/>
                      <w:spacing w:val="0"/>
                      <w:sz w:val="21"/>
                      <w:highlight w:val="none"/>
                      <w:shd w:val="clear" w:color="auto" w:fill="FFFFFF"/>
                      <w:lang w:eastAsia="zh-CN"/>
                    </w:rPr>
                    <w:t>废物</w:t>
                  </w:r>
                  <w:r>
                    <w:rPr>
                      <w:rFonts w:hint="eastAsia" w:ascii="Times New Roman" w:hAnsi="Times New Roman" w:eastAsia="宋体"/>
                      <w:color w:val="auto"/>
                      <w:spacing w:val="0"/>
                      <w:sz w:val="21"/>
                      <w:highlight w:val="none"/>
                      <w:shd w:val="clear" w:color="auto" w:fill="FFFFFF"/>
                    </w:rPr>
                    <w:t>定期委托资质单位清运处置，并按《危险废物转移管理办法》有关要求转移危废。项目无需要</w:t>
                  </w:r>
                  <w:r>
                    <w:rPr>
                      <w:rFonts w:hint="eastAsia" w:ascii="Times New Roman" w:hAnsi="Times New Roman" w:eastAsia="宋体"/>
                      <w:color w:val="auto"/>
                      <w:spacing w:val="0"/>
                      <w:sz w:val="21"/>
                      <w:highlight w:val="none"/>
                      <w:shd w:val="clear" w:color="auto" w:fill="FFFFFF"/>
                      <w:lang w:val="en-US" w:eastAsia="zh-CN"/>
                    </w:rPr>
                    <w:t>鉴别</w:t>
                  </w:r>
                  <w:r>
                    <w:rPr>
                      <w:rFonts w:hint="eastAsia" w:ascii="Times New Roman" w:hAnsi="Times New Roman" w:eastAsia="宋体"/>
                      <w:color w:val="auto"/>
                      <w:spacing w:val="0"/>
                      <w:sz w:val="21"/>
                      <w:highlight w:val="none"/>
                      <w:shd w:val="clear" w:color="auto" w:fill="FFFFFF"/>
                    </w:rPr>
                    <w:t>固体废物。</w:t>
                  </w:r>
                </w:p>
              </w:tc>
              <w:tc>
                <w:tcPr>
                  <w:tcW w:w="243" w:type="pct"/>
                  <w:noWrap w:val="0"/>
                  <w:vAlign w:val="center"/>
                </w:tcPr>
                <w:p w14:paraId="0455966F">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3C963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restart"/>
                  <w:noWrap w:val="0"/>
                  <w:vAlign w:val="center"/>
                </w:tcPr>
                <w:p w14:paraId="62691762">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8.2</w:t>
                  </w:r>
                </w:p>
              </w:tc>
              <w:tc>
                <w:tcPr>
                  <w:tcW w:w="252" w:type="pct"/>
                  <w:vMerge w:val="restart"/>
                  <w:noWrap w:val="0"/>
                  <w:vAlign w:val="center"/>
                </w:tcPr>
                <w:p w14:paraId="21B41300">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环境监测要求</w:t>
                  </w:r>
                </w:p>
              </w:tc>
              <w:tc>
                <w:tcPr>
                  <w:tcW w:w="2288" w:type="pct"/>
                  <w:noWrap w:val="0"/>
                  <w:vAlign w:val="center"/>
                </w:tcPr>
                <w:p w14:paraId="6D388896">
                  <w:pPr>
                    <w:pStyle w:val="25"/>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8.2.1报废机动车回收拆解企业应按照HJ 819 等规定，建立企业监测制度，制定自行监测方案，对污染物排放状况及其周边环境质量的影响开展自行监测，保存原始监测记录，并公布监测结果，监测报告记录应至少保存3 年。</w:t>
                  </w:r>
                </w:p>
              </w:tc>
              <w:tc>
                <w:tcPr>
                  <w:tcW w:w="1989" w:type="pct"/>
                  <w:vMerge w:val="restart"/>
                  <w:noWrap w:val="0"/>
                  <w:vAlign w:val="center"/>
                </w:tcPr>
                <w:p w14:paraId="20FF8506">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项目将按照</w:t>
                  </w:r>
                  <w:r>
                    <w:rPr>
                      <w:rFonts w:hint="eastAsia" w:ascii="Times New Roman" w:hAnsi="Times New Roman" w:eastAsia="宋体"/>
                      <w:color w:val="auto"/>
                      <w:spacing w:val="0"/>
                      <w:sz w:val="21"/>
                      <w:highlight w:val="none"/>
                      <w:shd w:val="clear" w:color="auto" w:fill="FFFFFF"/>
                      <w:lang w:eastAsia="zh-CN"/>
                    </w:rPr>
                    <w:t>要求建立监测制度，制定自行监测方案，</w:t>
                  </w:r>
                  <w:r>
                    <w:rPr>
                      <w:rFonts w:hint="eastAsia" w:ascii="Times New Roman" w:hAnsi="Times New Roman" w:eastAsia="宋体"/>
                      <w:color w:val="auto"/>
                      <w:spacing w:val="0"/>
                      <w:sz w:val="21"/>
                      <w:highlight w:val="none"/>
                      <w:shd w:val="clear" w:color="auto" w:fill="FFFFFF"/>
                    </w:rPr>
                    <w:t>委托资质单位定期开展自行监测，公开监测结果并将报告记录保持3年以上。</w:t>
                  </w:r>
                </w:p>
              </w:tc>
              <w:tc>
                <w:tcPr>
                  <w:tcW w:w="243" w:type="pct"/>
                  <w:noWrap w:val="0"/>
                  <w:vAlign w:val="center"/>
                </w:tcPr>
                <w:p w14:paraId="08DD5D26">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7D232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continue"/>
                  <w:noWrap w:val="0"/>
                  <w:vAlign w:val="center"/>
                </w:tcPr>
                <w:p w14:paraId="1E9BBAE7">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52" w:type="pct"/>
                  <w:vMerge w:val="continue"/>
                  <w:noWrap w:val="0"/>
                  <w:vAlign w:val="center"/>
                </w:tcPr>
                <w:p w14:paraId="1CB9B4A7">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288" w:type="pct"/>
                  <w:noWrap w:val="0"/>
                  <w:vAlign w:val="center"/>
                </w:tcPr>
                <w:p w14:paraId="4B565736">
                  <w:pPr>
                    <w:pStyle w:val="25"/>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8.2.2自行监测方案应包括企业基本情况、监测点位、监测频次、监测指标（含特征污染物）、执行排放标准及其限值、监测方法和仪器、监测质量控制、监测点位示意图、监测结果信息公开时限、应急监测方案等。</w:t>
                  </w:r>
                </w:p>
              </w:tc>
              <w:tc>
                <w:tcPr>
                  <w:tcW w:w="1989" w:type="pct"/>
                  <w:vMerge w:val="continue"/>
                  <w:noWrap w:val="0"/>
                  <w:vAlign w:val="center"/>
                </w:tcPr>
                <w:p w14:paraId="4AF1104F">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43" w:type="pct"/>
                  <w:noWrap w:val="0"/>
                  <w:vAlign w:val="center"/>
                </w:tcPr>
                <w:p w14:paraId="53F55DF3">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5F7E8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vMerge w:val="continue"/>
                  <w:noWrap w:val="0"/>
                  <w:vAlign w:val="center"/>
                </w:tcPr>
                <w:p w14:paraId="1DD0E25C">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52" w:type="pct"/>
                  <w:vMerge w:val="continue"/>
                  <w:noWrap w:val="0"/>
                  <w:vAlign w:val="center"/>
                </w:tcPr>
                <w:p w14:paraId="1292E23C">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288" w:type="pct"/>
                  <w:noWrap w:val="0"/>
                  <w:vAlign w:val="center"/>
                </w:tcPr>
                <w:p w14:paraId="68CE1E1F">
                  <w:pPr>
                    <w:pStyle w:val="25"/>
                    <w:spacing w:before="0" w:beforeLines="0" w:beforeAutospacing="0" w:after="0" w:afterLines="0" w:afterAutospacing="0" w:line="240" w:lineRule="auto"/>
                    <w:ind w:left="0"/>
                    <w:jc w:val="left"/>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8.2.3报废机动车回收拆解企业不具备自行监测能力的，应委托具有监测服务资质的单位监测。</w:t>
                  </w:r>
                </w:p>
              </w:tc>
              <w:tc>
                <w:tcPr>
                  <w:tcW w:w="1989" w:type="pct"/>
                  <w:vMerge w:val="continue"/>
                  <w:noWrap w:val="0"/>
                  <w:vAlign w:val="center"/>
                </w:tcPr>
                <w:p w14:paraId="27738D50">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p>
              </w:tc>
              <w:tc>
                <w:tcPr>
                  <w:tcW w:w="243" w:type="pct"/>
                  <w:noWrap w:val="0"/>
                  <w:vAlign w:val="center"/>
                </w:tcPr>
                <w:p w14:paraId="50B8E54F">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45CA6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4F9ED3BA">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8.3</w:t>
                  </w:r>
                </w:p>
              </w:tc>
              <w:tc>
                <w:tcPr>
                  <w:tcW w:w="252" w:type="pct"/>
                  <w:noWrap w:val="0"/>
                  <w:vAlign w:val="center"/>
                </w:tcPr>
                <w:p w14:paraId="61256E77">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技术人员管理要求</w:t>
                  </w:r>
                </w:p>
              </w:tc>
              <w:tc>
                <w:tcPr>
                  <w:tcW w:w="2288" w:type="pct"/>
                  <w:noWrap w:val="0"/>
                  <w:vAlign w:val="center"/>
                </w:tcPr>
                <w:p w14:paraId="58E2D2AB">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报废机动车回收拆解企业应对操作人员、技术人员及管理人员进行环境保护相关的法律法规、环境应急处理等理论知识和操作技能培训。培训应包含以下内容：</w:t>
                  </w:r>
                </w:p>
                <w:p w14:paraId="4E777538">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a）有关环境保护法律法规要求；</w:t>
                  </w:r>
                </w:p>
                <w:p w14:paraId="291C6236">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b）企业生产的工艺流程、污染物的产生环节和污染防治措施；</w:t>
                  </w:r>
                </w:p>
                <w:p w14:paraId="7972AC06">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c）环境污染物的排放限值；</w:t>
                  </w:r>
                </w:p>
                <w:p w14:paraId="5D6BA431">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d）污染防治设备设施的运行维护要求；</w:t>
                  </w:r>
                </w:p>
                <w:p w14:paraId="3252A0C6">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e）发生突发环境事件的处理措施等。</w:t>
                  </w:r>
                </w:p>
              </w:tc>
              <w:tc>
                <w:tcPr>
                  <w:tcW w:w="1989" w:type="pct"/>
                  <w:noWrap w:val="0"/>
                  <w:vAlign w:val="center"/>
                </w:tcPr>
                <w:p w14:paraId="537701A5">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项目将对人员进行相关环境保护法律法规要求、工业流程、污染防治、污染物排放、治理设备维护、突发环境事件处理等方面的培训。</w:t>
                  </w:r>
                </w:p>
              </w:tc>
              <w:tc>
                <w:tcPr>
                  <w:tcW w:w="243" w:type="pct"/>
                  <w:noWrap w:val="0"/>
                  <w:vAlign w:val="center"/>
                </w:tcPr>
                <w:p w14:paraId="083FD8D8">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r w14:paraId="145E8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 w:type="pct"/>
                  <w:noWrap w:val="0"/>
                  <w:vAlign w:val="center"/>
                </w:tcPr>
                <w:p w14:paraId="7ED81D02">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8.4</w:t>
                  </w:r>
                </w:p>
              </w:tc>
              <w:tc>
                <w:tcPr>
                  <w:tcW w:w="252" w:type="pct"/>
                  <w:noWrap w:val="0"/>
                  <w:vAlign w:val="center"/>
                </w:tcPr>
                <w:p w14:paraId="52D238DF">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突发环境事件应急预案</w:t>
                  </w:r>
                </w:p>
              </w:tc>
              <w:tc>
                <w:tcPr>
                  <w:tcW w:w="2288" w:type="pct"/>
                  <w:noWrap w:val="0"/>
                  <w:vAlign w:val="center"/>
                </w:tcPr>
                <w:p w14:paraId="4CE1968C">
                  <w:pPr>
                    <w:pStyle w:val="25"/>
                    <w:spacing w:before="0" w:beforeLines="0" w:beforeAutospacing="0" w:after="0" w:afterLines="0" w:afterAutospacing="0" w:line="240" w:lineRule="auto"/>
                    <w:ind w:left="0"/>
                    <w:jc w:val="left"/>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报废机动车回收拆解企业应健全企业突发环境事件应对工作机制，包括编制突发环境事件应急预案、制定突发环境事件应急预案培训演练制度、定期开展培训演练等。发生突发环境事件时，企业立即启动相应突发环境事件应急预案，并按突发环境事件应急预案要求向生态环境等部门报告。</w:t>
                  </w:r>
                </w:p>
              </w:tc>
              <w:tc>
                <w:tcPr>
                  <w:tcW w:w="1989" w:type="pct"/>
                  <w:noWrap w:val="0"/>
                  <w:vAlign w:val="center"/>
                </w:tcPr>
                <w:p w14:paraId="742C0931">
                  <w:pPr>
                    <w:pStyle w:val="25"/>
                    <w:spacing w:before="0" w:beforeLines="0" w:beforeAutospacing="0" w:after="0" w:afterLines="0" w:afterAutospacing="0" w:line="240" w:lineRule="auto"/>
                    <w:ind w:left="0"/>
                    <w:rPr>
                      <w:rFonts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项目将</w:t>
                  </w:r>
                  <w:r>
                    <w:rPr>
                      <w:rFonts w:hint="eastAsia" w:ascii="Times New Roman" w:hAnsi="Times New Roman" w:eastAsia="宋体"/>
                      <w:color w:val="auto"/>
                      <w:spacing w:val="0"/>
                      <w:sz w:val="21"/>
                      <w:highlight w:val="none"/>
                      <w:shd w:val="clear" w:color="auto" w:fill="FFFFFF"/>
                      <w:lang w:eastAsia="zh-CN"/>
                    </w:rPr>
                    <w:t>建立</w:t>
                  </w:r>
                  <w:r>
                    <w:rPr>
                      <w:rFonts w:hint="eastAsia" w:ascii="Times New Roman" w:hAnsi="Times New Roman" w:eastAsia="宋体"/>
                      <w:color w:val="auto"/>
                      <w:spacing w:val="0"/>
                      <w:sz w:val="21"/>
                      <w:highlight w:val="none"/>
                      <w:shd w:val="clear" w:color="auto" w:fill="FFFFFF"/>
                    </w:rPr>
                    <w:t>健全企业突发环境事件应对工作机制，制定应急预案并备案，定期开展应急演练等，在突发事件来临时及时启动应急预案，并向有关部门报告。</w:t>
                  </w:r>
                </w:p>
              </w:tc>
              <w:tc>
                <w:tcPr>
                  <w:tcW w:w="243" w:type="pct"/>
                  <w:noWrap w:val="0"/>
                  <w:vAlign w:val="center"/>
                </w:tcPr>
                <w:p w14:paraId="46E00228">
                  <w:pPr>
                    <w:pStyle w:val="25"/>
                    <w:spacing w:before="0" w:beforeLines="0" w:beforeAutospacing="0" w:after="0" w:afterLines="0" w:afterAutospacing="0" w:line="240" w:lineRule="auto"/>
                    <w:ind w:left="0"/>
                    <w:rPr>
                      <w:rFonts w:hint="eastAsia" w:ascii="Times New Roman" w:hAnsi="Times New Roman" w:eastAsia="宋体"/>
                      <w:color w:val="auto"/>
                      <w:spacing w:val="0"/>
                      <w:sz w:val="21"/>
                      <w:highlight w:val="none"/>
                      <w:shd w:val="clear" w:color="auto" w:fill="FFFFFF"/>
                    </w:rPr>
                  </w:pPr>
                  <w:r>
                    <w:rPr>
                      <w:rFonts w:hint="eastAsia" w:ascii="Times New Roman" w:hAnsi="Times New Roman" w:eastAsia="宋体"/>
                      <w:color w:val="auto"/>
                      <w:spacing w:val="0"/>
                      <w:sz w:val="21"/>
                      <w:highlight w:val="none"/>
                      <w:shd w:val="clear" w:color="auto" w:fill="FFFFFF"/>
                    </w:rPr>
                    <w:t>符合</w:t>
                  </w:r>
                </w:p>
              </w:tc>
            </w:tr>
          </w:tbl>
          <w:p w14:paraId="02289668">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color w:val="auto"/>
                <w:lang w:val="en-US" w:eastAsia="zh-CN"/>
              </w:rPr>
            </w:pPr>
            <w:r>
              <w:rPr>
                <w:rFonts w:hint="eastAsia" w:ascii="Times New Roman" w:hAnsi="Times New Roman"/>
                <w:color w:val="auto"/>
                <w:lang w:val="en-US" w:eastAsia="zh-CN"/>
              </w:rPr>
              <w:t>综上，项目废机动车拆解符合《报废机动车回收拆解企业技术规范》（GB 22128-2019）、《报废机动车拆解污染控制技术规范》（HJ348-2022）文件中对报废汽车拆解企业相关要求。</w:t>
            </w:r>
          </w:p>
          <w:p w14:paraId="42EFC909">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default" w:ascii="Times New Roman" w:hAnsi="Times New Roman" w:eastAsia="宋体" w:cs="Times New Roman"/>
                <w:color w:val="auto"/>
                <w:kern w:val="2"/>
                <w:sz w:val="21"/>
                <w:szCs w:val="24"/>
                <w:lang w:val="en-US" w:eastAsia="zh-CN" w:bidi="ar-SA"/>
              </w:rPr>
            </w:pPr>
          </w:p>
        </w:tc>
      </w:tr>
    </w:tbl>
    <w:p w14:paraId="38281E34">
      <w:pPr>
        <w:pStyle w:val="17"/>
        <w:jc w:val="both"/>
        <w:outlineLvl w:val="0"/>
        <w:rPr>
          <w:rFonts w:hint="default" w:ascii="Times New Roman" w:hAnsi="Times New Roman" w:eastAsia="黑体" w:cs="Times New Roman"/>
          <w:snapToGrid w:val="0"/>
          <w:color w:val="auto"/>
          <w:sz w:val="30"/>
          <w:szCs w:val="30"/>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8257"/>
      </w:tblGrid>
      <w:tr w14:paraId="0680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8" w:hRule="atLeast"/>
        </w:trPr>
        <w:tc>
          <w:tcPr>
            <w:tcW w:w="803" w:type="dxa"/>
            <w:noWrap w:val="0"/>
            <w:vAlign w:val="top"/>
          </w:tcPr>
          <w:p w14:paraId="61B9EBEA">
            <w:pPr>
              <w:pStyle w:val="17"/>
              <w:jc w:val="both"/>
              <w:outlineLvl w:val="0"/>
              <w:rPr>
                <w:rFonts w:hint="default" w:ascii="Times New Roman" w:hAnsi="Times New Roman" w:eastAsia="黑体" w:cs="Times New Roman"/>
                <w:snapToGrid w:val="0"/>
                <w:color w:val="auto"/>
                <w:sz w:val="30"/>
                <w:szCs w:val="30"/>
                <w:vertAlign w:val="baseline"/>
              </w:rPr>
            </w:pPr>
          </w:p>
        </w:tc>
        <w:tc>
          <w:tcPr>
            <w:tcW w:w="8257" w:type="dxa"/>
            <w:noWrap w:val="0"/>
            <w:vAlign w:val="top"/>
          </w:tcPr>
          <w:p w14:paraId="4D58D54E">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（2）废变压器拆解产业规范符合性分析</w:t>
            </w:r>
          </w:p>
          <w:p w14:paraId="5241BFD4">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本项目与《电力变压器更新改造和回收利用实施指南（2023 版）》符合性分析如下：</w:t>
            </w:r>
          </w:p>
          <w:p w14:paraId="4F96DCD5">
            <w:pPr>
              <w:spacing w:before="120" w:beforeLines="50"/>
              <w:jc w:val="center"/>
              <w:rPr>
                <w:rFonts w:hint="default" w:ascii="Times New Roman" w:hAnsi="Times New Roman" w:eastAsia="黑体" w:cs="Times New Roman"/>
                <w:color w:val="auto"/>
                <w:sz w:val="21"/>
                <w:szCs w:val="21"/>
              </w:rPr>
            </w:pPr>
            <w:r>
              <w:rPr>
                <w:rFonts w:hint="eastAsia" w:ascii="Times New Roman" w:hAnsi="Times New Roman" w:eastAsia="黑体" w:cs="Times New Roman"/>
                <w:color w:val="auto"/>
                <w:sz w:val="21"/>
                <w:szCs w:val="21"/>
              </w:rPr>
              <w:t>表</w:t>
            </w:r>
            <w:r>
              <w:rPr>
                <w:rFonts w:hint="eastAsia" w:ascii="Times New Roman" w:hAnsi="Times New Roman" w:eastAsia="黑体" w:cs="Times New Roman"/>
                <w:color w:val="auto"/>
                <w:sz w:val="21"/>
                <w:szCs w:val="21"/>
                <w:lang w:val="en-US" w:eastAsia="zh-CN"/>
              </w:rPr>
              <w:t>1-7与《电力变压器更新改造和回收利用实施指南（2023 版）</w:t>
            </w:r>
            <w:r>
              <w:rPr>
                <w:rFonts w:hint="default" w:ascii="Times New Roman" w:hAnsi="Times New Roman" w:eastAsia="黑体" w:cs="Times New Roman"/>
                <w:color w:val="auto"/>
                <w:sz w:val="21"/>
                <w:szCs w:val="21"/>
                <w:lang w:val="en-US" w:eastAsia="zh-CN"/>
              </w:rPr>
              <w:t>》</w:t>
            </w:r>
            <w:r>
              <w:rPr>
                <w:rFonts w:hint="eastAsia" w:ascii="Times New Roman" w:hAnsi="Times New Roman" w:eastAsia="黑体" w:cs="Times New Roman"/>
                <w:color w:val="auto"/>
                <w:sz w:val="21"/>
                <w:szCs w:val="21"/>
                <w:lang w:val="en-US" w:eastAsia="zh-CN"/>
              </w:rPr>
              <w:t>符合性分析</w:t>
            </w:r>
            <w:r>
              <w:rPr>
                <w:rFonts w:hint="default" w:ascii="Times New Roman" w:hAnsi="Times New Roman" w:eastAsia="黑体" w:cs="Times New Roman"/>
                <w:color w:val="auto"/>
                <w:sz w:val="21"/>
                <w:szCs w:val="21"/>
              </w:rPr>
              <w:t>一览表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06"/>
              <w:gridCol w:w="3845"/>
              <w:gridCol w:w="2726"/>
              <w:gridCol w:w="958"/>
            </w:tblGrid>
            <w:tr w14:paraId="2C95F5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5" w:type="pct"/>
                  <w:noWrap w:val="0"/>
                  <w:vAlign w:val="center"/>
                </w:tcPr>
                <w:p w14:paraId="4AC19B8D">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392" w:type="pct"/>
                  <w:tcBorders>
                    <w:right w:val="single" w:color="auto" w:sz="4" w:space="0"/>
                  </w:tcBorders>
                  <w:noWrap w:val="0"/>
                  <w:vAlign w:val="center"/>
                </w:tcPr>
                <w:p w14:paraId="1D7E6683">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相关内容</w:t>
                  </w:r>
                  <w:r>
                    <w:rPr>
                      <w:rFonts w:hint="eastAsia" w:ascii="Times New Roman" w:hAnsi="Times New Roman" w:cs="Times New Roman"/>
                      <w:color w:val="auto"/>
                      <w:sz w:val="21"/>
                      <w:szCs w:val="21"/>
                      <w:lang w:eastAsia="zh-CN"/>
                    </w:rPr>
                    <w:t>（摘录）</w:t>
                  </w:r>
                </w:p>
              </w:tc>
              <w:tc>
                <w:tcPr>
                  <w:tcW w:w="1696" w:type="pct"/>
                  <w:tcBorders>
                    <w:left w:val="single" w:color="auto" w:sz="4" w:space="0"/>
                    <w:right w:val="single" w:color="auto" w:sz="4" w:space="0"/>
                  </w:tcBorders>
                  <w:noWrap w:val="0"/>
                  <w:vAlign w:val="center"/>
                </w:tcPr>
                <w:p w14:paraId="712AA29B">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项目情况</w:t>
                  </w:r>
                </w:p>
              </w:tc>
              <w:tc>
                <w:tcPr>
                  <w:tcW w:w="595" w:type="pct"/>
                  <w:tcBorders>
                    <w:left w:val="single" w:color="auto" w:sz="4" w:space="0"/>
                  </w:tcBorders>
                  <w:noWrap w:val="0"/>
                  <w:vAlign w:val="center"/>
                </w:tcPr>
                <w:p w14:paraId="47BBA484">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符合性</w:t>
                  </w:r>
                </w:p>
              </w:tc>
            </w:tr>
            <w:tr w14:paraId="680FF9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5" w:type="pct"/>
                  <w:noWrap w:val="0"/>
                  <w:vAlign w:val="center"/>
                </w:tcPr>
                <w:p w14:paraId="2C21290F">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392" w:type="pct"/>
                  <w:tcBorders>
                    <w:right w:val="single" w:color="auto" w:sz="4" w:space="0"/>
                  </w:tcBorders>
                  <w:noWrap w:val="0"/>
                  <w:vAlign w:val="center"/>
                </w:tcPr>
                <w:p w14:paraId="39D7ED22">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二）规范废旧电力变压器回收。从事再生资源回收经营活动，需按照《再生资源回收管理办法》有关要求，完成再生资源回收经营者备案，回收生产性废旧金属的企业应建立回收生产性废旧金属信息登记制度，对生产性废旧金属的数量、规格、新旧程度等如实登记，登记资料保存期限不得少于两年。对涉及含油的废旧电力变压器应有废油回收储存设备和相关处理  措施。鼓励电力变压器生产企业结合实际通过以旧换新等方式回收旧电力变压器。</w:t>
                  </w:r>
                </w:p>
              </w:tc>
              <w:tc>
                <w:tcPr>
                  <w:tcW w:w="1696" w:type="pct"/>
                  <w:tcBorders>
                    <w:left w:val="single" w:color="auto" w:sz="4" w:space="0"/>
                    <w:right w:val="single" w:color="auto" w:sz="4" w:space="0"/>
                  </w:tcBorders>
                  <w:noWrap w:val="0"/>
                  <w:vAlign w:val="center"/>
                </w:tcPr>
                <w:p w14:paraId="307A751D">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项目建设单位具有法人资格</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将按照《再生资源回收管理办法》有关要求，完成再生资源回收经营者备案，并建立回收生产性废旧金属信息登记制度</w:t>
                  </w:r>
                  <w:r>
                    <w:rPr>
                      <w:rFonts w:hint="eastAsia" w:ascii="Times New Roman" w:hAnsi="Times New Roman" w:eastAsia="宋体" w:cs="Times New Roman"/>
                      <w:color w:val="auto"/>
                      <w:sz w:val="21"/>
                      <w:szCs w:val="21"/>
                      <w:lang w:val="en-US" w:eastAsia="zh-CN"/>
                    </w:rPr>
                    <w:t>进行信息登记，登记资料保存期限不少于两年。</w:t>
                  </w:r>
                </w:p>
                <w:p w14:paraId="259A1E35">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项目对含油废变压器配套专用抽油设备和储油容器，经收集的废变压器油在危险废物暂存间暂存，定期委托资质单位清运处置。</w:t>
                  </w:r>
                </w:p>
              </w:tc>
              <w:tc>
                <w:tcPr>
                  <w:tcW w:w="595" w:type="pct"/>
                  <w:tcBorders>
                    <w:left w:val="single" w:color="auto" w:sz="4" w:space="0"/>
                  </w:tcBorders>
                  <w:noWrap w:val="0"/>
                  <w:vAlign w:val="center"/>
                </w:tcPr>
                <w:p w14:paraId="74AD1023">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0FED7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5" w:type="pct"/>
                  <w:noWrap w:val="0"/>
                  <w:vAlign w:val="center"/>
                </w:tcPr>
                <w:p w14:paraId="673C122C">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2392" w:type="pct"/>
                  <w:tcBorders>
                    <w:right w:val="single" w:color="auto" w:sz="4" w:space="0"/>
                  </w:tcBorders>
                  <w:noWrap w:val="0"/>
                  <w:vAlign w:val="center"/>
                </w:tcPr>
                <w:p w14:paraId="7097F9B8">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三）提升废旧电力变压器拆解利用水平。鼓励相关企业开发使用节能、环保、高效的新技术、新工艺、新装备，提升废旧电力变压器精细化拆解水平。加强废旧电力变压器精细化检测、拆解技术的攻关研究，积极开发废旧电力变压器成套自动化智能化拆解设备。鼓励企业编制废旧电力变压 器集中拆解台账，规范处置硅钢片、铜、铝等材料。变压器绝缘油应严格 按照国家危险废物相关管理规定进行处置。</w:t>
                  </w:r>
                </w:p>
              </w:tc>
              <w:tc>
                <w:tcPr>
                  <w:tcW w:w="1696" w:type="pct"/>
                  <w:tcBorders>
                    <w:left w:val="single" w:color="auto" w:sz="4" w:space="0"/>
                    <w:right w:val="single" w:color="auto" w:sz="4" w:space="0"/>
                  </w:tcBorders>
                  <w:noWrap w:val="0"/>
                  <w:vAlign w:val="center"/>
                </w:tcPr>
                <w:p w14:paraId="6B02D777">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本项目采用人工进行精细化拆解，同时编制拆解台账，对钢片、铜、铝等材料进行外售综合利用，废变压器油按危险废物进行收集管理暂存，定期委托有资质单位清运处置。</w:t>
                  </w:r>
                </w:p>
              </w:tc>
              <w:tc>
                <w:tcPr>
                  <w:tcW w:w="595" w:type="pct"/>
                  <w:tcBorders>
                    <w:left w:val="single" w:color="auto" w:sz="4" w:space="0"/>
                  </w:tcBorders>
                  <w:noWrap w:val="0"/>
                  <w:vAlign w:val="center"/>
                </w:tcPr>
                <w:p w14:paraId="112FF04D">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4CE570DD">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综上，项目废变压器拆解符合《电力变压器更新改造和回收利用实施指南（2023版）》中相关要求。</w:t>
            </w:r>
          </w:p>
          <w:p w14:paraId="5E9C052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（3）废电机拆解产业规范符合性分析</w:t>
            </w:r>
          </w:p>
          <w:p w14:paraId="70490A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本项目为独立拆解企业，非集中区建设，参照《废弃机电产品集中拆解利用处置区环境保护技术规范》（试行）（HJ/T 181－2005）中“环境保护技术规范”进行符合性分析，详见表1-8。</w:t>
            </w:r>
          </w:p>
          <w:p w14:paraId="6A92E7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lang w:val="en-US" w:eastAsia="zh-CN"/>
              </w:rPr>
            </w:pPr>
          </w:p>
          <w:p w14:paraId="472F5E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lang w:val="en-US" w:eastAsia="zh-CN"/>
              </w:rPr>
            </w:pPr>
          </w:p>
          <w:p w14:paraId="417A04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p>
          <w:p w14:paraId="0622AEAC">
            <w:pPr>
              <w:spacing w:before="120" w:beforeLines="50"/>
              <w:jc w:val="center"/>
              <w:rPr>
                <w:rFonts w:hint="default" w:ascii="Times New Roman" w:hAnsi="Times New Roman" w:eastAsia="黑体" w:cs="Times New Roman"/>
                <w:color w:val="auto"/>
                <w:sz w:val="21"/>
                <w:szCs w:val="21"/>
                <w:highlight w:val="none"/>
              </w:rPr>
            </w:pPr>
            <w:r>
              <w:rPr>
                <w:rFonts w:hint="eastAsia" w:ascii="Times New Roman" w:hAnsi="Times New Roman" w:eastAsia="黑体" w:cs="Times New Roman"/>
                <w:color w:val="auto"/>
                <w:sz w:val="21"/>
                <w:szCs w:val="21"/>
                <w:highlight w:val="none"/>
              </w:rPr>
              <w:t>表</w:t>
            </w:r>
            <w:r>
              <w:rPr>
                <w:rFonts w:hint="eastAsia" w:ascii="Times New Roman" w:hAnsi="Times New Roman" w:eastAsia="黑体" w:cs="Times New Roman"/>
                <w:color w:val="auto"/>
                <w:sz w:val="21"/>
                <w:szCs w:val="21"/>
                <w:highlight w:val="none"/>
                <w:lang w:val="en-US" w:eastAsia="zh-CN"/>
              </w:rPr>
              <w:t>1-8 与《废弃机电产品集中拆解利用处置区环境保护技术规范》符合性分析</w:t>
            </w:r>
            <w:r>
              <w:rPr>
                <w:rFonts w:hint="default" w:ascii="Times New Roman" w:hAnsi="Times New Roman" w:eastAsia="黑体" w:cs="Times New Roman"/>
                <w:color w:val="auto"/>
                <w:sz w:val="21"/>
                <w:szCs w:val="21"/>
                <w:highlight w:val="none"/>
              </w:rPr>
              <w:t>一览表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03"/>
              <w:gridCol w:w="4052"/>
              <w:gridCol w:w="2676"/>
              <w:gridCol w:w="804"/>
            </w:tblGrid>
            <w:tr w14:paraId="4991C6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3" w:type="pct"/>
                  <w:noWrap w:val="0"/>
                  <w:vAlign w:val="center"/>
                </w:tcPr>
                <w:p w14:paraId="0BDBDE2F">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521" w:type="pct"/>
                  <w:tcBorders>
                    <w:right w:val="single" w:color="auto" w:sz="4" w:space="0"/>
                  </w:tcBorders>
                  <w:noWrap w:val="0"/>
                  <w:vAlign w:val="center"/>
                </w:tcPr>
                <w:p w14:paraId="09BF482C">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要求（摘录）</w:t>
                  </w:r>
                </w:p>
              </w:tc>
              <w:tc>
                <w:tcPr>
                  <w:tcW w:w="1665" w:type="pct"/>
                  <w:tcBorders>
                    <w:left w:val="single" w:color="auto" w:sz="4" w:space="0"/>
                    <w:right w:val="single" w:color="auto" w:sz="4" w:space="0"/>
                  </w:tcBorders>
                  <w:noWrap w:val="0"/>
                  <w:vAlign w:val="center"/>
                </w:tcPr>
                <w:p w14:paraId="709D5E5B">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项目情况</w:t>
                  </w:r>
                </w:p>
              </w:tc>
              <w:tc>
                <w:tcPr>
                  <w:tcW w:w="500" w:type="pct"/>
                  <w:tcBorders>
                    <w:left w:val="single" w:color="auto" w:sz="4" w:space="0"/>
                  </w:tcBorders>
                  <w:noWrap w:val="0"/>
                  <w:vAlign w:val="center"/>
                </w:tcPr>
                <w:p w14:paraId="461C43C7">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符合性</w:t>
                  </w:r>
                </w:p>
              </w:tc>
            </w:tr>
            <w:tr w14:paraId="75D8D1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215" w:hRule="atLeast"/>
                <w:jc w:val="center"/>
              </w:trPr>
              <w:tc>
                <w:tcPr>
                  <w:tcW w:w="313" w:type="pct"/>
                  <w:noWrap w:val="0"/>
                  <w:vAlign w:val="center"/>
                </w:tcPr>
                <w:p w14:paraId="051B1B4E">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2521" w:type="pct"/>
                  <w:tcBorders>
                    <w:right w:val="single" w:color="auto" w:sz="4" w:space="0"/>
                  </w:tcBorders>
                  <w:noWrap w:val="0"/>
                  <w:vAlign w:val="center"/>
                </w:tcPr>
                <w:p w14:paraId="3EDDF0F0">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企业应建设具有防雨、防风、防渗等功能的专门贮存场地，禁止露天堆放废机电产品、拆解部件及残余物</w:t>
                  </w:r>
                </w:p>
              </w:tc>
              <w:tc>
                <w:tcPr>
                  <w:tcW w:w="1665" w:type="pct"/>
                  <w:tcBorders>
                    <w:left w:val="single" w:color="auto" w:sz="4" w:space="0"/>
                    <w:right w:val="single" w:color="auto" w:sz="4" w:space="0"/>
                  </w:tcBorders>
                  <w:noWrap w:val="0"/>
                  <w:vAlign w:val="center"/>
                </w:tcPr>
                <w:p w14:paraId="77FF497A">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项目建设</w:t>
                  </w:r>
                  <w:r>
                    <w:rPr>
                      <w:rFonts w:hint="eastAsia" w:ascii="Times New Roman" w:hAnsi="Times New Roman" w:cs="Times New Roman"/>
                      <w:color w:val="auto"/>
                      <w:sz w:val="21"/>
                      <w:szCs w:val="21"/>
                      <w:lang w:eastAsia="zh-CN"/>
                    </w:rPr>
                    <w:t>防雨、防风、防渗等功能的专门贮存场地，对待拆解废机电、拆解零部件和残余物进行暂存</w:t>
                  </w:r>
                </w:p>
              </w:tc>
              <w:tc>
                <w:tcPr>
                  <w:tcW w:w="500" w:type="pct"/>
                  <w:tcBorders>
                    <w:left w:val="single" w:color="auto" w:sz="4" w:space="0"/>
                  </w:tcBorders>
                  <w:noWrap w:val="0"/>
                  <w:vAlign w:val="center"/>
                </w:tcPr>
                <w:p w14:paraId="2FD48B92">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14:paraId="211FB9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3" w:type="pct"/>
                  <w:noWrap w:val="0"/>
                  <w:vAlign w:val="center"/>
                </w:tcPr>
                <w:p w14:paraId="2850C61F">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2521" w:type="pct"/>
                  <w:tcBorders>
                    <w:right w:val="single" w:color="auto" w:sz="4" w:space="0"/>
                  </w:tcBorders>
                  <w:noWrap w:val="0"/>
                  <w:vAlign w:val="center"/>
                </w:tcPr>
                <w:p w14:paraId="13D54B5F">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企业拆解加工场地收集的雨水、拆解加工和贮存场地地面的冲洗水和加工过程中产生的废水等要通过管道收集后进入污水处理厂妥善处理。企业拆解利用处置场地不得设置雨水直接排放</w:t>
                  </w:r>
                </w:p>
              </w:tc>
              <w:tc>
                <w:tcPr>
                  <w:tcW w:w="1665" w:type="pct"/>
                  <w:tcBorders>
                    <w:left w:val="single" w:color="auto" w:sz="4" w:space="0"/>
                    <w:right w:val="single" w:color="auto" w:sz="4" w:space="0"/>
                  </w:tcBorders>
                  <w:noWrap w:val="0"/>
                  <w:vAlign w:val="center"/>
                </w:tcPr>
                <w:p w14:paraId="32658A0C">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项目作业区露天区域初期雨水、清洁废水经厂区导流沟槽或清洗池管道收集后，排入收集池暂存后送入废水处理设施（油水分离+混凝沉淀+过滤）处理后，全部回用，不外排。</w:t>
                  </w:r>
                </w:p>
              </w:tc>
              <w:tc>
                <w:tcPr>
                  <w:tcW w:w="500" w:type="pct"/>
                  <w:tcBorders>
                    <w:left w:val="single" w:color="auto" w:sz="4" w:space="0"/>
                  </w:tcBorders>
                  <w:noWrap w:val="0"/>
                  <w:vAlign w:val="center"/>
                </w:tcPr>
                <w:p w14:paraId="0D5960E3">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14:paraId="2E3FA9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3" w:type="pct"/>
                  <w:noWrap w:val="0"/>
                  <w:vAlign w:val="center"/>
                </w:tcPr>
                <w:p w14:paraId="37355E75">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2521" w:type="pct"/>
                  <w:tcBorders>
                    <w:right w:val="single" w:color="auto" w:sz="4" w:space="0"/>
                  </w:tcBorders>
                  <w:noWrap w:val="0"/>
                  <w:vAlign w:val="center"/>
                </w:tcPr>
                <w:p w14:paraId="2F94B795">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企业禁止采用平地或简易炉、窑等焚烧方式加工废弃机电产品。</w:t>
                  </w:r>
                </w:p>
              </w:tc>
              <w:tc>
                <w:tcPr>
                  <w:tcW w:w="1665" w:type="pct"/>
                  <w:tcBorders>
                    <w:left w:val="single" w:color="auto" w:sz="4" w:space="0"/>
                    <w:right w:val="single" w:color="auto" w:sz="4" w:space="0"/>
                  </w:tcBorders>
                  <w:noWrap w:val="0"/>
                  <w:vAlign w:val="center"/>
                </w:tcPr>
                <w:p w14:paraId="10FC0629">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本项目仅对废电机器的拆解，不涉及焚烧加工工艺。</w:t>
                  </w:r>
                </w:p>
              </w:tc>
              <w:tc>
                <w:tcPr>
                  <w:tcW w:w="500" w:type="pct"/>
                  <w:tcBorders>
                    <w:left w:val="single" w:color="auto" w:sz="4" w:space="0"/>
                  </w:tcBorders>
                  <w:noWrap w:val="0"/>
                  <w:vAlign w:val="center"/>
                </w:tcPr>
                <w:p w14:paraId="6D2668D5">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8CC3D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3" w:type="pct"/>
                  <w:noWrap w:val="0"/>
                  <w:vAlign w:val="center"/>
                </w:tcPr>
                <w:p w14:paraId="08DBC8AA">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521" w:type="pct"/>
                  <w:tcBorders>
                    <w:right w:val="single" w:color="auto" w:sz="4" w:space="0"/>
                  </w:tcBorders>
                  <w:noWrap w:val="0"/>
                  <w:vAlign w:val="center"/>
                </w:tcPr>
                <w:p w14:paraId="0AB56C24">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拆解过程中应按照材料的特性对废弃机电产品进行拆解、分类、加工。</w:t>
                  </w:r>
                </w:p>
              </w:tc>
              <w:tc>
                <w:tcPr>
                  <w:tcW w:w="1665" w:type="pct"/>
                  <w:tcBorders>
                    <w:left w:val="single" w:color="auto" w:sz="4" w:space="0"/>
                    <w:right w:val="single" w:color="auto" w:sz="4" w:space="0"/>
                  </w:tcBorders>
                  <w:noWrap w:val="0"/>
                  <w:vAlign w:val="center"/>
                </w:tcPr>
                <w:p w14:paraId="3665238E">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项目针对废机电材料的特性进行拆解、分类。</w:t>
                  </w:r>
                </w:p>
              </w:tc>
              <w:tc>
                <w:tcPr>
                  <w:tcW w:w="500" w:type="pct"/>
                  <w:tcBorders>
                    <w:left w:val="single" w:color="auto" w:sz="4" w:space="0"/>
                  </w:tcBorders>
                  <w:noWrap w:val="0"/>
                  <w:vAlign w:val="center"/>
                </w:tcPr>
                <w:p w14:paraId="3030F311">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06AEEF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3" w:type="pct"/>
                  <w:noWrap w:val="0"/>
                  <w:vAlign w:val="center"/>
                </w:tcPr>
                <w:p w14:paraId="515C5E03">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521" w:type="pct"/>
                  <w:tcBorders>
                    <w:right w:val="single" w:color="auto" w:sz="4" w:space="0"/>
                  </w:tcBorders>
                  <w:noWrap w:val="0"/>
                  <w:vAlign w:val="center"/>
                </w:tcPr>
                <w:p w14:paraId="4C0973EE">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企业对废弃机电产品机芯拆解时必须采用对环境不造成污染的加工方式，可以使用人工或机械拆解</w:t>
                  </w:r>
                  <w:r>
                    <w:rPr>
                      <w:rFonts w:hint="eastAsia" w:ascii="Times New Roman" w:hAnsi="Times New Roman" w:eastAsia="宋体" w:cs="Times New Roman"/>
                      <w:color w:val="auto"/>
                      <w:sz w:val="21"/>
                      <w:szCs w:val="21"/>
                      <w:lang w:val="en-US" w:eastAsia="zh-CN"/>
                    </w:rPr>
                    <w:t>或</w:t>
                  </w:r>
                  <w:r>
                    <w:rPr>
                      <w:rFonts w:hint="default" w:ascii="Times New Roman" w:hAnsi="Times New Roman" w:eastAsia="宋体" w:cs="Times New Roman"/>
                      <w:color w:val="auto"/>
                      <w:sz w:val="21"/>
                      <w:szCs w:val="21"/>
                      <w:lang w:val="en-US" w:eastAsia="zh-CN"/>
                    </w:rPr>
                    <w:t>二者相结合的方式，鼓励采用资源回收率更高、固体废物产生量更少的机械拆解方式。</w:t>
                  </w:r>
                </w:p>
              </w:tc>
              <w:tc>
                <w:tcPr>
                  <w:tcW w:w="1665" w:type="pct"/>
                  <w:tcBorders>
                    <w:left w:val="single" w:color="auto" w:sz="4" w:space="0"/>
                    <w:right w:val="single" w:color="auto" w:sz="4" w:space="0"/>
                  </w:tcBorders>
                  <w:noWrap w:val="0"/>
                  <w:vAlign w:val="center"/>
                </w:tcPr>
                <w:p w14:paraId="26B40B8B">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项目对废机电产品机芯拆解采用无污染的人工拆解为主，以机械拆解为辅的方式。</w:t>
                  </w:r>
                </w:p>
              </w:tc>
              <w:tc>
                <w:tcPr>
                  <w:tcW w:w="500" w:type="pct"/>
                  <w:tcBorders>
                    <w:left w:val="single" w:color="auto" w:sz="4" w:space="0"/>
                  </w:tcBorders>
                  <w:noWrap w:val="0"/>
                  <w:vAlign w:val="center"/>
                </w:tcPr>
                <w:p w14:paraId="19F6DCDF">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1E7361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3" w:type="pct"/>
                  <w:noWrap w:val="0"/>
                  <w:vAlign w:val="center"/>
                </w:tcPr>
                <w:p w14:paraId="6198C72F">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2521" w:type="pct"/>
                  <w:tcBorders>
                    <w:right w:val="single" w:color="auto" w:sz="4" w:space="0"/>
                  </w:tcBorders>
                  <w:noWrap w:val="0"/>
                  <w:vAlign w:val="center"/>
                </w:tcPr>
                <w:p w14:paraId="48733E61">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企业应将废弃机电产品和拆解部件、各种材料、产生的废物根据类别分别收集，设立明显的区分标识、分区存放</w:t>
                  </w:r>
                </w:p>
              </w:tc>
              <w:tc>
                <w:tcPr>
                  <w:tcW w:w="1665" w:type="pct"/>
                  <w:tcBorders>
                    <w:left w:val="single" w:color="auto" w:sz="4" w:space="0"/>
                    <w:right w:val="single" w:color="auto" w:sz="4" w:space="0"/>
                  </w:tcBorders>
                  <w:noWrap w:val="0"/>
                  <w:vAlign w:val="center"/>
                </w:tcPr>
                <w:p w14:paraId="096817AB">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项目对待拆解的废机电、拆解下的部件、材料、废物均按照有关规定分类、分区堆存</w:t>
                  </w:r>
                </w:p>
              </w:tc>
              <w:tc>
                <w:tcPr>
                  <w:tcW w:w="500" w:type="pct"/>
                  <w:tcBorders>
                    <w:left w:val="single" w:color="auto" w:sz="4" w:space="0"/>
                  </w:tcBorders>
                  <w:noWrap w:val="0"/>
                  <w:vAlign w:val="center"/>
                </w:tcPr>
                <w:p w14:paraId="38F36D19">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4CF563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3" w:type="pct"/>
                  <w:noWrap w:val="0"/>
                  <w:vAlign w:val="center"/>
                </w:tcPr>
                <w:p w14:paraId="3B04E1B2">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2521" w:type="pct"/>
                  <w:tcBorders>
                    <w:right w:val="single" w:color="auto" w:sz="4" w:space="0"/>
                  </w:tcBorders>
                  <w:noWrap w:val="0"/>
                  <w:vAlign w:val="center"/>
                </w:tcPr>
                <w:p w14:paraId="53620D6B">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拆解过程中产生的废矿物油等液态废物应通过有效的设施进行单独收集，并按照危险废物进行管理。</w:t>
                  </w:r>
                </w:p>
              </w:tc>
              <w:tc>
                <w:tcPr>
                  <w:tcW w:w="1665" w:type="pct"/>
                  <w:tcBorders>
                    <w:left w:val="single" w:color="auto" w:sz="4" w:space="0"/>
                    <w:right w:val="single" w:color="auto" w:sz="4" w:space="0"/>
                  </w:tcBorders>
                  <w:noWrap w:val="0"/>
                  <w:vAlign w:val="center"/>
                </w:tcPr>
                <w:p w14:paraId="56A498D2">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项目不对电机的转子进行进一步拆解，直接外售，因此在废电机拆解过程中基本不产生废矿物油，少量滴漏用抹布擦拭吸附。</w:t>
                  </w:r>
                </w:p>
              </w:tc>
              <w:tc>
                <w:tcPr>
                  <w:tcW w:w="500" w:type="pct"/>
                  <w:tcBorders>
                    <w:left w:val="single" w:color="auto" w:sz="4" w:space="0"/>
                  </w:tcBorders>
                  <w:noWrap w:val="0"/>
                  <w:vAlign w:val="center"/>
                </w:tcPr>
                <w:p w14:paraId="0CCF4F98">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75FBC7CC">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综上，项目废电机拆解符合《废弃机电产品集中拆解利用处置区环境保护技术规范》（试行）（HJ/T 181－2005）中相关要求。</w:t>
            </w:r>
          </w:p>
          <w:p w14:paraId="716BAD8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7、与挥发性有机物污染防治相关政策符合性分析</w:t>
            </w:r>
          </w:p>
          <w:p w14:paraId="14DE59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本项目与挥发性有机物污染防治相关政策符合性分析详见表1-9。</w:t>
            </w:r>
          </w:p>
          <w:p w14:paraId="5001FB98">
            <w:pPr>
              <w:spacing w:before="120" w:beforeLines="50"/>
              <w:jc w:val="center"/>
              <w:rPr>
                <w:rFonts w:hint="eastAsia" w:ascii="Times New Roman" w:hAnsi="Times New Roman" w:eastAsia="黑体" w:cs="Times New Roman"/>
                <w:color w:val="auto"/>
                <w:sz w:val="21"/>
                <w:szCs w:val="21"/>
              </w:rPr>
            </w:pPr>
          </w:p>
          <w:p w14:paraId="1A9B67C8">
            <w:pPr>
              <w:spacing w:before="120" w:beforeLines="50"/>
              <w:jc w:val="both"/>
              <w:rPr>
                <w:rFonts w:hint="eastAsia" w:ascii="Times New Roman" w:hAnsi="Times New Roman" w:eastAsia="黑体" w:cs="Times New Roman"/>
                <w:color w:val="auto"/>
                <w:sz w:val="21"/>
                <w:szCs w:val="21"/>
              </w:rPr>
            </w:pPr>
          </w:p>
          <w:p w14:paraId="7F3193A2">
            <w:pPr>
              <w:spacing w:before="120" w:beforeLines="50"/>
              <w:jc w:val="center"/>
              <w:rPr>
                <w:rFonts w:hint="eastAsia" w:ascii="Times New Roman" w:hAnsi="Times New Roman" w:eastAsia="黑体" w:cs="Times New Roman"/>
                <w:color w:val="auto"/>
                <w:sz w:val="21"/>
                <w:szCs w:val="21"/>
              </w:rPr>
            </w:pPr>
            <w:r>
              <w:rPr>
                <w:rFonts w:hint="eastAsia" w:ascii="Times New Roman" w:hAnsi="Times New Roman" w:eastAsia="黑体" w:cs="Times New Roman"/>
                <w:color w:val="auto"/>
                <w:sz w:val="21"/>
                <w:szCs w:val="21"/>
              </w:rPr>
              <w:t>表</w:t>
            </w:r>
            <w:r>
              <w:rPr>
                <w:rFonts w:hint="eastAsia" w:ascii="Times New Roman" w:hAnsi="Times New Roman" w:eastAsia="黑体" w:cs="Times New Roman"/>
                <w:color w:val="auto"/>
                <w:sz w:val="21"/>
                <w:szCs w:val="21"/>
                <w:lang w:val="en-US" w:eastAsia="zh-CN"/>
              </w:rPr>
              <w:t>1-9</w:t>
            </w:r>
            <w:r>
              <w:rPr>
                <w:rFonts w:hint="eastAsia" w:ascii="Times New Roman" w:hAnsi="Times New Roman" w:eastAsia="黑体" w:cs="Times New Roman"/>
                <w:color w:val="auto"/>
                <w:sz w:val="21"/>
                <w:szCs w:val="21"/>
              </w:rPr>
              <w:t xml:space="preserve"> 挥发性有机物污染防治政策相关内容</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13"/>
              <w:gridCol w:w="1584"/>
              <w:gridCol w:w="3494"/>
              <w:gridCol w:w="1680"/>
              <w:gridCol w:w="767"/>
            </w:tblGrid>
            <w:tr w14:paraId="588263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9" w:type="pct"/>
                  <w:noWrap w:val="0"/>
                  <w:vAlign w:val="center"/>
                </w:tcPr>
                <w:p w14:paraId="1C908AE9">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85" w:type="pct"/>
                  <w:noWrap w:val="0"/>
                  <w:vAlign w:val="center"/>
                </w:tcPr>
                <w:p w14:paraId="2C3F030A">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相关文件名称</w:t>
                  </w:r>
                </w:p>
              </w:tc>
              <w:tc>
                <w:tcPr>
                  <w:tcW w:w="2173" w:type="pct"/>
                  <w:tcBorders>
                    <w:right w:val="single" w:color="auto" w:sz="4" w:space="0"/>
                  </w:tcBorders>
                  <w:noWrap w:val="0"/>
                  <w:vAlign w:val="center"/>
                </w:tcPr>
                <w:p w14:paraId="5CDE5194">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相关内容</w:t>
                  </w:r>
                </w:p>
              </w:tc>
              <w:tc>
                <w:tcPr>
                  <w:tcW w:w="1045" w:type="pct"/>
                  <w:tcBorders>
                    <w:left w:val="single" w:color="auto" w:sz="4" w:space="0"/>
                    <w:right w:val="single" w:color="auto" w:sz="4" w:space="0"/>
                  </w:tcBorders>
                  <w:noWrap w:val="0"/>
                  <w:vAlign w:val="center"/>
                </w:tcPr>
                <w:p w14:paraId="136B9969">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项目情况</w:t>
                  </w:r>
                </w:p>
              </w:tc>
              <w:tc>
                <w:tcPr>
                  <w:tcW w:w="477" w:type="pct"/>
                  <w:tcBorders>
                    <w:left w:val="single" w:color="auto" w:sz="4" w:space="0"/>
                  </w:tcBorders>
                  <w:noWrap w:val="0"/>
                  <w:vAlign w:val="center"/>
                </w:tcPr>
                <w:p w14:paraId="74872AA1">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符合性</w:t>
                  </w:r>
                </w:p>
              </w:tc>
            </w:tr>
            <w:tr w14:paraId="13F851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85" w:hRule="atLeast"/>
                <w:jc w:val="center"/>
              </w:trPr>
              <w:tc>
                <w:tcPr>
                  <w:tcW w:w="319" w:type="pct"/>
                  <w:noWrap w:val="0"/>
                  <w:vAlign w:val="center"/>
                </w:tcPr>
                <w:p w14:paraId="33CE155A">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85" w:type="pct"/>
                  <w:noWrap w:val="0"/>
                  <w:vAlign w:val="center"/>
                </w:tcPr>
                <w:p w14:paraId="394E8287">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福建省“十四五”空气质量改善规划</w:t>
                  </w:r>
                  <w:r>
                    <w:rPr>
                      <w:rFonts w:hint="eastAsia" w:ascii="Times New Roman" w:hAnsi="Times New Roman" w:eastAsia="宋体" w:cs="Times New Roman"/>
                      <w:color w:val="auto"/>
                      <w:sz w:val="21"/>
                      <w:szCs w:val="21"/>
                      <w:lang w:eastAsia="zh-CN"/>
                    </w:rPr>
                    <w:t>》</w:t>
                  </w:r>
                </w:p>
                <w:p w14:paraId="28EAD5E5">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（2022年）</w:t>
                  </w:r>
                </w:p>
                <w:p w14:paraId="4D2F9EA1">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2173" w:type="pct"/>
                  <w:tcBorders>
                    <w:right w:val="single" w:color="auto" w:sz="4" w:space="0"/>
                  </w:tcBorders>
                  <w:noWrap w:val="0"/>
                  <w:vAlign w:val="center"/>
                </w:tcPr>
                <w:p w14:paraId="34F9A1EE">
                  <w:pPr>
                    <w:pStyle w:val="31"/>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推广使用水性、高固体分、无溶剂、粉末等低VOCs含量涂料，</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rPr>
                    <w:t>木质家具制造、汽车零部件、工程机械使用比例达到50%以上；</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rPr>
                    <w:t>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1045" w:type="pct"/>
                  <w:tcBorders>
                    <w:left w:val="single" w:color="auto" w:sz="4" w:space="0"/>
                    <w:right w:val="single" w:color="auto" w:sz="4" w:space="0"/>
                  </w:tcBorders>
                  <w:noWrap w:val="0"/>
                  <w:vAlign w:val="center"/>
                </w:tcPr>
                <w:p w14:paraId="6F808F59">
                  <w:pPr>
                    <w:pStyle w:val="31"/>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项目不涉及VOCs原料涂料、油墨、胶粘剂、清洗剂的使用；</w:t>
                  </w:r>
                  <w:r>
                    <w:rPr>
                      <w:rFonts w:hint="default" w:ascii="Times New Roman" w:hAnsi="Times New Roman" w:cs="Times New Roman"/>
                      <w:color w:val="auto"/>
                      <w:sz w:val="21"/>
                      <w:szCs w:val="21"/>
                    </w:rPr>
                    <w:t>项目排放的VOC</w:t>
                  </w:r>
                  <w:r>
                    <w:rPr>
                      <w:rFonts w:hint="default" w:ascii="Times New Roman" w:hAnsi="Times New Roman" w:cs="Times New Roman"/>
                      <w:color w:val="auto"/>
                      <w:sz w:val="21"/>
                      <w:szCs w:val="21"/>
                      <w:vertAlign w:val="subscript"/>
                    </w:rPr>
                    <w:t>S</w:t>
                  </w:r>
                  <w:r>
                    <w:rPr>
                      <w:rFonts w:hint="default" w:ascii="Times New Roman" w:hAnsi="Times New Roman" w:cs="Times New Roman"/>
                      <w:color w:val="auto"/>
                      <w:sz w:val="21"/>
                      <w:szCs w:val="21"/>
                    </w:rPr>
                    <w:t>拟实行区域内倍量替代</w:t>
                  </w:r>
                  <w:r>
                    <w:rPr>
                      <w:rFonts w:hint="eastAsia" w:ascii="Times New Roman" w:hAnsi="Times New Roman" w:cs="Times New Roman"/>
                      <w:color w:val="auto"/>
                      <w:sz w:val="21"/>
                      <w:szCs w:val="21"/>
                      <w:lang w:eastAsia="zh-CN"/>
                    </w:rPr>
                    <w:t>。</w:t>
                  </w:r>
                </w:p>
              </w:tc>
              <w:tc>
                <w:tcPr>
                  <w:tcW w:w="477" w:type="pct"/>
                  <w:tcBorders>
                    <w:left w:val="single" w:color="auto" w:sz="4" w:space="0"/>
                  </w:tcBorders>
                  <w:noWrap w:val="0"/>
                  <w:vAlign w:val="center"/>
                </w:tcPr>
                <w:p w14:paraId="4D576E08">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符合</w:t>
                  </w:r>
                </w:p>
              </w:tc>
            </w:tr>
            <w:tr w14:paraId="69BCC6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9" w:type="pct"/>
                  <w:noWrap w:val="0"/>
                  <w:vAlign w:val="center"/>
                </w:tcPr>
                <w:p w14:paraId="3DE13B7D">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985" w:type="pct"/>
                  <w:noWrap w:val="0"/>
                  <w:vAlign w:val="center"/>
                </w:tcPr>
                <w:p w14:paraId="00CC5A2D">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福州市“十四五”生态环境保护规划</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榕政办〔2021〕123 号</w:t>
                  </w:r>
                  <w:r>
                    <w:rPr>
                      <w:rFonts w:hint="eastAsia" w:ascii="Times New Roman" w:hAnsi="Times New Roman" w:eastAsia="宋体" w:cs="Times New Roman"/>
                      <w:color w:val="auto"/>
                      <w:sz w:val="21"/>
                      <w:szCs w:val="21"/>
                      <w:lang w:eastAsia="zh-CN"/>
                    </w:rPr>
                    <w:t>）</w:t>
                  </w:r>
                </w:p>
                <w:p w14:paraId="41C34A2B">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2173" w:type="pct"/>
                  <w:tcBorders>
                    <w:right w:val="single" w:color="auto" w:sz="4" w:space="0"/>
                  </w:tcBorders>
                  <w:noWrap w:val="0"/>
                  <w:vAlign w:val="center"/>
                </w:tcPr>
                <w:p w14:paraId="12E029C6">
                  <w:pPr>
                    <w:pStyle w:val="31"/>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强化挥发性有机物整治。</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rPr>
                    <w:t>实行挥发性有机物排放倍量替代。加大涉VOCs企业源头替代力度，推广使用低</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无</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VOCs原辅材料替代，禁止生产高VOCs含量有机溶剂型涂料、油墨和胶黏剂的新、改、扩建项目，推进重点企业“油改水”治理，提高有机溶剂回收率。</w:t>
                  </w:r>
                </w:p>
              </w:tc>
              <w:tc>
                <w:tcPr>
                  <w:tcW w:w="1045" w:type="pct"/>
                  <w:tcBorders>
                    <w:left w:val="single" w:color="auto" w:sz="4" w:space="0"/>
                    <w:right w:val="single" w:color="auto" w:sz="4" w:space="0"/>
                  </w:tcBorders>
                  <w:noWrap w:val="0"/>
                  <w:vAlign w:val="center"/>
                </w:tcPr>
                <w:p w14:paraId="255AD796">
                  <w:pPr>
                    <w:pStyle w:val="31"/>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项目排放的VOC</w:t>
                  </w:r>
                  <w:r>
                    <w:rPr>
                      <w:rFonts w:hint="default" w:ascii="Times New Roman" w:hAnsi="Times New Roman" w:cs="Times New Roman"/>
                      <w:color w:val="auto"/>
                      <w:sz w:val="21"/>
                      <w:szCs w:val="21"/>
                      <w:vertAlign w:val="subscript"/>
                    </w:rPr>
                    <w:t>S</w:t>
                  </w:r>
                  <w:r>
                    <w:rPr>
                      <w:rFonts w:hint="default" w:ascii="Times New Roman" w:hAnsi="Times New Roman" w:cs="Times New Roman"/>
                      <w:color w:val="auto"/>
                      <w:sz w:val="21"/>
                      <w:szCs w:val="21"/>
                    </w:rPr>
                    <w:t>拟实行区域内倍量替代</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val="en-US" w:eastAsia="zh-CN"/>
                    </w:rPr>
                    <w:t>项目不涉及VOCs原料涂料、油墨、胶粘剂、清洗剂的使用</w:t>
                  </w:r>
                </w:p>
              </w:tc>
              <w:tc>
                <w:tcPr>
                  <w:tcW w:w="477" w:type="pct"/>
                  <w:tcBorders>
                    <w:left w:val="single" w:color="auto" w:sz="4" w:space="0"/>
                  </w:tcBorders>
                  <w:noWrap w:val="0"/>
                  <w:vAlign w:val="center"/>
                </w:tcPr>
                <w:p w14:paraId="3AB4AC8C">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符合</w:t>
                  </w:r>
                </w:p>
              </w:tc>
            </w:tr>
            <w:tr w14:paraId="65271A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19" w:type="pct"/>
                  <w:noWrap w:val="0"/>
                  <w:vAlign w:val="center"/>
                </w:tcPr>
                <w:p w14:paraId="0066EC4B">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985" w:type="pct"/>
                  <w:noWrap w:val="0"/>
                  <w:vAlign w:val="center"/>
                </w:tcPr>
                <w:p w14:paraId="3A126CEA">
                  <w:pPr>
                    <w:pStyle w:val="31"/>
                    <w:adjustRightInd w:val="0"/>
                    <w:snapToGrid w:val="0"/>
                    <w:spacing w:line="340" w:lineRule="exact"/>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《福建省2020年挥发性有机物治理攻坚实施方案》的通知（闽环保大气〔2020〕6号）</w:t>
                  </w:r>
                </w:p>
              </w:tc>
              <w:tc>
                <w:tcPr>
                  <w:tcW w:w="2173" w:type="pct"/>
                  <w:tcBorders>
                    <w:right w:val="single" w:color="auto" w:sz="4" w:space="0"/>
                  </w:tcBorders>
                  <w:noWrap w:val="0"/>
                  <w:vAlign w:val="center"/>
                </w:tcPr>
                <w:p w14:paraId="048B5043">
                  <w:pPr>
                    <w:pStyle w:val="31"/>
                    <w:adjustRightInd w:val="0"/>
                    <w:snapToGrid w:val="0"/>
                    <w:spacing w:line="34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（1）大力推进源头替代，有效减少VOCs产生；</w:t>
                  </w:r>
                </w:p>
                <w:p w14:paraId="3A1CED7C">
                  <w:pPr>
                    <w:pStyle w:val="31"/>
                    <w:adjustRightInd w:val="0"/>
                    <w:snapToGrid w:val="0"/>
                    <w:spacing w:line="34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14F87E4E">
                  <w:pPr>
                    <w:pStyle w:val="31"/>
                    <w:adjustRightInd w:val="0"/>
                    <w:snapToGrid w:val="0"/>
                    <w:spacing w:line="340" w:lineRule="exact"/>
                    <w:jc w:val="left"/>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聚焦治污设施“三率”，提升综合治理效率</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除恶臭异味治理外，一般不采用低温等离子、光催化、光氧化等技术。优先采用密闭设备、在密闭空间中操作或采用全密闭集气罩收集方式；</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采用活性炭吸附技术的，应选择碘值不低于800毫克/克的活性炭，并按设计要求足量添加、及时更换。</w:t>
                  </w:r>
                </w:p>
              </w:tc>
              <w:tc>
                <w:tcPr>
                  <w:tcW w:w="1045" w:type="pct"/>
                  <w:tcBorders>
                    <w:left w:val="single" w:color="auto" w:sz="4" w:space="0"/>
                    <w:right w:val="single" w:color="auto" w:sz="4" w:space="0"/>
                  </w:tcBorders>
                  <w:noWrap w:val="0"/>
                  <w:vAlign w:val="center"/>
                </w:tcPr>
                <w:p w14:paraId="50CE6BD4">
                  <w:pPr>
                    <w:pStyle w:val="31"/>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left"/>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（1）项目不涉及</w:t>
                  </w:r>
                  <w:r>
                    <w:rPr>
                      <w:rFonts w:hint="eastAsia" w:ascii="Times New Roman" w:hAnsi="Times New Roman" w:eastAsia="宋体" w:cs="Times New Roman"/>
                      <w:color w:val="auto"/>
                      <w:sz w:val="21"/>
                      <w:szCs w:val="21"/>
                      <w:lang w:val="en-US" w:eastAsia="zh-CN"/>
                    </w:rPr>
                    <w:t>VOCs原料涂料、油墨、胶粘剂、清洗剂的使用</w:t>
                  </w:r>
                  <w:r>
                    <w:rPr>
                      <w:rFonts w:hint="eastAsia" w:ascii="Times New Roman" w:hAnsi="Times New Roman" w:cs="Times New Roman"/>
                      <w:color w:val="auto"/>
                      <w:kern w:val="2"/>
                      <w:sz w:val="21"/>
                      <w:szCs w:val="21"/>
                      <w:lang w:val="en-US" w:eastAsia="zh-CN" w:bidi="ar-SA"/>
                    </w:rPr>
                    <w:t>；</w:t>
                  </w:r>
                </w:p>
                <w:p w14:paraId="5E37F0ED">
                  <w:pPr>
                    <w:pStyle w:val="31"/>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（2）项目废油废液抽取在密闭作业间内进行，通过顶吸罩收集后进入“过滤棉+活性炭吸附装置”处理；</w:t>
                  </w:r>
                  <w:r>
                    <w:rPr>
                      <w:rFonts w:hint="default" w:ascii="Times New Roman" w:hAnsi="Times New Roman" w:cs="Times New Roman"/>
                      <w:color w:val="auto"/>
                      <w:sz w:val="21"/>
                      <w:szCs w:val="21"/>
                    </w:rPr>
                    <w:t>更换的</w:t>
                  </w:r>
                  <w:r>
                    <w:rPr>
                      <w:rFonts w:hint="default" w:ascii="Times New Roman" w:hAnsi="Times New Roman" w:cs="Times New Roman"/>
                      <w:color w:val="auto"/>
                      <w:sz w:val="21"/>
                      <w:szCs w:val="21"/>
                      <w:lang w:val="en-US" w:eastAsia="zh-CN"/>
                    </w:rPr>
                    <w:t>废活性炭</w:t>
                  </w:r>
                  <w:r>
                    <w:rPr>
                      <w:rFonts w:hint="eastAsia" w:ascii="Times New Roman" w:hAnsi="Times New Roman" w:cs="Times New Roman"/>
                      <w:color w:val="auto"/>
                      <w:sz w:val="21"/>
                      <w:szCs w:val="21"/>
                      <w:lang w:val="en-US" w:eastAsia="zh-CN"/>
                    </w:rPr>
                    <w:t>、当作</w:t>
                  </w:r>
                  <w:r>
                    <w:rPr>
                      <w:rFonts w:hint="default" w:ascii="Times New Roman" w:hAnsi="Times New Roman" w:cs="Times New Roman"/>
                      <w:color w:val="auto"/>
                      <w:sz w:val="21"/>
                      <w:szCs w:val="21"/>
                    </w:rPr>
                    <w:t>危险废物</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密闭</w:t>
                  </w:r>
                  <w:r>
                    <w:rPr>
                      <w:rFonts w:hint="eastAsia" w:ascii="Times New Roman" w:hAnsi="Times New Roman" w:cs="Times New Roman"/>
                      <w:color w:val="auto"/>
                      <w:sz w:val="21"/>
                      <w:szCs w:val="21"/>
                      <w:lang w:eastAsia="zh-CN"/>
                    </w:rPr>
                    <w:t>桶装</w:t>
                  </w:r>
                  <w:r>
                    <w:rPr>
                      <w:rFonts w:hint="default" w:ascii="Times New Roman" w:hAnsi="Times New Roman" w:cs="Times New Roman"/>
                      <w:color w:val="auto"/>
                      <w:sz w:val="21"/>
                      <w:szCs w:val="21"/>
                    </w:rPr>
                    <w:t>暂存于危险废物暂存间内</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定期委托有资质单位统一处置；</w:t>
                  </w:r>
                </w:p>
                <w:p w14:paraId="2899A8C0">
                  <w:pPr>
                    <w:pStyle w:val="31"/>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（3）项目采用活性炭吸附技术，使用</w:t>
                  </w:r>
                  <w:r>
                    <w:rPr>
                      <w:rFonts w:hint="eastAsia" w:ascii="Times New Roman" w:hAnsi="Times New Roman" w:eastAsia="宋体" w:cs="Times New Roman"/>
                      <w:color w:val="auto"/>
                      <w:sz w:val="21"/>
                      <w:szCs w:val="21"/>
                    </w:rPr>
                    <w:t>碘值</w:t>
                  </w:r>
                  <w:r>
                    <w:rPr>
                      <w:rFonts w:hint="eastAsia" w:ascii="Times New Roman" w:hAnsi="Times New Roman" w:eastAsia="宋体" w:cs="Times New Roman"/>
                      <w:color w:val="auto"/>
                      <w:sz w:val="21"/>
                      <w:szCs w:val="21"/>
                      <w:lang w:val="en-US" w:eastAsia="zh-CN"/>
                    </w:rPr>
                    <w:t>为</w:t>
                  </w:r>
                  <w:r>
                    <w:rPr>
                      <w:rFonts w:hint="eastAsia" w:ascii="Times New Roman" w:hAnsi="Times New Roman" w:eastAsia="宋体" w:cs="Times New Roman"/>
                      <w:color w:val="auto"/>
                      <w:sz w:val="21"/>
                      <w:szCs w:val="21"/>
                    </w:rPr>
                    <w:t>800毫克/克的活性炭</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并定期更换。</w:t>
                  </w:r>
                </w:p>
              </w:tc>
              <w:tc>
                <w:tcPr>
                  <w:tcW w:w="477" w:type="pct"/>
                  <w:tcBorders>
                    <w:left w:val="single" w:color="auto" w:sz="4" w:space="0"/>
                  </w:tcBorders>
                  <w:noWrap w:val="0"/>
                  <w:vAlign w:val="center"/>
                </w:tcPr>
                <w:p w14:paraId="7A2E6462">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p>
              </w:tc>
            </w:tr>
            <w:tr w14:paraId="3E8751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9" w:type="pct"/>
                  <w:noWrap w:val="0"/>
                  <w:vAlign w:val="center"/>
                </w:tcPr>
                <w:p w14:paraId="7F4FC5F1">
                  <w:pPr>
                    <w:pStyle w:val="31"/>
                    <w:adjustRightInd w:val="0"/>
                    <w:snapToGrid w:val="0"/>
                    <w:spacing w:line="34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985" w:type="pct"/>
                  <w:noWrap w:val="0"/>
                  <w:vAlign w:val="center"/>
                </w:tcPr>
                <w:p w14:paraId="01114E32">
                  <w:pPr>
                    <w:pStyle w:val="31"/>
                    <w:adjustRightInd w:val="0"/>
                    <w:snapToGrid w:val="0"/>
                    <w:spacing w:line="3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福州市生态环境保护委员会办公室关于印发</w:t>
                  </w:r>
                  <w:r>
                    <w:rPr>
                      <w:rFonts w:hint="default" w:ascii="Times New Roman" w:hAnsi="Times New Roman" w:cs="Times New Roman"/>
                      <w:color w:val="auto"/>
                      <w:sz w:val="21"/>
                      <w:szCs w:val="21"/>
                      <w:highlight w:val="none"/>
                      <w:lang w:val="en-US" w:eastAsia="zh-CN"/>
                    </w:rPr>
                    <w:t>2022年度福州市蓝天碧海净土保卫战行动计划通知</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榕环委办</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2022</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49号</w:t>
                  </w:r>
                  <w:r>
                    <w:rPr>
                      <w:rFonts w:hint="eastAsia" w:ascii="Times New Roman" w:hAnsi="Times New Roman" w:cs="Times New Roman"/>
                      <w:color w:val="auto"/>
                      <w:sz w:val="21"/>
                      <w:szCs w:val="21"/>
                      <w:highlight w:val="none"/>
                      <w:lang w:val="en-US" w:eastAsia="zh-CN"/>
                    </w:rPr>
                    <w:t>）</w:t>
                  </w:r>
                </w:p>
              </w:tc>
              <w:tc>
                <w:tcPr>
                  <w:tcW w:w="2173" w:type="pct"/>
                  <w:tcBorders>
                    <w:right w:val="single" w:color="auto" w:sz="4" w:space="0"/>
                  </w:tcBorders>
                  <w:noWrap w:val="0"/>
                  <w:vAlign w:val="center"/>
                </w:tcPr>
                <w:p w14:paraId="2B97FA99">
                  <w:pPr>
                    <w:pStyle w:val="31"/>
                    <w:adjustRightInd w:val="0"/>
                    <w:snapToGrid w:val="0"/>
                    <w:spacing w:line="340" w:lineRule="exact"/>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四是严格涉VOCs建设项目环境影响评价审批。新、改、扩建涉VOCs排放项目，应使用低</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无</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VOCs涂料、粘胶剂等，实施新建项目VOCs排放区域内1.2及以上倍量替代。VOCs年排放量大于5吨的新建项目投运前应安装VOCs在线监控设备，并接入市生态云平台。</w:t>
                  </w:r>
                </w:p>
              </w:tc>
              <w:tc>
                <w:tcPr>
                  <w:tcW w:w="1045" w:type="pct"/>
                  <w:tcBorders>
                    <w:left w:val="single" w:color="auto" w:sz="4" w:space="0"/>
                    <w:right w:val="single" w:color="auto" w:sz="4" w:space="0"/>
                  </w:tcBorders>
                  <w:noWrap w:val="0"/>
                  <w:vAlign w:val="center"/>
                </w:tcPr>
                <w:p w14:paraId="6E19D6B8">
                  <w:pPr>
                    <w:pStyle w:val="31"/>
                    <w:adjustRightInd w:val="0"/>
                    <w:snapToGrid w:val="0"/>
                    <w:spacing w:line="340" w:lineRule="exact"/>
                    <w:jc w:val="left"/>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项目不</w:t>
                  </w:r>
                  <w:r>
                    <w:rPr>
                      <w:rFonts w:hint="eastAsia" w:ascii="Times New Roman" w:hAnsi="Times New Roman" w:cs="Times New Roman"/>
                      <w:color w:val="auto"/>
                      <w:kern w:val="2"/>
                      <w:sz w:val="21"/>
                      <w:szCs w:val="21"/>
                      <w:lang w:val="en-US" w:eastAsia="zh-CN" w:bidi="ar-SA"/>
                    </w:rPr>
                    <w:t>涉及</w:t>
                  </w:r>
                  <w:r>
                    <w:rPr>
                      <w:rFonts w:hint="eastAsia" w:ascii="Times New Roman" w:hAnsi="Times New Roman" w:eastAsia="宋体" w:cs="Times New Roman"/>
                      <w:color w:val="auto"/>
                      <w:sz w:val="21"/>
                      <w:szCs w:val="21"/>
                      <w:lang w:val="en-US" w:eastAsia="zh-CN"/>
                    </w:rPr>
                    <w:t>VOCs原料涂料、油墨、胶粘剂、清洗剂的使用</w:t>
                  </w:r>
                  <w:r>
                    <w:rPr>
                      <w:rFonts w:hint="eastAsia" w:ascii="Times New Roman" w:hAnsi="Times New Roman" w:cs="Times New Roman"/>
                      <w:color w:val="auto"/>
                      <w:kern w:val="2"/>
                      <w:sz w:val="21"/>
                      <w:szCs w:val="21"/>
                      <w:lang w:val="en-US" w:eastAsia="zh-CN" w:bidi="ar-SA"/>
                    </w:rPr>
                    <w:t>；</w:t>
                  </w:r>
                </w:p>
                <w:p w14:paraId="158D0B71">
                  <w:pPr>
                    <w:pStyle w:val="31"/>
                    <w:adjustRightInd w:val="0"/>
                    <w:snapToGrid w:val="0"/>
                    <w:spacing w:line="340" w:lineRule="exact"/>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项目VOCs排放拟实行区域内倍量替代，</w:t>
                  </w:r>
                  <w:r>
                    <w:rPr>
                      <w:rFonts w:hint="default" w:ascii="Times New Roman" w:hAnsi="Times New Roman" w:cs="Times New Roman"/>
                      <w:color w:val="auto"/>
                      <w:kern w:val="2"/>
                      <w:sz w:val="21"/>
                      <w:szCs w:val="21"/>
                      <w:highlight w:val="none"/>
                      <w:lang w:val="en-US" w:eastAsia="zh-CN" w:bidi="ar-SA"/>
                    </w:rPr>
                    <w:t>项目VOCs</w:t>
                  </w:r>
                  <w:r>
                    <w:rPr>
                      <w:rFonts w:hint="default" w:ascii="Times New Roman" w:hAnsi="Times New Roman" w:cs="Times New Roman"/>
                      <w:b w:val="0"/>
                      <w:bCs w:val="0"/>
                      <w:color w:val="auto"/>
                      <w:sz w:val="21"/>
                      <w:szCs w:val="21"/>
                      <w:highlight w:val="none"/>
                    </w:rPr>
                    <w:t>年排放量</w:t>
                  </w:r>
                  <w:r>
                    <w:rPr>
                      <w:rFonts w:hint="default" w:ascii="Times New Roman" w:hAnsi="Times New Roman" w:cs="Times New Roman"/>
                      <w:b w:val="0"/>
                      <w:bCs w:val="0"/>
                      <w:color w:val="auto"/>
                      <w:sz w:val="21"/>
                      <w:szCs w:val="21"/>
                      <w:highlight w:val="none"/>
                      <w:lang w:val="en-US" w:eastAsia="zh-CN"/>
                    </w:rPr>
                    <w:t>小于5</w:t>
                  </w:r>
                  <w:r>
                    <w:rPr>
                      <w:rFonts w:hint="default" w:ascii="Times New Roman" w:hAnsi="Times New Roman" w:cs="Times New Roman"/>
                      <w:b w:val="0"/>
                      <w:bCs w:val="0"/>
                      <w:color w:val="auto"/>
                      <w:sz w:val="21"/>
                      <w:szCs w:val="21"/>
                      <w:highlight w:val="none"/>
                    </w:rPr>
                    <w:t>吨</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color w:val="auto"/>
                      <w:kern w:val="2"/>
                      <w:sz w:val="21"/>
                      <w:szCs w:val="21"/>
                      <w:highlight w:val="none"/>
                      <w:lang w:val="en-US" w:eastAsia="zh-CN" w:bidi="ar-SA"/>
                    </w:rPr>
                    <w:t>不需</w:t>
                  </w:r>
                  <w:r>
                    <w:rPr>
                      <w:rFonts w:hint="default" w:ascii="Times New Roman" w:hAnsi="Times New Roman" w:cs="Times New Roman"/>
                      <w:b w:val="0"/>
                      <w:bCs w:val="0"/>
                      <w:color w:val="auto"/>
                      <w:sz w:val="21"/>
                      <w:szCs w:val="21"/>
                      <w:highlight w:val="none"/>
                    </w:rPr>
                    <w:t>安装VOCs在线监控设备</w:t>
                  </w:r>
                  <w:r>
                    <w:rPr>
                      <w:rFonts w:hint="default" w:ascii="Times New Roman" w:hAnsi="Times New Roman" w:cs="Times New Roman"/>
                      <w:b w:val="0"/>
                      <w:bCs w:val="0"/>
                      <w:color w:val="auto"/>
                      <w:sz w:val="21"/>
                      <w:szCs w:val="21"/>
                      <w:highlight w:val="none"/>
                      <w:lang w:eastAsia="zh-CN"/>
                    </w:rPr>
                    <w:t>。</w:t>
                  </w:r>
                </w:p>
              </w:tc>
              <w:tc>
                <w:tcPr>
                  <w:tcW w:w="477" w:type="pct"/>
                  <w:tcBorders>
                    <w:left w:val="single" w:color="auto" w:sz="4" w:space="0"/>
                  </w:tcBorders>
                  <w:noWrap w:val="0"/>
                  <w:vAlign w:val="center"/>
                </w:tcPr>
                <w:p w14:paraId="7B692376">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符合</w:t>
                  </w:r>
                </w:p>
              </w:tc>
            </w:tr>
            <w:tr w14:paraId="57DA9F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9" w:type="pct"/>
                  <w:vMerge w:val="restart"/>
                  <w:noWrap w:val="0"/>
                  <w:vAlign w:val="center"/>
                </w:tcPr>
                <w:p w14:paraId="63F30200">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85" w:type="pct"/>
                  <w:vMerge w:val="restart"/>
                  <w:noWrap w:val="0"/>
                  <w:vAlign w:val="center"/>
                </w:tcPr>
                <w:p w14:paraId="738CFD6A">
                  <w:pPr>
                    <w:pStyle w:val="31"/>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《挥发性有机物无组织排放控制标准》(GB37822-</w:t>
                  </w:r>
                </w:p>
                <w:p w14:paraId="21D6516D">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2019)</w:t>
                  </w:r>
                </w:p>
              </w:tc>
              <w:tc>
                <w:tcPr>
                  <w:tcW w:w="2173" w:type="pct"/>
                  <w:tcBorders>
                    <w:right w:val="single" w:color="auto" w:sz="4" w:space="0"/>
                  </w:tcBorders>
                  <w:noWrap w:val="0"/>
                  <w:vAlign w:val="center"/>
                </w:tcPr>
                <w:p w14:paraId="6D19D897">
                  <w:pPr>
                    <w:pStyle w:val="31"/>
                    <w:adjustRightInd w:val="0"/>
                    <w:snapToGrid w:val="0"/>
                    <w:spacing w:line="340" w:lineRule="exac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5.1.1</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VOCs物料应储存于密闭的容器、包装袋、储罐、储库、料仓中。</w:t>
                  </w:r>
                </w:p>
                <w:p w14:paraId="6C3CF0CF">
                  <w:pPr>
                    <w:pStyle w:val="31"/>
                    <w:adjustRightInd w:val="0"/>
                    <w:snapToGrid w:val="0"/>
                    <w:spacing w:line="340" w:lineRule="exact"/>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5.1.2 盛装VOCs物料的容器或包装袋应存放于室内，或存放于设置有雨棚、遮阳和防渗设施的专用场地。盛装VOCs物料的容器或包装袋在非取用状态时应加盖、封口，保持密闭。</w:t>
                  </w:r>
                </w:p>
              </w:tc>
              <w:tc>
                <w:tcPr>
                  <w:tcW w:w="1045" w:type="pct"/>
                  <w:tcBorders>
                    <w:left w:val="single" w:color="auto" w:sz="4" w:space="0"/>
                    <w:right w:val="single" w:color="auto" w:sz="4" w:space="0"/>
                  </w:tcBorders>
                  <w:noWrap w:val="0"/>
                  <w:vAlign w:val="center"/>
                </w:tcPr>
                <w:p w14:paraId="2BDB8279">
                  <w:pPr>
                    <w:pStyle w:val="31"/>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left"/>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r>
                    <w:rPr>
                      <w:rFonts w:hint="eastAsia" w:ascii="Times New Roman" w:hAnsi="Times New Roman" w:eastAsia="宋体" w:cs="Times New Roman"/>
                      <w:color w:val="auto"/>
                      <w:kern w:val="2"/>
                      <w:sz w:val="21"/>
                      <w:szCs w:val="21"/>
                      <w:lang w:val="en-US" w:eastAsia="zh-CN" w:bidi="ar-SA"/>
                    </w:rPr>
                    <w:t>不涉及含VOCs原料使用，产生的废油、废活性炭等危险废物采用密闭容器装存在危废暂存间暂存。</w:t>
                  </w:r>
                </w:p>
              </w:tc>
              <w:tc>
                <w:tcPr>
                  <w:tcW w:w="477" w:type="pct"/>
                  <w:tcBorders>
                    <w:left w:val="single" w:color="auto" w:sz="4" w:space="0"/>
                  </w:tcBorders>
                  <w:noWrap w:val="0"/>
                  <w:vAlign w:val="center"/>
                </w:tcPr>
                <w:p w14:paraId="36B19115">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14:paraId="30F9F5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9" w:type="pct"/>
                  <w:vMerge w:val="continue"/>
                  <w:noWrap w:val="0"/>
                  <w:vAlign w:val="center"/>
                </w:tcPr>
                <w:p w14:paraId="0E193647">
                  <w:pPr>
                    <w:pStyle w:val="31"/>
                    <w:adjustRightInd w:val="0"/>
                    <w:snapToGrid w:val="0"/>
                    <w:spacing w:line="340" w:lineRule="exact"/>
                    <w:jc w:val="center"/>
                    <w:rPr>
                      <w:rFonts w:hint="eastAsia" w:ascii="Times New Roman" w:hAnsi="Times New Roman" w:eastAsia="宋体" w:cs="Times New Roman"/>
                      <w:color w:val="auto"/>
                      <w:sz w:val="21"/>
                      <w:szCs w:val="21"/>
                      <w:lang w:val="en-US" w:eastAsia="zh-CN"/>
                    </w:rPr>
                  </w:pPr>
                </w:p>
              </w:tc>
              <w:tc>
                <w:tcPr>
                  <w:tcW w:w="985" w:type="pct"/>
                  <w:vMerge w:val="continue"/>
                  <w:noWrap w:val="0"/>
                  <w:vAlign w:val="center"/>
                </w:tcPr>
                <w:p w14:paraId="30A7B052">
                  <w:pPr>
                    <w:pStyle w:val="31"/>
                    <w:adjustRightInd w:val="0"/>
                    <w:snapToGrid w:val="0"/>
                    <w:spacing w:line="340" w:lineRule="exact"/>
                    <w:jc w:val="center"/>
                    <w:rPr>
                      <w:rFonts w:hint="eastAsia" w:ascii="Times New Roman" w:hAnsi="Times New Roman" w:eastAsia="宋体" w:cs="Times New Roman"/>
                      <w:color w:val="auto"/>
                      <w:sz w:val="21"/>
                      <w:szCs w:val="21"/>
                      <w:lang w:val="en-US" w:eastAsia="zh-CN"/>
                    </w:rPr>
                  </w:pPr>
                </w:p>
              </w:tc>
              <w:tc>
                <w:tcPr>
                  <w:tcW w:w="2173" w:type="pct"/>
                  <w:tcBorders>
                    <w:right w:val="single" w:color="auto" w:sz="4" w:space="0"/>
                  </w:tcBorders>
                  <w:noWrap w:val="0"/>
                  <w:vAlign w:val="center"/>
                </w:tcPr>
                <w:p w14:paraId="32D3A4B4">
                  <w:pPr>
                    <w:pStyle w:val="31"/>
                    <w:adjustRightInd w:val="0"/>
                    <w:snapToGrid w:val="0"/>
                    <w:spacing w:line="340" w:lineRule="exact"/>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6.1.1 液态VOC物料应采用密闭管道输送。采用非管道输送方式转移液态VOC物料时，应采用密闭容器、罐车。</w:t>
                  </w:r>
                </w:p>
              </w:tc>
              <w:tc>
                <w:tcPr>
                  <w:tcW w:w="1045" w:type="pct"/>
                  <w:tcBorders>
                    <w:left w:val="single" w:color="auto" w:sz="4" w:space="0"/>
                    <w:right w:val="single" w:color="auto" w:sz="4" w:space="0"/>
                  </w:tcBorders>
                  <w:noWrap w:val="0"/>
                  <w:vAlign w:val="center"/>
                </w:tcPr>
                <w:p w14:paraId="160C246D">
                  <w:pPr>
                    <w:pStyle w:val="31"/>
                    <w:keepNext w:val="0"/>
                    <w:keepLines w:val="0"/>
                    <w:pageBreakBefore w:val="0"/>
                    <w:widowControl w:val="0"/>
                    <w:kinsoku/>
                    <w:wordWrap/>
                    <w:overflowPunct/>
                    <w:topLinePunct w:val="0"/>
                    <w:autoSpaceDE/>
                    <w:autoSpaceDN w:val="0"/>
                    <w:bidi w:val="0"/>
                    <w:adjustRightInd w:val="0"/>
                    <w:snapToGrid w:val="0"/>
                    <w:spacing w:line="340" w:lineRule="exact"/>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产生的废油等危险废物采用密闭容器装存转移</w:t>
                  </w:r>
                </w:p>
              </w:tc>
              <w:tc>
                <w:tcPr>
                  <w:tcW w:w="477" w:type="pct"/>
                  <w:tcBorders>
                    <w:left w:val="single" w:color="auto" w:sz="4" w:space="0"/>
                  </w:tcBorders>
                  <w:noWrap w:val="0"/>
                  <w:vAlign w:val="center"/>
                </w:tcPr>
                <w:p w14:paraId="4188CABD">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14:paraId="6DE3CB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9" w:type="pct"/>
                  <w:vMerge w:val="continue"/>
                  <w:noWrap w:val="0"/>
                  <w:vAlign w:val="center"/>
                </w:tcPr>
                <w:p w14:paraId="767625CD">
                  <w:pPr>
                    <w:pStyle w:val="31"/>
                    <w:adjustRightInd w:val="0"/>
                    <w:snapToGrid w:val="0"/>
                    <w:spacing w:line="340" w:lineRule="exact"/>
                    <w:jc w:val="center"/>
                    <w:rPr>
                      <w:rFonts w:hint="eastAsia" w:ascii="Times New Roman" w:hAnsi="Times New Roman" w:eastAsia="宋体" w:cs="Times New Roman"/>
                      <w:color w:val="auto"/>
                      <w:sz w:val="21"/>
                      <w:szCs w:val="21"/>
                      <w:lang w:val="en-US" w:eastAsia="zh-CN"/>
                    </w:rPr>
                  </w:pPr>
                </w:p>
              </w:tc>
              <w:tc>
                <w:tcPr>
                  <w:tcW w:w="985" w:type="pct"/>
                  <w:vMerge w:val="continue"/>
                  <w:noWrap w:val="0"/>
                  <w:vAlign w:val="center"/>
                </w:tcPr>
                <w:p w14:paraId="3BB4FA7B">
                  <w:pPr>
                    <w:pStyle w:val="31"/>
                    <w:adjustRightInd w:val="0"/>
                    <w:snapToGrid w:val="0"/>
                    <w:spacing w:line="340" w:lineRule="exact"/>
                    <w:jc w:val="center"/>
                    <w:rPr>
                      <w:rFonts w:hint="eastAsia" w:ascii="Times New Roman" w:hAnsi="Times New Roman" w:eastAsia="宋体" w:cs="Times New Roman"/>
                      <w:color w:val="auto"/>
                      <w:sz w:val="21"/>
                      <w:szCs w:val="21"/>
                      <w:lang w:val="en-US" w:eastAsia="zh-CN"/>
                    </w:rPr>
                  </w:pPr>
                </w:p>
              </w:tc>
              <w:tc>
                <w:tcPr>
                  <w:tcW w:w="2173" w:type="pct"/>
                  <w:tcBorders>
                    <w:right w:val="single" w:color="auto" w:sz="4" w:space="0"/>
                  </w:tcBorders>
                  <w:noWrap w:val="0"/>
                  <w:vAlign w:val="center"/>
                </w:tcPr>
                <w:p w14:paraId="66056142">
                  <w:pPr>
                    <w:pStyle w:val="31"/>
                    <w:adjustRightInd w:val="0"/>
                    <w:snapToGrid w:val="0"/>
                    <w:spacing w:line="340" w:lineRule="exact"/>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7.3.1 企业应建立台账，记录含 VOCs 原辅材料和含VOCs产品的名称、使用量、回收量、废弃量、去向以及VOCs含量等信息。台账保存期限不少于3年。</w:t>
                  </w:r>
                </w:p>
                <w:p w14:paraId="63CB1E90">
                  <w:pPr>
                    <w:pStyle w:val="31"/>
                    <w:adjustRightInd w:val="0"/>
                    <w:snapToGrid w:val="0"/>
                    <w:spacing w:line="340" w:lineRule="exact"/>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7.3.3 载有VOC物料的设备及其管道在开停工车、检维修和清洗时，应在退料阶段将残存物料退净，并用密闭容器盛装，退料过程废气应排至VOCs废气收集处理系统</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清洗及吹扫过程排气应排至VOCs 废气收集处理系统。</w:t>
                  </w:r>
                </w:p>
              </w:tc>
              <w:tc>
                <w:tcPr>
                  <w:tcW w:w="1045" w:type="pct"/>
                  <w:tcBorders>
                    <w:left w:val="single" w:color="auto" w:sz="4" w:space="0"/>
                    <w:right w:val="single" w:color="auto" w:sz="4" w:space="0"/>
                  </w:tcBorders>
                  <w:noWrap w:val="0"/>
                  <w:vAlign w:val="center"/>
                </w:tcPr>
                <w:p w14:paraId="4789E419">
                  <w:pPr>
                    <w:pStyle w:val="31"/>
                    <w:keepNext w:val="0"/>
                    <w:keepLines w:val="0"/>
                    <w:pageBreakBefore w:val="0"/>
                    <w:widowControl w:val="0"/>
                    <w:kinsoku/>
                    <w:wordWrap/>
                    <w:overflowPunct/>
                    <w:topLinePunct w:val="0"/>
                    <w:autoSpaceDE/>
                    <w:autoSpaceDN w:val="0"/>
                    <w:bidi w:val="0"/>
                    <w:adjustRightInd w:val="0"/>
                    <w:snapToGrid w:val="0"/>
                    <w:spacing w:line="340" w:lineRule="exact"/>
                    <w:ind w:firstLine="0" w:firstLineChars="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kern w:val="2"/>
                      <w:sz w:val="21"/>
                      <w:szCs w:val="21"/>
                      <w:lang w:val="en-US" w:eastAsia="zh-CN" w:bidi="ar-SA"/>
                    </w:rPr>
                    <w:t>项目将严格按照要求制定</w:t>
                  </w:r>
                  <w:r>
                    <w:rPr>
                      <w:rFonts w:hint="eastAsia" w:ascii="Times New Roman" w:hAnsi="Times New Roman" w:eastAsia="宋体" w:cs="Times New Roman"/>
                      <w:b w:val="0"/>
                      <w:bCs w:val="0"/>
                      <w:color w:val="auto"/>
                      <w:sz w:val="21"/>
                      <w:szCs w:val="21"/>
                      <w:lang w:val="en-US" w:eastAsia="zh-CN"/>
                    </w:rPr>
                    <w:t>台账，</w:t>
                  </w:r>
                  <w:r>
                    <w:rPr>
                      <w:rFonts w:hint="default" w:ascii="Times New Roman" w:hAnsi="Times New Roman" w:eastAsia="宋体" w:cs="Times New Roman"/>
                      <w:b w:val="0"/>
                      <w:bCs w:val="0"/>
                      <w:color w:val="auto"/>
                      <w:sz w:val="21"/>
                      <w:szCs w:val="21"/>
                      <w:lang w:val="en-US" w:eastAsia="zh-CN"/>
                    </w:rPr>
                    <w:t>台账保存期限不少于3年</w:t>
                  </w:r>
                  <w:r>
                    <w:rPr>
                      <w:rFonts w:hint="eastAsia" w:ascii="Times New Roman" w:hAnsi="Times New Roman" w:eastAsia="宋体" w:cs="Times New Roman"/>
                      <w:b w:val="0"/>
                      <w:bCs w:val="0"/>
                      <w:color w:val="auto"/>
                      <w:sz w:val="21"/>
                      <w:szCs w:val="21"/>
                      <w:lang w:val="en-US" w:eastAsia="zh-CN"/>
                    </w:rPr>
                    <w:t>。</w:t>
                  </w:r>
                </w:p>
                <w:p w14:paraId="7649DF9F">
                  <w:pPr>
                    <w:pStyle w:val="31"/>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项目在</w:t>
                  </w:r>
                  <w:r>
                    <w:rPr>
                      <w:rFonts w:hint="default" w:ascii="Times New Roman" w:hAnsi="Times New Roman" w:eastAsia="宋体" w:cs="Times New Roman"/>
                      <w:b w:val="0"/>
                      <w:bCs w:val="0"/>
                      <w:color w:val="auto"/>
                      <w:sz w:val="21"/>
                      <w:szCs w:val="21"/>
                      <w:lang w:val="en-US" w:eastAsia="zh-CN"/>
                    </w:rPr>
                    <w:t>退料过程废气</w:t>
                  </w:r>
                  <w:r>
                    <w:rPr>
                      <w:rFonts w:hint="eastAsia" w:ascii="Times New Roman" w:hAnsi="Times New Roman" w:eastAsia="宋体" w:cs="Times New Roman"/>
                      <w:b w:val="0"/>
                      <w:bCs w:val="0"/>
                      <w:color w:val="auto"/>
                      <w:sz w:val="21"/>
                      <w:szCs w:val="21"/>
                      <w:lang w:val="en-US" w:eastAsia="zh-CN"/>
                    </w:rPr>
                    <w:t>将</w:t>
                  </w:r>
                  <w:r>
                    <w:rPr>
                      <w:rFonts w:hint="default" w:ascii="Times New Roman" w:hAnsi="Times New Roman" w:eastAsia="宋体" w:cs="Times New Roman"/>
                      <w:b w:val="0"/>
                      <w:bCs w:val="0"/>
                      <w:color w:val="auto"/>
                      <w:sz w:val="21"/>
                      <w:szCs w:val="21"/>
                      <w:lang w:val="en-US" w:eastAsia="zh-CN"/>
                    </w:rPr>
                    <w:t>排至VOCs废气收集处理系统</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清洗及吹扫过程排气</w:t>
                  </w:r>
                  <w:r>
                    <w:rPr>
                      <w:rFonts w:hint="eastAsia" w:ascii="Times New Roman" w:hAnsi="Times New Roman" w:eastAsia="宋体" w:cs="Times New Roman"/>
                      <w:b w:val="0"/>
                      <w:bCs w:val="0"/>
                      <w:color w:val="auto"/>
                      <w:sz w:val="21"/>
                      <w:szCs w:val="21"/>
                      <w:lang w:val="en-US" w:eastAsia="zh-CN"/>
                    </w:rPr>
                    <w:t>将</w:t>
                  </w:r>
                  <w:r>
                    <w:rPr>
                      <w:rFonts w:hint="default" w:ascii="Times New Roman" w:hAnsi="Times New Roman" w:eastAsia="宋体" w:cs="Times New Roman"/>
                      <w:b w:val="0"/>
                      <w:bCs w:val="0"/>
                      <w:color w:val="auto"/>
                      <w:sz w:val="21"/>
                      <w:szCs w:val="21"/>
                      <w:lang w:val="en-US" w:eastAsia="zh-CN"/>
                    </w:rPr>
                    <w:t>排至VOCs废气收集处理系统</w:t>
                  </w:r>
                  <w:r>
                    <w:rPr>
                      <w:rFonts w:hint="eastAsia" w:ascii="Times New Roman" w:hAnsi="Times New Roman" w:eastAsia="宋体" w:cs="Times New Roman"/>
                      <w:b w:val="0"/>
                      <w:bCs w:val="0"/>
                      <w:color w:val="auto"/>
                      <w:sz w:val="21"/>
                      <w:szCs w:val="21"/>
                      <w:lang w:val="en-US" w:eastAsia="zh-CN"/>
                    </w:rPr>
                    <w:t>处理达标后排放。</w:t>
                  </w:r>
                </w:p>
              </w:tc>
              <w:tc>
                <w:tcPr>
                  <w:tcW w:w="477" w:type="pct"/>
                  <w:tcBorders>
                    <w:left w:val="single" w:color="auto" w:sz="4" w:space="0"/>
                  </w:tcBorders>
                  <w:noWrap w:val="0"/>
                  <w:vAlign w:val="center"/>
                </w:tcPr>
                <w:p w14:paraId="1515BA8F">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14:paraId="707227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9" w:type="pct"/>
                  <w:vMerge w:val="continue"/>
                  <w:noWrap w:val="0"/>
                  <w:vAlign w:val="center"/>
                </w:tcPr>
                <w:p w14:paraId="40E50356">
                  <w:pPr>
                    <w:pStyle w:val="31"/>
                    <w:adjustRightInd w:val="0"/>
                    <w:snapToGrid w:val="0"/>
                    <w:spacing w:line="340" w:lineRule="exact"/>
                    <w:jc w:val="center"/>
                    <w:rPr>
                      <w:rFonts w:hint="eastAsia" w:ascii="Times New Roman" w:hAnsi="Times New Roman" w:eastAsia="宋体" w:cs="Times New Roman"/>
                      <w:color w:val="auto"/>
                      <w:sz w:val="21"/>
                      <w:szCs w:val="21"/>
                      <w:lang w:val="en-US" w:eastAsia="zh-CN"/>
                    </w:rPr>
                  </w:pPr>
                </w:p>
              </w:tc>
              <w:tc>
                <w:tcPr>
                  <w:tcW w:w="985" w:type="pct"/>
                  <w:vMerge w:val="continue"/>
                  <w:noWrap w:val="0"/>
                  <w:vAlign w:val="center"/>
                </w:tcPr>
                <w:p w14:paraId="4FF479E0">
                  <w:pPr>
                    <w:pStyle w:val="31"/>
                    <w:adjustRightInd w:val="0"/>
                    <w:snapToGrid w:val="0"/>
                    <w:spacing w:line="340" w:lineRule="exact"/>
                    <w:jc w:val="center"/>
                    <w:rPr>
                      <w:rFonts w:hint="eastAsia" w:ascii="Times New Roman" w:hAnsi="Times New Roman" w:eastAsia="宋体" w:cs="Times New Roman"/>
                      <w:color w:val="auto"/>
                      <w:sz w:val="21"/>
                      <w:szCs w:val="21"/>
                      <w:lang w:val="en-US" w:eastAsia="zh-CN"/>
                    </w:rPr>
                  </w:pPr>
                </w:p>
              </w:tc>
              <w:tc>
                <w:tcPr>
                  <w:tcW w:w="2173" w:type="pct"/>
                  <w:tcBorders>
                    <w:right w:val="single" w:color="auto" w:sz="4" w:space="0"/>
                  </w:tcBorders>
                  <w:noWrap w:val="0"/>
                  <w:vAlign w:val="center"/>
                </w:tcPr>
                <w:p w14:paraId="362D9105">
                  <w:pPr>
                    <w:pStyle w:val="31"/>
                    <w:adjustRightInd w:val="0"/>
                    <w:snapToGrid w:val="0"/>
                    <w:spacing w:line="340" w:lineRule="exact"/>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10.1.2 VOCs废气收集处理系统应与生产工艺设备同步运行。VOCs 废气收集处理系统发生故障或检修时，对应的生产工艺设备应停止运行，待检修完毕后同步投入使用</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生产工艺设备不能停止运行或不能及时停止运行的，应设置废气应急处理设施或采取其他替代措施。</w:t>
                  </w:r>
                </w:p>
                <w:p w14:paraId="23114EEA">
                  <w:pPr>
                    <w:pStyle w:val="31"/>
                    <w:adjustRightInd w:val="0"/>
                    <w:snapToGrid w:val="0"/>
                    <w:spacing w:line="340" w:lineRule="exact"/>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10.2.1 企业应考虑生产工艺、操作方式、废气性质、处理方法等因素，对VOCs废气进行分类收集。</w:t>
                  </w:r>
                </w:p>
                <w:p w14:paraId="47D85A7B">
                  <w:pPr>
                    <w:pStyle w:val="31"/>
                    <w:adjustRightInd w:val="0"/>
                    <w:snapToGrid w:val="0"/>
                    <w:spacing w:line="340" w:lineRule="exact"/>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10.4 记录要求</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045" w:type="pct"/>
                  <w:tcBorders>
                    <w:left w:val="single" w:color="auto" w:sz="4" w:space="0"/>
                    <w:right w:val="single" w:color="auto" w:sz="4" w:space="0"/>
                  </w:tcBorders>
                  <w:noWrap w:val="0"/>
                  <w:vAlign w:val="center"/>
                </w:tcPr>
                <w:p w14:paraId="549E65DE">
                  <w:pPr>
                    <w:pStyle w:val="31"/>
                    <w:keepNext w:val="0"/>
                    <w:keepLines w:val="0"/>
                    <w:pageBreakBefore w:val="0"/>
                    <w:widowControl w:val="0"/>
                    <w:kinsoku/>
                    <w:wordWrap/>
                    <w:overflowPunct/>
                    <w:topLinePunct w:val="0"/>
                    <w:autoSpaceDE/>
                    <w:autoSpaceDN w:val="0"/>
                    <w:bidi w:val="0"/>
                    <w:adjustRightInd w:val="0"/>
                    <w:snapToGrid w:val="0"/>
                    <w:spacing w:line="340" w:lineRule="exact"/>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kern w:val="2"/>
                      <w:sz w:val="21"/>
                      <w:szCs w:val="21"/>
                      <w:lang w:val="en-US" w:eastAsia="zh-CN" w:bidi="ar-SA"/>
                    </w:rPr>
                    <w:t>10.1.2 项目</w:t>
                  </w:r>
                  <w:r>
                    <w:rPr>
                      <w:rFonts w:hint="default" w:ascii="Times New Roman" w:hAnsi="Times New Roman" w:eastAsia="宋体" w:cs="Times New Roman"/>
                      <w:b w:val="0"/>
                      <w:bCs w:val="0"/>
                      <w:color w:val="auto"/>
                      <w:sz w:val="21"/>
                      <w:szCs w:val="21"/>
                      <w:lang w:val="en-US" w:eastAsia="zh-CN"/>
                    </w:rPr>
                    <w:t>废气收集处理系统</w:t>
                  </w:r>
                  <w:r>
                    <w:rPr>
                      <w:rFonts w:hint="eastAsia" w:ascii="Times New Roman" w:hAnsi="Times New Roman" w:eastAsia="宋体" w:cs="Times New Roman"/>
                      <w:b w:val="0"/>
                      <w:bCs w:val="0"/>
                      <w:color w:val="auto"/>
                      <w:sz w:val="21"/>
                      <w:szCs w:val="21"/>
                      <w:lang w:val="en-US" w:eastAsia="zh-CN"/>
                    </w:rPr>
                    <w:t>将</w:t>
                  </w:r>
                  <w:r>
                    <w:rPr>
                      <w:rFonts w:hint="default" w:ascii="Times New Roman" w:hAnsi="Times New Roman" w:eastAsia="宋体" w:cs="Times New Roman"/>
                      <w:b w:val="0"/>
                      <w:bCs w:val="0"/>
                      <w:color w:val="auto"/>
                      <w:sz w:val="21"/>
                      <w:szCs w:val="21"/>
                      <w:lang w:val="en-US" w:eastAsia="zh-CN"/>
                    </w:rPr>
                    <w:t>与生产工艺设备同步运行。VOCs废气收集处理系统发生故障或检修时，对应的生产工艺设备应停止运行，待检修完毕后同步投入使用</w:t>
                  </w:r>
                  <w:r>
                    <w:rPr>
                      <w:rFonts w:hint="eastAsia" w:ascii="Times New Roman" w:hAnsi="Times New Roman" w:eastAsia="宋体" w:cs="Times New Roman"/>
                      <w:b w:val="0"/>
                      <w:bCs w:val="0"/>
                      <w:color w:val="auto"/>
                      <w:sz w:val="21"/>
                      <w:szCs w:val="21"/>
                      <w:lang w:val="en-US" w:eastAsia="zh-CN"/>
                    </w:rPr>
                    <w:t>。</w:t>
                  </w:r>
                </w:p>
                <w:p w14:paraId="52AD0B48">
                  <w:pPr>
                    <w:pStyle w:val="31"/>
                    <w:keepNext w:val="0"/>
                    <w:keepLines w:val="0"/>
                    <w:pageBreakBefore w:val="0"/>
                    <w:widowControl w:val="0"/>
                    <w:kinsoku/>
                    <w:wordWrap/>
                    <w:overflowPunct/>
                    <w:topLinePunct w:val="0"/>
                    <w:autoSpaceDE/>
                    <w:autoSpaceDN w:val="0"/>
                    <w:bidi w:val="0"/>
                    <w:adjustRightInd w:val="0"/>
                    <w:snapToGrid w:val="0"/>
                    <w:spacing w:line="340" w:lineRule="exact"/>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 xml:space="preserve">10.2.1 </w:t>
                  </w: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拟</w:t>
                  </w:r>
                  <w:r>
                    <w:rPr>
                      <w:rFonts w:hint="eastAsia" w:ascii="Times New Roman" w:hAnsi="Times New Roman" w:cs="Times New Roman"/>
                      <w:color w:val="auto"/>
                      <w:sz w:val="21"/>
                      <w:szCs w:val="21"/>
                      <w:lang w:val="en-US" w:eastAsia="zh-CN"/>
                    </w:rPr>
                    <w:t>将</w:t>
                  </w:r>
                  <w:r>
                    <w:rPr>
                      <w:rFonts w:hint="default" w:ascii="Times New Roman" w:hAnsi="Times New Roman" w:cs="Times New Roman"/>
                      <w:color w:val="auto"/>
                      <w:sz w:val="21"/>
                      <w:szCs w:val="21"/>
                      <w:lang w:val="en-US" w:eastAsia="zh-CN"/>
                    </w:rPr>
                    <w:t>产生的</w:t>
                  </w:r>
                  <w:r>
                    <w:rPr>
                      <w:rFonts w:hint="default" w:ascii="Times New Roman" w:hAnsi="Times New Roman" w:cs="Times New Roman"/>
                      <w:color w:val="auto"/>
                      <w:sz w:val="21"/>
                      <w:szCs w:val="21"/>
                    </w:rPr>
                    <w:t>VOCs</w:t>
                  </w:r>
                  <w:r>
                    <w:rPr>
                      <w:rFonts w:hint="default" w:ascii="Times New Roman" w:hAnsi="Times New Roman" w:cs="Times New Roman"/>
                      <w:color w:val="auto"/>
                      <w:sz w:val="21"/>
                      <w:szCs w:val="21"/>
                      <w:lang w:val="en-US" w:eastAsia="zh-CN"/>
                    </w:rPr>
                    <w:t>收集后</w:t>
                  </w:r>
                  <w:r>
                    <w:rPr>
                      <w:rFonts w:hint="eastAsia" w:ascii="Times New Roman" w:hAnsi="Times New Roman" w:cs="Times New Roman"/>
                      <w:color w:val="auto"/>
                      <w:sz w:val="21"/>
                      <w:szCs w:val="21"/>
                      <w:lang w:val="en-US" w:eastAsia="zh-CN"/>
                    </w:rPr>
                    <w:t>通过“过滤棉+活性炭吸附装置”</w:t>
                  </w:r>
                  <w:r>
                    <w:rPr>
                      <w:rFonts w:hint="default" w:ascii="Times New Roman" w:hAnsi="Times New Roman" w:cs="Times New Roman"/>
                      <w:color w:val="auto"/>
                      <w:sz w:val="21"/>
                      <w:szCs w:val="21"/>
                      <w:lang w:val="en-US" w:eastAsia="zh-CN"/>
                    </w:rPr>
                    <w:t>处理后排放</w:t>
                  </w:r>
                  <w:r>
                    <w:rPr>
                      <w:rFonts w:hint="eastAsia" w:ascii="Times New Roman" w:hAnsi="Times New Roman" w:eastAsia="宋体" w:cs="Times New Roman"/>
                      <w:b w:val="0"/>
                      <w:bCs w:val="0"/>
                      <w:color w:val="auto"/>
                      <w:sz w:val="21"/>
                      <w:szCs w:val="21"/>
                      <w:lang w:val="en-US" w:eastAsia="zh-CN"/>
                    </w:rPr>
                    <w:t>。</w:t>
                  </w:r>
                </w:p>
                <w:p w14:paraId="157F2CC3">
                  <w:pPr>
                    <w:pStyle w:val="31"/>
                    <w:adjustRightInd w:val="0"/>
                    <w:snapToGrid w:val="0"/>
                    <w:spacing w:line="340" w:lineRule="exact"/>
                    <w:jc w:val="left"/>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10.4 项目</w:t>
                  </w:r>
                  <w:r>
                    <w:rPr>
                      <w:rFonts w:hint="eastAsia" w:ascii="Times New Roman" w:hAnsi="Times New Roman" w:cs="Times New Roman"/>
                      <w:color w:val="auto"/>
                      <w:kern w:val="2"/>
                      <w:sz w:val="21"/>
                      <w:szCs w:val="21"/>
                      <w:lang w:val="en-US" w:eastAsia="zh-CN" w:bidi="ar-SA"/>
                    </w:rPr>
                    <w:t>将严格按照要求制定</w:t>
                  </w:r>
                  <w:r>
                    <w:rPr>
                      <w:rFonts w:hint="default" w:ascii="Times New Roman" w:hAnsi="Times New Roman" w:eastAsia="宋体" w:cs="Times New Roman"/>
                      <w:b w:val="0"/>
                      <w:bCs w:val="0"/>
                      <w:color w:val="auto"/>
                      <w:sz w:val="21"/>
                      <w:szCs w:val="21"/>
                      <w:lang w:val="en-US" w:eastAsia="zh-CN"/>
                    </w:rPr>
                    <w:t>废气收集系统、VOCs处理设施</w:t>
                  </w:r>
                  <w:r>
                    <w:rPr>
                      <w:rFonts w:hint="eastAsia" w:ascii="Times New Roman" w:hAnsi="Times New Roman" w:eastAsia="宋体" w:cs="Times New Roman"/>
                      <w:b w:val="0"/>
                      <w:bCs w:val="0"/>
                      <w:color w:val="auto"/>
                      <w:sz w:val="21"/>
                      <w:szCs w:val="21"/>
                      <w:lang w:val="en-US" w:eastAsia="zh-CN"/>
                    </w:rPr>
                    <w:t>运行台账，</w:t>
                  </w:r>
                  <w:r>
                    <w:rPr>
                      <w:rFonts w:hint="default" w:ascii="Times New Roman" w:hAnsi="Times New Roman" w:eastAsia="宋体" w:cs="Times New Roman"/>
                      <w:b w:val="0"/>
                      <w:bCs w:val="0"/>
                      <w:color w:val="auto"/>
                      <w:sz w:val="21"/>
                      <w:szCs w:val="21"/>
                      <w:lang w:val="en-US" w:eastAsia="zh-CN"/>
                    </w:rPr>
                    <w:t>台账保存期限不少于3年</w:t>
                  </w:r>
                  <w:r>
                    <w:rPr>
                      <w:rFonts w:hint="eastAsia" w:ascii="Times New Roman" w:hAnsi="Times New Roman" w:eastAsia="宋体" w:cs="Times New Roman"/>
                      <w:b w:val="0"/>
                      <w:bCs w:val="0"/>
                      <w:color w:val="auto"/>
                      <w:sz w:val="21"/>
                      <w:szCs w:val="21"/>
                      <w:lang w:val="en-US" w:eastAsia="zh-CN"/>
                    </w:rPr>
                    <w:t>。</w:t>
                  </w:r>
                </w:p>
              </w:tc>
              <w:tc>
                <w:tcPr>
                  <w:tcW w:w="477" w:type="pct"/>
                  <w:tcBorders>
                    <w:left w:val="single" w:color="auto" w:sz="4" w:space="0"/>
                  </w:tcBorders>
                  <w:noWrap w:val="0"/>
                  <w:vAlign w:val="center"/>
                </w:tcPr>
                <w:p w14:paraId="75A891B3">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14:paraId="7435F0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19" w:type="pct"/>
                  <w:noWrap w:val="0"/>
                  <w:vAlign w:val="center"/>
                </w:tcPr>
                <w:p w14:paraId="1FA2C4DF">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985" w:type="pct"/>
                  <w:noWrap w:val="0"/>
                  <w:vAlign w:val="center"/>
                </w:tcPr>
                <w:p w14:paraId="48ADE24D">
                  <w:pPr>
                    <w:pStyle w:val="31"/>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《挥发性有机物（VOCs）污染防治技术政策》（公告2013年 第31号）</w:t>
                  </w:r>
                </w:p>
              </w:tc>
              <w:tc>
                <w:tcPr>
                  <w:tcW w:w="2173" w:type="pct"/>
                  <w:tcBorders>
                    <w:right w:val="single" w:color="auto" w:sz="4" w:space="0"/>
                  </w:tcBorders>
                  <w:noWrap w:val="0"/>
                  <w:vAlign w:val="center"/>
                </w:tcPr>
                <w:p w14:paraId="594E58F9">
                  <w:pPr>
                    <w:pStyle w:val="31"/>
                    <w:keepNext w:val="0"/>
                    <w:keepLines w:val="0"/>
                    <w:pageBreakBefore w:val="0"/>
                    <w:numPr>
                      <w:ilvl w:val="0"/>
                      <w:numId w:val="0"/>
                    </w:numPr>
                    <w:kinsoku/>
                    <w:wordWrap/>
                    <w:overflowPunct/>
                    <w:topLinePunct w:val="0"/>
                    <w:bidi w:val="0"/>
                    <w:adjustRightInd w:val="0"/>
                    <w:snapToGrid w:val="0"/>
                    <w:spacing w:line="34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1.含VOCs产品的使用过程中，应采取废气收集措施，提高废气收集效率，减少废气的无组织排放与逸散，并对收集后的废气进行回收或处理后达标排放。</w:t>
                  </w:r>
                </w:p>
                <w:p w14:paraId="0B2EBB4B">
                  <w:pPr>
                    <w:pStyle w:val="31"/>
                    <w:keepNext w:val="0"/>
                    <w:keepLines w:val="0"/>
                    <w:pageBreakBefore w:val="0"/>
                    <w:numPr>
                      <w:ilvl w:val="0"/>
                      <w:numId w:val="0"/>
                    </w:numPr>
                    <w:kinsoku/>
                    <w:wordWrap/>
                    <w:overflowPunct/>
                    <w:topLinePunct w:val="0"/>
                    <w:bidi w:val="0"/>
                    <w:adjustRightInd w:val="0"/>
                    <w:snapToGrid w:val="0"/>
                    <w:spacing w:line="340" w:lineRule="exact"/>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对于含低浓度VOCs的废气，有回收价值时可采用吸附技术、吸收技术对有机溶剂回收后达标排放；不宜回收时，可采用吸附浓缩燃烧技术、生物技术、吸收技术、等离子体技术或紫外光高级氧化技术等净化后达标排放。</w:t>
                  </w:r>
                </w:p>
                <w:p w14:paraId="586CA03B">
                  <w:pPr>
                    <w:pStyle w:val="31"/>
                    <w:keepNext w:val="0"/>
                    <w:keepLines w:val="0"/>
                    <w:pageBreakBefore w:val="0"/>
                    <w:numPr>
                      <w:ilvl w:val="0"/>
                      <w:numId w:val="0"/>
                    </w:numPr>
                    <w:kinsoku/>
                    <w:wordWrap/>
                    <w:overflowPunct/>
                    <w:topLinePunct w:val="0"/>
                    <w:bidi w:val="0"/>
                    <w:adjustRightInd w:val="0"/>
                    <w:snapToGrid w:val="0"/>
                    <w:spacing w:line="340" w:lineRule="exact"/>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3.对于不能再生的过滤材料、吸附剂及催化剂等净化材料，应按照国家固体废物管理的相关规定处理处置。</w:t>
                  </w:r>
                </w:p>
                <w:p w14:paraId="244B842C">
                  <w:pPr>
                    <w:pStyle w:val="31"/>
                    <w:keepNext w:val="0"/>
                    <w:keepLines w:val="0"/>
                    <w:pageBreakBefore w:val="0"/>
                    <w:numPr>
                      <w:ilvl w:val="0"/>
                      <w:numId w:val="0"/>
                    </w:numPr>
                    <w:kinsoku/>
                    <w:wordWrap/>
                    <w:overflowPunct/>
                    <w:topLinePunct w:val="0"/>
                    <w:bidi w:val="0"/>
                    <w:adjustRightInd w:val="0"/>
                    <w:snapToGrid w:val="0"/>
                    <w:spacing w:line="340" w:lineRule="exact"/>
                    <w:ind w:left="0" w:leftChars="0" w:firstLine="0" w:firstLineChars="0"/>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4.企业应建立健全VOCs治理设施的运行维护规程和台账等日常管理制度，并根据工艺要求定期对各类设备、电气、自控仪表等进行检修维护，确保设施的稳定运行。</w:t>
                  </w:r>
                </w:p>
              </w:tc>
              <w:tc>
                <w:tcPr>
                  <w:tcW w:w="1045" w:type="pct"/>
                  <w:tcBorders>
                    <w:left w:val="single" w:color="auto" w:sz="4" w:space="0"/>
                    <w:right w:val="single" w:color="auto" w:sz="4" w:space="0"/>
                  </w:tcBorders>
                  <w:noWrap w:val="0"/>
                  <w:vAlign w:val="center"/>
                </w:tcPr>
                <w:p w14:paraId="66EAF79C">
                  <w:pPr>
                    <w:pStyle w:val="31"/>
                    <w:keepNext w:val="0"/>
                    <w:keepLines w:val="0"/>
                    <w:pageBreakBefore w:val="0"/>
                    <w:kinsoku/>
                    <w:wordWrap/>
                    <w:overflowPunct/>
                    <w:topLinePunct w:val="0"/>
                    <w:bidi w:val="0"/>
                    <w:adjustRightInd w:val="0"/>
                    <w:snapToGrid w:val="0"/>
                    <w:spacing w:line="340" w:lineRule="exact"/>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1.</w:t>
                  </w: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废油废液作业间密闭（仅保留物料进出口），采用顶吸罩收集，经收集的</w:t>
                  </w:r>
                  <w:r>
                    <w:rPr>
                      <w:rFonts w:hint="eastAsia" w:ascii="Times New Roman" w:hAnsi="Times New Roman" w:cs="Times New Roman"/>
                      <w:color w:val="auto"/>
                      <w:sz w:val="21"/>
                      <w:szCs w:val="21"/>
                      <w:lang w:val="en-US" w:eastAsia="zh-CN"/>
                    </w:rPr>
                    <w:t>VOCs废气配套“过滤棉+双级活性炭吸附装置”处理后达标高空排放；</w:t>
                  </w:r>
                </w:p>
                <w:p w14:paraId="291C6665">
                  <w:pPr>
                    <w:pStyle w:val="31"/>
                    <w:keepNext w:val="0"/>
                    <w:keepLines w:val="0"/>
                    <w:pageBreakBefore w:val="0"/>
                    <w:kinsoku/>
                    <w:wordWrap/>
                    <w:overflowPunct/>
                    <w:topLinePunct w:val="0"/>
                    <w:bidi w:val="0"/>
                    <w:adjustRightInd w:val="0"/>
                    <w:snapToGrid w:val="0"/>
                    <w:spacing w:line="340" w:lineRule="exact"/>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2.本项目废气排放量较少，属于低浓度VOCs的废气，项目废气采用</w:t>
                  </w:r>
                  <w:r>
                    <w:rPr>
                      <w:rFonts w:hint="eastAsia" w:ascii="Times New Roman" w:hAnsi="Times New Roman" w:cs="Times New Roman"/>
                      <w:color w:val="auto"/>
                      <w:sz w:val="21"/>
                      <w:szCs w:val="21"/>
                      <w:lang w:val="en-US" w:eastAsia="zh-CN"/>
                    </w:rPr>
                    <w:t>“过滤棉+双级活性炭吸附装置”</w:t>
                  </w:r>
                  <w:r>
                    <w:rPr>
                      <w:rFonts w:hint="eastAsia" w:ascii="Times New Roman" w:hAnsi="Times New Roman" w:eastAsia="宋体" w:cs="Times New Roman"/>
                      <w:color w:val="auto"/>
                      <w:kern w:val="2"/>
                      <w:sz w:val="21"/>
                      <w:szCs w:val="21"/>
                      <w:lang w:val="en-US" w:eastAsia="zh-CN" w:bidi="ar-SA"/>
                    </w:rPr>
                    <w:t>处理后达标排放；</w:t>
                  </w:r>
                </w:p>
                <w:p w14:paraId="5E549157">
                  <w:pPr>
                    <w:pStyle w:val="31"/>
                    <w:keepNext w:val="0"/>
                    <w:keepLines w:val="0"/>
                    <w:pageBreakBefore w:val="0"/>
                    <w:kinsoku/>
                    <w:wordWrap/>
                    <w:overflowPunct/>
                    <w:topLinePunct w:val="0"/>
                    <w:bidi w:val="0"/>
                    <w:adjustRightInd w:val="0"/>
                    <w:snapToGrid w:val="0"/>
                    <w:spacing w:line="340" w:lineRule="exact"/>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3.项目废气设施产生的</w:t>
                  </w:r>
                  <w:r>
                    <w:rPr>
                      <w:rFonts w:hint="eastAsia" w:ascii="Times New Roman" w:hAnsi="Times New Roman" w:cs="Times New Roman"/>
                      <w:color w:val="auto"/>
                      <w:sz w:val="21"/>
                      <w:szCs w:val="21"/>
                      <w:lang w:val="en-US" w:eastAsia="zh-CN"/>
                    </w:rPr>
                    <w:t>废活性炭等当作</w:t>
                  </w:r>
                  <w:r>
                    <w:rPr>
                      <w:rFonts w:hint="default" w:ascii="Times New Roman" w:hAnsi="Times New Roman" w:cs="Times New Roman"/>
                      <w:color w:val="auto"/>
                      <w:sz w:val="21"/>
                      <w:szCs w:val="21"/>
                    </w:rPr>
                    <w:t>危险废物</w:t>
                  </w:r>
                  <w:r>
                    <w:rPr>
                      <w:rFonts w:hint="eastAsia" w:ascii="Times New Roman" w:hAnsi="Times New Roman" w:eastAsia="宋体" w:cs="Times New Roman"/>
                      <w:color w:val="auto"/>
                      <w:kern w:val="2"/>
                      <w:sz w:val="21"/>
                      <w:szCs w:val="21"/>
                      <w:lang w:val="en-US" w:eastAsia="zh-CN" w:bidi="ar-SA"/>
                    </w:rPr>
                    <w:t>委托处置；</w:t>
                  </w:r>
                </w:p>
                <w:p w14:paraId="59DDFECE">
                  <w:pPr>
                    <w:pStyle w:val="31"/>
                    <w:keepNext w:val="0"/>
                    <w:keepLines w:val="0"/>
                    <w:pageBreakBefore w:val="0"/>
                    <w:kinsoku/>
                    <w:wordWrap/>
                    <w:overflowPunct/>
                    <w:topLinePunct w:val="0"/>
                    <w:bidi w:val="0"/>
                    <w:adjustRightInd w:val="0"/>
                    <w:snapToGrid w:val="0"/>
                    <w:spacing w:line="340" w:lineRule="exact"/>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4.项目将建立</w:t>
                  </w:r>
                  <w:r>
                    <w:rPr>
                      <w:rFonts w:hint="eastAsia" w:ascii="Times New Roman" w:hAnsi="Times New Roman" w:eastAsia="宋体" w:cs="Times New Roman"/>
                      <w:color w:val="auto"/>
                      <w:sz w:val="21"/>
                      <w:szCs w:val="21"/>
                      <w:lang w:val="en-US" w:eastAsia="zh-CN"/>
                    </w:rPr>
                    <w:t>健全VOCs治理设施的运行维护规程和台账等日常管理制度，定期更换活性炭、定期委托检测，确保废气设施正常稳定运行。</w:t>
                  </w:r>
                </w:p>
              </w:tc>
              <w:tc>
                <w:tcPr>
                  <w:tcW w:w="477" w:type="pct"/>
                  <w:tcBorders>
                    <w:left w:val="single" w:color="auto" w:sz="4" w:space="0"/>
                  </w:tcBorders>
                  <w:noWrap w:val="0"/>
                  <w:vAlign w:val="center"/>
                </w:tcPr>
                <w:p w14:paraId="3164BD8C">
                  <w:pPr>
                    <w:pStyle w:val="31"/>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符合</w:t>
                  </w:r>
                </w:p>
              </w:tc>
            </w:tr>
          </w:tbl>
          <w:p w14:paraId="21C3C602">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b/>
                <w:bCs/>
                <w:color w:val="auto"/>
                <w:lang w:val="en-US" w:eastAsia="zh-CN"/>
              </w:rPr>
            </w:pPr>
            <w:r>
              <w:rPr>
                <w:rFonts w:hint="eastAsia" w:ascii="Times New Roman" w:hAnsi="Times New Roman"/>
                <w:b/>
                <w:bCs/>
                <w:color w:val="auto"/>
                <w:lang w:val="en-US" w:eastAsia="zh-CN"/>
              </w:rPr>
              <w:t>8、与《环境空气细颗粒物污染综合防治技术政策》（环境保护部公告2013年第59号）符合性分析</w:t>
            </w:r>
          </w:p>
          <w:p w14:paraId="709933C5">
            <w:pPr>
              <w:spacing w:before="120" w:beforeLines="50"/>
              <w:jc w:val="center"/>
              <w:rPr>
                <w:rFonts w:hint="default" w:ascii="Times New Roman" w:hAnsi="Times New Roman" w:eastAsia="黑体" w:cs="Times New Roman"/>
                <w:color w:val="auto"/>
                <w:sz w:val="21"/>
                <w:szCs w:val="21"/>
                <w:lang w:val="en-US"/>
              </w:rPr>
            </w:pPr>
            <w:r>
              <w:rPr>
                <w:rFonts w:hint="eastAsia" w:ascii="Times New Roman" w:hAnsi="Times New Roman" w:eastAsia="黑体" w:cs="Times New Roman"/>
                <w:color w:val="auto"/>
                <w:sz w:val="21"/>
                <w:szCs w:val="21"/>
              </w:rPr>
              <w:t>表</w:t>
            </w:r>
            <w:r>
              <w:rPr>
                <w:rFonts w:hint="eastAsia" w:ascii="Times New Roman" w:hAnsi="Times New Roman" w:eastAsia="黑体" w:cs="Times New Roman"/>
                <w:color w:val="auto"/>
                <w:sz w:val="21"/>
                <w:szCs w:val="21"/>
                <w:lang w:val="en-US" w:eastAsia="zh-CN"/>
              </w:rPr>
              <w:t>1-10与《环境空气细颗粒物污染综合防治技术政策》符合性分析表</w:t>
            </w:r>
          </w:p>
          <w:tbl>
            <w:tblPr>
              <w:tblStyle w:val="2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45"/>
              <w:gridCol w:w="3140"/>
              <w:gridCol w:w="948"/>
            </w:tblGrid>
            <w:tr w14:paraId="5C0B9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5" w:type="pct"/>
                  <w:tcBorders>
                    <w:tl2br w:val="nil"/>
                    <w:tr2bl w:val="nil"/>
                  </w:tcBorders>
                  <w:noWrap w:val="0"/>
                  <w:vAlign w:val="center"/>
                </w:tcPr>
                <w:p w14:paraId="3D7AECB3">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防治技术政策</w:t>
                  </w:r>
                  <w:r>
                    <w:rPr>
                      <w:rFonts w:hint="default" w:ascii="Times New Roman" w:hAnsi="Times New Roman" w:eastAsia="宋体" w:cs="Times New Roman"/>
                      <w:color w:val="auto"/>
                      <w:sz w:val="21"/>
                      <w:szCs w:val="21"/>
                      <w:lang w:val="en-US" w:eastAsia="zh-CN"/>
                    </w:rPr>
                    <w:t>”要求</w:t>
                  </w:r>
                </w:p>
              </w:tc>
              <w:tc>
                <w:tcPr>
                  <w:tcW w:w="1954" w:type="pct"/>
                  <w:tcBorders>
                    <w:tl2br w:val="nil"/>
                    <w:tr2bl w:val="nil"/>
                  </w:tcBorders>
                  <w:noWrap w:val="0"/>
                  <w:vAlign w:val="center"/>
                </w:tcPr>
                <w:p w14:paraId="4D8FD2CE">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p>
              </w:tc>
              <w:tc>
                <w:tcPr>
                  <w:tcW w:w="590" w:type="pct"/>
                  <w:tcBorders>
                    <w:tl2br w:val="nil"/>
                    <w:tr2bl w:val="nil"/>
                  </w:tcBorders>
                  <w:noWrap w:val="0"/>
                  <w:vAlign w:val="center"/>
                </w:tcPr>
                <w:p w14:paraId="124BB1EF">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符合性</w:t>
                  </w:r>
                </w:p>
              </w:tc>
            </w:tr>
            <w:tr w14:paraId="033E4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5" w:type="pct"/>
                  <w:tcBorders>
                    <w:tl2br w:val="nil"/>
                    <w:tr2bl w:val="nil"/>
                  </w:tcBorders>
                  <w:noWrap w:val="0"/>
                  <w:vAlign w:val="center"/>
                </w:tcPr>
                <w:p w14:paraId="4AC1D67B">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应加强对各类污染源的监管，确保污染治理设施稳定运行，切实落实企业环保责任。鼓励采用低能耗、低污染的生产工艺，提高各个行业的清洁生产水平，降低污染物产生量。</w:t>
                  </w:r>
                </w:p>
              </w:tc>
              <w:tc>
                <w:tcPr>
                  <w:tcW w:w="1954" w:type="pct"/>
                  <w:tcBorders>
                    <w:tl2br w:val="nil"/>
                    <w:tr2bl w:val="nil"/>
                  </w:tcBorders>
                  <w:noWrap w:val="0"/>
                  <w:vAlign w:val="center"/>
                </w:tcPr>
                <w:p w14:paraId="2D3195FB">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项目将严格要求，采用低能耗低污染生产工艺，对环保设施进行维护管理，确保污染治理设施稳定运行。</w:t>
                  </w:r>
                </w:p>
              </w:tc>
              <w:tc>
                <w:tcPr>
                  <w:tcW w:w="590" w:type="pct"/>
                  <w:tcBorders>
                    <w:tl2br w:val="nil"/>
                    <w:tr2bl w:val="nil"/>
                  </w:tcBorders>
                  <w:noWrap w:val="0"/>
                  <w:vAlign w:val="center"/>
                </w:tcPr>
                <w:p w14:paraId="60C19D00">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F0E4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5" w:type="pct"/>
                  <w:tcBorders>
                    <w:tl2br w:val="nil"/>
                    <w:tr2bl w:val="nil"/>
                  </w:tcBorders>
                  <w:noWrap w:val="0"/>
                  <w:vAlign w:val="center"/>
                </w:tcPr>
                <w:p w14:paraId="7B1E0E31">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p>
              </w:tc>
              <w:tc>
                <w:tcPr>
                  <w:tcW w:w="1954" w:type="pct"/>
                  <w:tcBorders>
                    <w:tl2br w:val="nil"/>
                    <w:tr2bl w:val="nil"/>
                  </w:tcBorders>
                  <w:noWrap w:val="0"/>
                  <w:vAlign w:val="center"/>
                </w:tcPr>
                <w:p w14:paraId="130DC3B6">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项目切割产尘点配套移动式布袋除尘器处理。</w:t>
                  </w:r>
                </w:p>
              </w:tc>
              <w:tc>
                <w:tcPr>
                  <w:tcW w:w="590" w:type="pct"/>
                  <w:tcBorders>
                    <w:tl2br w:val="nil"/>
                    <w:tr2bl w:val="nil"/>
                  </w:tcBorders>
                  <w:noWrap w:val="0"/>
                  <w:vAlign w:val="center"/>
                </w:tcPr>
                <w:p w14:paraId="3E387FD3">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5A18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5" w:type="pct"/>
                  <w:tcBorders>
                    <w:tl2br w:val="nil"/>
                    <w:tr2bl w:val="nil"/>
                  </w:tcBorders>
                  <w:noWrap w:val="0"/>
                  <w:vAlign w:val="center"/>
                </w:tcPr>
                <w:p w14:paraId="1044306B">
                  <w:pPr>
                    <w:pStyle w:val="31"/>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产生大气颗粒物及其前体物污染物的生产活动应尽量采用密闭装置，避免无组织排放；无法完全密闭的，应安装集气装置收集逸散的污染物，经净化后排放。</w:t>
                  </w:r>
                </w:p>
              </w:tc>
              <w:tc>
                <w:tcPr>
                  <w:tcW w:w="1954" w:type="pct"/>
                  <w:tcBorders>
                    <w:tl2br w:val="nil"/>
                    <w:tr2bl w:val="nil"/>
                  </w:tcBorders>
                  <w:noWrap w:val="0"/>
                  <w:vAlign w:val="center"/>
                </w:tcPr>
                <w:p w14:paraId="1A963114">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项目产尘的拆解工序在拆解车间内进行，仅保留物料进出口，产生的粉尘通过配套移动布袋除尘器收集处理后排放。</w:t>
                  </w:r>
                </w:p>
              </w:tc>
              <w:tc>
                <w:tcPr>
                  <w:tcW w:w="590" w:type="pct"/>
                  <w:tcBorders>
                    <w:tl2br w:val="nil"/>
                    <w:tr2bl w:val="nil"/>
                  </w:tcBorders>
                  <w:noWrap w:val="0"/>
                  <w:vAlign w:val="center"/>
                </w:tcPr>
                <w:p w14:paraId="27A9B274">
                  <w:pPr>
                    <w:pStyle w:val="31"/>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0FEC1093">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9、与</w:t>
            </w:r>
            <w:r>
              <w:rPr>
                <w:rFonts w:hint="default" w:ascii="Times New Roman" w:hAnsi="Times New Roman" w:eastAsia="宋体" w:cs="Times New Roman"/>
                <w:b/>
                <w:bCs/>
                <w:color w:val="auto"/>
                <w:lang w:val="en-GB" w:eastAsia="zh-CN"/>
              </w:rPr>
              <w:t>“三区三线”</w:t>
            </w:r>
            <w:r>
              <w:rPr>
                <w:rFonts w:hint="eastAsia" w:ascii="Times New Roman" w:hAnsi="Times New Roman" w:eastAsia="宋体" w:cs="Times New Roman"/>
                <w:b/>
                <w:bCs/>
                <w:color w:val="auto"/>
                <w:lang w:val="en-US" w:eastAsia="zh-CN"/>
              </w:rPr>
              <w:t>符合性分析</w:t>
            </w:r>
          </w:p>
          <w:p w14:paraId="313275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黑体" w:cs="Times New Roman"/>
                <w:snapToGrid w:val="0"/>
                <w:color w:val="auto"/>
                <w:sz w:val="30"/>
                <w:szCs w:val="30"/>
                <w:vertAlign w:val="baseline"/>
              </w:rPr>
            </w:pPr>
            <w:r>
              <w:rPr>
                <w:rFonts w:hint="default" w:ascii="Times New Roman" w:hAnsi="Times New Roman" w:eastAsia="宋体" w:cs="Times New Roman"/>
                <w:color w:val="auto"/>
                <w:lang w:val="en-US" w:eastAsia="zh-CN"/>
              </w:rPr>
              <w:t>本项目位于福建省福州市长乐区松下镇山前村新村东区66号，经调阅“三区三线”划定成果，本项目工程位于城镇开发边界范围内（详见附图1</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），不占用永久基本农田、不占用生态保护红线，</w:t>
            </w:r>
            <w:r>
              <w:rPr>
                <w:rFonts w:hint="eastAsia" w:ascii="Times New Roman" w:hAnsi="Times New Roman" w:eastAsia="宋体" w:cs="Times New Roman"/>
                <w:color w:val="auto"/>
                <w:lang w:val="en-US" w:eastAsia="zh-CN"/>
              </w:rPr>
              <w:t>涉及“长乐区一般生态空间—生物多样性”，项目租赁现有工业厂区进行生产经营活动，经调查，用地范围内无珍稀濒危物种种群、极小种群等，项目运营期污染物经妥善处理达标排放或委托处理处置，不会对周边生态环境产生明显不利影响，不会对区域生态功能造成破坏</w:t>
            </w:r>
            <w:r>
              <w:rPr>
                <w:rFonts w:hint="default" w:ascii="Times New Roman" w:hAnsi="Times New Roman" w:eastAsia="宋体" w:cs="Times New Roman"/>
                <w:color w:val="auto"/>
                <w:lang w:val="en-US" w:eastAsia="zh-CN"/>
              </w:rPr>
              <w:t>。</w:t>
            </w:r>
          </w:p>
        </w:tc>
      </w:tr>
    </w:tbl>
    <w:p w14:paraId="6655EE25">
      <w:pPr>
        <w:pStyle w:val="17"/>
        <w:jc w:val="both"/>
        <w:outlineLvl w:val="0"/>
        <w:rPr>
          <w:rFonts w:hint="default" w:ascii="Times New Roman" w:hAnsi="Times New Roman" w:eastAsia="黑体" w:cs="Times New Roman"/>
          <w:snapToGrid w:val="0"/>
          <w:color w:val="auto"/>
          <w:sz w:val="30"/>
          <w:szCs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11D20E39">
      <w:pPr>
        <w:pStyle w:val="17"/>
        <w:jc w:val="center"/>
        <w:outlineLvl w:val="0"/>
        <w:rPr>
          <w:rFonts w:hint="default" w:ascii="Times New Roman" w:hAnsi="Times New Roman" w:eastAsia="黑体" w:cs="Times New Roman"/>
          <w:snapToGrid w:val="0"/>
          <w:color w:val="auto"/>
          <w:sz w:val="30"/>
          <w:szCs w:val="30"/>
        </w:rPr>
      </w:pPr>
      <w:bookmarkStart w:id="8" w:name="_Toc9699"/>
      <w:r>
        <w:rPr>
          <w:rFonts w:hint="default" w:ascii="Times New Roman" w:hAnsi="Times New Roman" w:eastAsia="黑体" w:cs="Times New Roman"/>
          <w:snapToGrid w:val="0"/>
          <w:color w:val="auto"/>
          <w:sz w:val="30"/>
          <w:szCs w:val="30"/>
        </w:rPr>
        <w:t>二、建设项目工程分析</w:t>
      </w:r>
      <w:bookmarkEnd w:id="8"/>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120"/>
      </w:tblGrid>
      <w:tr w14:paraId="6C001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680" w:type="dxa"/>
            <w:noWrap w:val="0"/>
            <w:vAlign w:val="center"/>
          </w:tcPr>
          <w:p w14:paraId="09C02FBB">
            <w:pPr>
              <w:bidi w:val="0"/>
              <w:rPr>
                <w:rFonts w:hint="default" w:ascii="Times New Roman" w:hAnsi="Times New Roman" w:eastAsia="宋体" w:cs="Times New Roman"/>
                <w:color w:val="auto"/>
                <w:szCs w:val="21"/>
              </w:rPr>
            </w:pPr>
            <w:r>
              <w:rPr>
                <w:rFonts w:hint="default" w:ascii="Times New Roman" w:hAnsi="Times New Roman"/>
                <w:color w:val="auto"/>
              </w:rPr>
              <w:t>建设内容</w:t>
            </w:r>
          </w:p>
        </w:tc>
        <w:tc>
          <w:tcPr>
            <w:tcW w:w="8120" w:type="dxa"/>
            <w:noWrap w:val="0"/>
            <w:vAlign w:val="top"/>
          </w:tcPr>
          <w:p w14:paraId="07D12DF6">
            <w:pPr>
              <w:pStyle w:val="6"/>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 项目由来</w:t>
            </w:r>
          </w:p>
          <w:p w14:paraId="330D2CFE">
            <w:pPr>
              <w:pStyle w:val="8"/>
              <w:keepNext w:val="0"/>
              <w:keepLines w:val="0"/>
              <w:pageBreakBefore w:val="0"/>
              <w:widowControl w:val="0"/>
              <w:kinsoku/>
              <w:wordWrap/>
              <w:overflowPunct/>
              <w:topLinePunct w:val="0"/>
              <w:bidi w:val="0"/>
              <w:adjustRightInd/>
              <w:snapToGrid/>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福建中福鑫再生资源有限公司成立于</w:t>
            </w:r>
            <w:r>
              <w:rPr>
                <w:rFonts w:hint="eastAsia" w:ascii="Times New Roman" w:hAnsi="Times New Roman" w:eastAsia="宋体" w:cs="Times New Roman"/>
                <w:color w:val="auto"/>
                <w:sz w:val="24"/>
                <w:lang w:eastAsia="zh-CN"/>
              </w:rPr>
              <w:t>202</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年0</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lang w:eastAsia="zh-CN"/>
              </w:rPr>
              <w:t>月</w:t>
            </w:r>
            <w:r>
              <w:rPr>
                <w:rFonts w:hint="eastAsia" w:ascii="Times New Roman" w:hAnsi="Times New Roman" w:eastAsia="宋体" w:cs="Times New Roman"/>
                <w:color w:val="auto"/>
                <w:sz w:val="24"/>
                <w:lang w:val="en-US" w:eastAsia="zh-CN"/>
              </w:rPr>
              <w:t>16</w:t>
            </w:r>
            <w:r>
              <w:rPr>
                <w:rFonts w:hint="eastAsia" w:ascii="Times New Roman" w:hAnsi="Times New Roman" w:eastAsia="宋体" w:cs="Times New Roman"/>
                <w:color w:val="auto"/>
                <w:sz w:val="24"/>
                <w:lang w:eastAsia="zh-CN"/>
              </w:rPr>
              <w:t>日，经营范围包括：再生资源销售；生产性废旧金属回收，再生资源加工，再生资源回收</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除生产性废旧金属</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，报废机动车回收，废旧机动车拆解，报废电动</w:t>
            </w:r>
            <w:r>
              <w:rPr>
                <w:rFonts w:hint="eastAsia" w:ascii="Times New Roman" w:hAnsi="Times New Roman" w:eastAsia="宋体" w:cs="Times New Roman"/>
                <w:color w:val="auto"/>
                <w:sz w:val="24"/>
                <w:lang w:val="en-US" w:eastAsia="zh-CN"/>
              </w:rPr>
              <w:t>汽车拆解，</w:t>
            </w:r>
            <w:r>
              <w:rPr>
                <w:rFonts w:hint="eastAsia" w:ascii="Times New Roman" w:hAnsi="Times New Roman" w:eastAsia="宋体" w:cs="Times New Roman"/>
                <w:color w:val="auto"/>
                <w:sz w:val="24"/>
                <w:lang w:eastAsia="zh-CN"/>
              </w:rPr>
              <w:t>废弃电器电子产品处理</w:t>
            </w:r>
            <w:r>
              <w:rPr>
                <w:rFonts w:hint="eastAsia"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szCs w:val="24"/>
                <w:highlight w:val="none"/>
                <w:lang w:val="en-US" w:eastAsia="zh-CN"/>
              </w:rPr>
              <w:t>(营业执照和法定代表人身份证详见附件</w:t>
            </w:r>
            <w:r>
              <w:rPr>
                <w:rFonts w:hint="eastAsia" w:ascii="Times New Roman" w:hAnsi="Times New Roman" w:eastAsia="宋体" w:cs="Times New Roman"/>
                <w:color w:val="auto"/>
                <w:sz w:val="24"/>
                <w:szCs w:val="24"/>
                <w:highlight w:val="none"/>
                <w:lang w:val="en-US" w:eastAsia="zh-CN"/>
              </w:rPr>
              <w:t>十一</w:t>
            </w:r>
            <w:r>
              <w:rPr>
                <w:rFonts w:hint="default" w:ascii="Times New Roman" w:hAnsi="Times New Roman" w:eastAsia="宋体" w:cs="Times New Roman"/>
                <w:color w:val="auto"/>
                <w:sz w:val="24"/>
                <w:szCs w:val="24"/>
                <w:highlight w:val="none"/>
                <w:lang w:val="en-US" w:eastAsia="zh-CN"/>
              </w:rPr>
              <w:t>)。</w:t>
            </w:r>
          </w:p>
          <w:p w14:paraId="7DD9BB81">
            <w:pPr>
              <w:pStyle w:val="8"/>
              <w:keepNext w:val="0"/>
              <w:keepLines w:val="0"/>
              <w:pageBreakBefore w:val="0"/>
              <w:widowControl w:val="0"/>
              <w:kinsoku/>
              <w:wordWrap/>
              <w:overflowPunct/>
              <w:topLinePunct w:val="0"/>
              <w:bidi w:val="0"/>
              <w:adjustRightInd/>
              <w:snapToGrid/>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福建中福鑫再生资源有限公</w:t>
            </w:r>
            <w:r>
              <w:rPr>
                <w:rFonts w:hint="eastAsia" w:ascii="Times New Roman" w:hAnsi="Times New Roman" w:eastAsia="宋体" w:cs="Times New Roman"/>
                <w:color w:val="auto"/>
                <w:sz w:val="24"/>
                <w:lang w:val="en-US" w:eastAsia="zh-CN"/>
              </w:rPr>
              <w:t>司拟</w:t>
            </w:r>
            <w:r>
              <w:rPr>
                <w:rFonts w:hint="default" w:ascii="Times New Roman" w:hAnsi="Times New Roman" w:eastAsia="宋体" w:cs="Times New Roman"/>
                <w:color w:val="auto"/>
                <w:sz w:val="24"/>
                <w:lang w:eastAsia="zh-CN"/>
              </w:rPr>
              <w:t>投资</w:t>
            </w:r>
            <w:r>
              <w:rPr>
                <w:rFonts w:hint="eastAsia" w:ascii="Times New Roman" w:hAnsi="Times New Roman" w:eastAsia="宋体" w:cs="Times New Roman"/>
                <w:color w:val="auto"/>
                <w:sz w:val="24"/>
                <w:lang w:val="en-US" w:eastAsia="zh-CN"/>
              </w:rPr>
              <w:t>1500万元</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租</w:t>
            </w:r>
            <w:r>
              <w:rPr>
                <w:rFonts w:hint="eastAsia" w:ascii="Times New Roman" w:hAnsi="Times New Roman" w:eastAsia="宋体" w:cs="Times New Roman"/>
                <w:color w:val="auto"/>
                <w:sz w:val="24"/>
                <w:szCs w:val="24"/>
                <w:highlight w:val="none"/>
                <w:lang w:eastAsia="zh-CN"/>
              </w:rPr>
              <w:t>用</w:t>
            </w:r>
            <w:r>
              <w:rPr>
                <w:rFonts w:hint="default" w:ascii="Times New Roman" w:hAnsi="Times New Roman" w:eastAsia="宋体" w:cs="Times New Roman"/>
                <w:color w:val="auto"/>
                <w:sz w:val="24"/>
                <w:szCs w:val="24"/>
                <w:highlight w:val="none"/>
                <w:lang w:eastAsia="zh-CN"/>
              </w:rPr>
              <w:t>位于</w:t>
            </w:r>
            <w:r>
              <w:rPr>
                <w:rFonts w:hint="eastAsia" w:ascii="Times New Roman" w:hAnsi="Times New Roman" w:eastAsia="宋体" w:cs="Times New Roman"/>
                <w:color w:val="auto"/>
                <w:sz w:val="24"/>
                <w:szCs w:val="24"/>
                <w:highlight w:val="none"/>
                <w:lang w:eastAsia="zh-CN"/>
              </w:rPr>
              <w:t>福建省福州市长乐区松下镇山前村新村东区</w:t>
            </w:r>
            <w:r>
              <w:rPr>
                <w:rFonts w:hint="eastAsia" w:ascii="Times New Roman" w:hAnsi="Times New Roman" w:eastAsia="宋体" w:cs="Times New Roman"/>
                <w:color w:val="auto"/>
                <w:sz w:val="24"/>
                <w:szCs w:val="24"/>
                <w:highlight w:val="none"/>
                <w:lang w:val="en-US" w:eastAsia="zh-CN"/>
              </w:rPr>
              <w:t>66号</w:t>
            </w:r>
            <w:r>
              <w:rPr>
                <w:rFonts w:hint="eastAsia" w:ascii="Times New Roman" w:hAnsi="Times New Roman" w:eastAsia="宋体" w:cs="Times New Roman"/>
                <w:color w:val="auto"/>
                <w:sz w:val="24"/>
                <w:szCs w:val="24"/>
                <w:highlight w:val="none"/>
                <w:lang w:eastAsia="zh-CN"/>
              </w:rPr>
              <w:t>福州坤鑫废旧物资回收有限公司场地作为生产经营场所，租赁</w:t>
            </w:r>
            <w:r>
              <w:rPr>
                <w:rFonts w:hint="eastAsia" w:ascii="Times New Roman" w:hAnsi="Times New Roman" w:eastAsia="宋体" w:cs="Times New Roman"/>
                <w:color w:val="auto"/>
                <w:sz w:val="24"/>
                <w:szCs w:val="24"/>
                <w:highlight w:val="none"/>
                <w:lang w:val="en-US" w:eastAsia="zh-CN"/>
              </w:rPr>
              <w:t>用地</w:t>
            </w:r>
            <w:r>
              <w:rPr>
                <w:rFonts w:hint="eastAsia" w:ascii="Times New Roman" w:hAnsi="Times New Roman" w:eastAsia="宋体" w:cs="Times New Roman"/>
                <w:color w:val="auto"/>
                <w:sz w:val="24"/>
                <w:szCs w:val="24"/>
                <w:highlight w:val="none"/>
                <w:lang w:eastAsia="zh-CN"/>
              </w:rPr>
              <w:t>面积约</w:t>
            </w:r>
            <w:r>
              <w:rPr>
                <w:rFonts w:hint="eastAsia" w:ascii="Times New Roman" w:hAnsi="Times New Roman" w:eastAsia="宋体" w:cs="Times New Roman"/>
                <w:color w:val="auto"/>
                <w:sz w:val="24"/>
                <w:szCs w:val="24"/>
                <w:highlight w:val="none"/>
                <w:lang w:val="en-US" w:eastAsia="zh-CN"/>
              </w:rPr>
              <w:t>33000m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lang w:val="en-US" w:eastAsia="zh-CN"/>
              </w:rPr>
              <w:t>建设“中福鑫废旧机动车拆解及资源回收项目”，分两期建设，</w:t>
            </w:r>
            <w:r>
              <w:rPr>
                <w:rFonts w:hint="eastAsia" w:ascii="Times New Roman" w:hAnsi="Times New Roman" w:eastAsia="宋体" w:cs="Times New Roman"/>
                <w:b/>
                <w:bCs/>
                <w:color w:val="auto"/>
                <w:sz w:val="24"/>
                <w:szCs w:val="24"/>
                <w:highlight w:val="none"/>
                <w:lang w:val="en-US" w:eastAsia="zh-CN"/>
              </w:rPr>
              <w:t>其中一期总投资约1000万元，用地面积约23000m</w:t>
            </w:r>
            <w:r>
              <w:rPr>
                <w:rFonts w:hint="eastAsia" w:ascii="Times New Roman" w:hAnsi="Times New Roman" w:eastAsia="宋体" w:cs="Times New Roman"/>
                <w:b/>
                <w:bCs/>
                <w:color w:val="auto"/>
                <w:sz w:val="24"/>
                <w:szCs w:val="24"/>
                <w:highlight w:val="none"/>
                <w:vertAlign w:val="superscript"/>
                <w:lang w:val="en-US" w:eastAsia="zh-CN"/>
              </w:rPr>
              <w:t>2</w:t>
            </w:r>
            <w:r>
              <w:rPr>
                <w:rFonts w:hint="eastAsia" w:ascii="Times New Roman" w:hAnsi="Times New Roman" w:eastAsia="宋体" w:cs="Times New Roman"/>
                <w:b/>
                <w:bCs/>
                <w:color w:val="auto"/>
                <w:sz w:val="24"/>
                <w:szCs w:val="24"/>
                <w:highlight w:val="none"/>
                <w:lang w:val="en-US" w:eastAsia="zh-CN"/>
              </w:rPr>
              <w:t>，利用现有地上厂房建筑面积约6982.71m</w:t>
            </w:r>
            <w:r>
              <w:rPr>
                <w:rFonts w:hint="eastAsia" w:ascii="Times New Roman" w:hAnsi="Times New Roman" w:eastAsia="宋体" w:cs="Times New Roman"/>
                <w:b/>
                <w:bCs/>
                <w:color w:val="auto"/>
                <w:sz w:val="24"/>
                <w:szCs w:val="24"/>
                <w:highlight w:val="none"/>
                <w:vertAlign w:val="superscript"/>
                <w:lang w:val="en-US" w:eastAsia="zh-CN"/>
              </w:rPr>
              <w:t>2</w:t>
            </w:r>
            <w:r>
              <w:rPr>
                <w:rFonts w:hint="eastAsia" w:ascii="Times New Roman" w:hAnsi="Times New Roman" w:eastAsia="宋体" w:cs="Times New Roman"/>
                <w:b/>
                <w:bCs/>
                <w:color w:val="auto"/>
                <w:sz w:val="24"/>
                <w:szCs w:val="24"/>
                <w:highlight w:val="none"/>
                <w:vertAlign w:val="baseline"/>
                <w:lang w:val="en-US" w:eastAsia="zh-CN"/>
              </w:rPr>
              <w:t>（原有地上建筑8191.36m</w:t>
            </w:r>
            <w:r>
              <w:rPr>
                <w:rFonts w:hint="eastAsia" w:ascii="Times New Roman" w:hAnsi="Times New Roman" w:eastAsia="宋体" w:cs="Times New Roman"/>
                <w:b/>
                <w:bCs/>
                <w:color w:val="auto"/>
                <w:sz w:val="24"/>
                <w:szCs w:val="24"/>
                <w:highlight w:val="none"/>
                <w:vertAlign w:val="superscript"/>
                <w:lang w:val="en-US" w:eastAsia="zh-CN"/>
              </w:rPr>
              <w:t>2</w:t>
            </w:r>
            <w:r>
              <w:rPr>
                <w:rFonts w:hint="eastAsia" w:ascii="Times New Roman" w:hAnsi="Times New Roman" w:eastAsia="宋体" w:cs="Times New Roman"/>
                <w:b/>
                <w:bCs/>
                <w:color w:val="auto"/>
                <w:sz w:val="24"/>
                <w:szCs w:val="24"/>
                <w:highlight w:val="none"/>
                <w:vertAlign w:val="baseline"/>
                <w:lang w:val="en-US" w:eastAsia="zh-CN"/>
              </w:rPr>
              <w:t>，详见附件四产权文件，拟为保证生产动线布局，拆除产权证中编号5、8-9号建筑共计1208.65m</w:t>
            </w:r>
            <w:r>
              <w:rPr>
                <w:rFonts w:hint="eastAsia" w:ascii="Times New Roman" w:hAnsi="Times New Roman" w:eastAsia="宋体" w:cs="Times New Roman"/>
                <w:b/>
                <w:bCs/>
                <w:color w:val="auto"/>
                <w:sz w:val="24"/>
                <w:szCs w:val="24"/>
                <w:highlight w:val="none"/>
                <w:vertAlign w:val="superscript"/>
                <w:lang w:val="en-US" w:eastAsia="zh-CN"/>
              </w:rPr>
              <w:t>2</w:t>
            </w:r>
            <w:r>
              <w:rPr>
                <w:rFonts w:hint="eastAsia" w:ascii="Times New Roman" w:hAnsi="Times New Roman" w:eastAsia="宋体" w:cs="Times New Roman"/>
                <w:b/>
                <w:bCs/>
                <w:color w:val="auto"/>
                <w:sz w:val="24"/>
                <w:szCs w:val="24"/>
                <w:highlight w:val="none"/>
                <w:vertAlign w:val="baseline"/>
                <w:lang w:val="en-US" w:eastAsia="zh-CN"/>
              </w:rPr>
              <w:t>）</w:t>
            </w:r>
            <w:r>
              <w:rPr>
                <w:rFonts w:hint="eastAsia" w:ascii="Times New Roman" w:hAnsi="Times New Roman" w:eastAsia="宋体" w:cs="Times New Roman"/>
                <w:b/>
                <w:bCs/>
                <w:color w:val="auto"/>
                <w:sz w:val="24"/>
                <w:szCs w:val="24"/>
                <w:highlight w:val="none"/>
                <w:lang w:val="en-US" w:eastAsia="zh-CN"/>
              </w:rPr>
              <w:t>，并新建厂房建筑面积4098.66m</w:t>
            </w:r>
            <w:r>
              <w:rPr>
                <w:rFonts w:hint="eastAsia" w:ascii="Times New Roman" w:hAnsi="Times New Roman" w:eastAsia="宋体" w:cs="Times New Roman"/>
                <w:b/>
                <w:bCs/>
                <w:color w:val="auto"/>
                <w:sz w:val="24"/>
                <w:szCs w:val="24"/>
                <w:highlight w:val="none"/>
                <w:vertAlign w:val="superscript"/>
                <w:lang w:val="en-US" w:eastAsia="zh-CN"/>
              </w:rPr>
              <w:t>2</w:t>
            </w:r>
            <w:r>
              <w:rPr>
                <w:rFonts w:hint="eastAsia" w:ascii="Times New Roman" w:hAnsi="Times New Roman" w:eastAsia="宋体" w:cs="Times New Roman"/>
                <w:b/>
                <w:bCs/>
                <w:color w:val="auto"/>
                <w:sz w:val="24"/>
                <w:szCs w:val="24"/>
                <w:highlight w:val="none"/>
                <w:lang w:val="en-US" w:eastAsia="zh-CN"/>
              </w:rPr>
              <w:t>，设计年拆解废旧机动车20000辆、废电机10000吨、废变压器10000吨。二期项目正在规划中，本次仅对一期内容进行评价。</w:t>
            </w:r>
          </w:p>
          <w:p w14:paraId="275BA1C1">
            <w:pPr>
              <w:pStyle w:val="8"/>
              <w:keepNext w:val="0"/>
              <w:keepLines w:val="0"/>
              <w:pageBreakBefore w:val="0"/>
              <w:widowControl w:val="0"/>
              <w:kinsoku/>
              <w:wordWrap/>
              <w:overflowPunct/>
              <w:topLinePunct w:val="0"/>
              <w:autoSpaceDE/>
              <w:autoSpaceDN/>
              <w:bidi w:val="0"/>
              <w:spacing w:line="360" w:lineRule="auto"/>
              <w:ind w:firstLine="480" w:firstLineChars="200"/>
              <w:rPr>
                <w:rFonts w:ascii="Times New Roman" w:hAnsi="Times New Roman" w:eastAsia="宋体" w:cs="Times New Roman"/>
                <w:color w:val="auto"/>
                <w:kern w:val="0"/>
                <w:sz w:val="24"/>
              </w:rPr>
            </w:pPr>
            <w:r>
              <w:rPr>
                <w:rFonts w:hint="default" w:ascii="Times New Roman" w:hAnsi="Times New Roman" w:eastAsia="宋体" w:cs="Times New Roman"/>
                <w:color w:val="auto"/>
                <w:sz w:val="24"/>
                <w:szCs w:val="24"/>
                <w:highlight w:val="none"/>
              </w:rPr>
              <w:t>根据《中华人民共和国环境保护法》(2015年)、《中华人民共和国环境影响评价法》(201</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eastAsia="zh-CN"/>
              </w:rPr>
              <w:t>修正</w:t>
            </w:r>
            <w:r>
              <w:rPr>
                <w:rFonts w:hint="default" w:ascii="Times New Roman" w:hAnsi="Times New Roman" w:eastAsia="宋体" w:cs="Times New Roman"/>
                <w:color w:val="auto"/>
                <w:sz w:val="24"/>
                <w:szCs w:val="24"/>
                <w:highlight w:val="none"/>
              </w:rPr>
              <w:t>)、《建设项目环境保护管理条例》(2017年)的相关规定，</w:t>
            </w:r>
            <w:r>
              <w:rPr>
                <w:rFonts w:hint="default" w:ascii="Times New Roman" w:hAnsi="Times New Roman" w:eastAsia="宋体" w:cs="Times New Roman"/>
                <w:color w:val="auto"/>
                <w:sz w:val="24"/>
                <w:szCs w:val="24"/>
                <w:highlight w:val="none"/>
                <w:lang w:eastAsia="zh-CN"/>
              </w:rPr>
              <w:t>项目需要办理环境影响评价手续；根据</w:t>
            </w:r>
            <w:r>
              <w:rPr>
                <w:rFonts w:hint="default" w:ascii="Times New Roman" w:hAnsi="Times New Roman" w:eastAsia="宋体" w:cs="Times New Roman"/>
                <w:color w:val="auto"/>
                <w:sz w:val="24"/>
                <w:szCs w:val="24"/>
                <w:highlight w:val="none"/>
              </w:rPr>
              <w:t>《建设项目环境影响评价分类管理名录》(20</w:t>
            </w:r>
            <w:r>
              <w:rPr>
                <w:rFonts w:hint="default" w:ascii="Times New Roman" w:hAnsi="Times New Roman" w:eastAsia="宋体" w:cs="Times New Roman"/>
                <w:color w:val="auto"/>
                <w:sz w:val="24"/>
                <w:szCs w:val="24"/>
                <w:highlight w:val="none"/>
                <w:lang w:val="en-US" w:eastAsia="zh-CN"/>
              </w:rPr>
              <w:t>21年</w:t>
            </w:r>
            <w:r>
              <w:rPr>
                <w:rFonts w:hint="default" w:ascii="Times New Roman" w:hAnsi="Times New Roman" w:eastAsia="宋体" w:cs="Times New Roman"/>
                <w:color w:val="auto"/>
                <w:sz w:val="24"/>
                <w:szCs w:val="24"/>
                <w:highlight w:val="none"/>
                <w:lang w:eastAsia="zh-CN"/>
              </w:rPr>
              <w:t>版</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规定，</w:t>
            </w:r>
            <w:r>
              <w:rPr>
                <w:rFonts w:hint="default" w:ascii="Times New Roman" w:hAnsi="Times New Roman" w:eastAsia="宋体" w:cs="Times New Roman"/>
                <w:color w:val="auto"/>
                <w:sz w:val="24"/>
                <w:szCs w:val="24"/>
                <w:highlight w:val="none"/>
              </w:rPr>
              <w:t>本项目环评类别为环境影响报告表，详见表2-1。</w:t>
            </w:r>
            <w:r>
              <w:rPr>
                <w:rFonts w:hint="default" w:ascii="Times New Roman" w:hAnsi="Times New Roman" w:eastAsia="宋体" w:cs="Times New Roman"/>
                <w:color w:val="auto"/>
                <w:sz w:val="24"/>
                <w:szCs w:val="24"/>
                <w:highlight w:val="none"/>
                <w:lang w:eastAsia="zh-CN"/>
              </w:rPr>
              <w:t>为此，建设单位</w:t>
            </w:r>
            <w:r>
              <w:rPr>
                <w:rFonts w:hint="default" w:ascii="Times New Roman" w:hAnsi="Times New Roman" w:eastAsia="宋体" w:cs="Times New Roman"/>
                <w:color w:val="auto"/>
                <w:sz w:val="24"/>
                <w:szCs w:val="24"/>
                <w:highlight w:val="none"/>
              </w:rPr>
              <w:t>委托</w:t>
            </w:r>
            <w:r>
              <w:rPr>
                <w:rFonts w:hint="eastAsia" w:ascii="Times New Roman" w:hAnsi="Times New Roman" w:eastAsia="宋体" w:cs="Times New Roman"/>
                <w:color w:val="auto"/>
                <w:sz w:val="24"/>
                <w:szCs w:val="24"/>
                <w:highlight w:val="none"/>
                <w:lang w:eastAsia="zh-CN"/>
              </w:rPr>
              <w:t>我司</w:t>
            </w:r>
            <w:r>
              <w:rPr>
                <w:rFonts w:hint="default" w:ascii="Times New Roman" w:hAnsi="Times New Roman" w:eastAsia="宋体" w:cs="Times New Roman"/>
                <w:color w:val="auto"/>
                <w:sz w:val="24"/>
                <w:szCs w:val="24"/>
                <w:highlight w:val="none"/>
              </w:rPr>
              <w:t>编制该项目的环境影响报告表(委托书详见附件</w:t>
            </w:r>
            <w:r>
              <w:rPr>
                <w:rFonts w:hint="eastAsia" w:ascii="Times New Roman" w:hAnsi="Times New Roman" w:eastAsia="宋体"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)。本环评单位接受委托后，立即派技术人员踏勘现场和收集有关资料，</w:t>
            </w:r>
            <w:r>
              <w:rPr>
                <w:rFonts w:hint="default" w:ascii="Times New Roman" w:hAnsi="Times New Roman" w:eastAsia="宋体" w:cs="Times New Roman"/>
                <w:color w:val="auto"/>
                <w:sz w:val="24"/>
                <w:szCs w:val="24"/>
              </w:rPr>
              <w:t>按照</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建设项目环境影响报告表编制技术指南</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污染影响类</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试行</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及相关技术规范要求，</w:t>
            </w:r>
            <w:r>
              <w:rPr>
                <w:rFonts w:hint="default" w:ascii="Times New Roman" w:hAnsi="Times New Roman" w:eastAsia="宋体" w:cs="Times New Roman"/>
                <w:color w:val="auto"/>
                <w:kern w:val="0"/>
                <w:sz w:val="24"/>
                <w:szCs w:val="24"/>
                <w:highlight w:val="none"/>
              </w:rPr>
              <w:t>编制了本环境影响报告表</w:t>
            </w:r>
            <w:r>
              <w:rPr>
                <w:rFonts w:ascii="Times New Roman" w:hAnsi="Times New Roman" w:eastAsia="宋体" w:cs="Times New Roman"/>
                <w:color w:val="auto"/>
                <w:kern w:val="0"/>
                <w:sz w:val="24"/>
              </w:rPr>
              <w:t>。</w:t>
            </w:r>
          </w:p>
          <w:p w14:paraId="5EDB5BB7">
            <w:pPr>
              <w:pStyle w:val="8"/>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2025年2月18日，专家对该项目进行审查，根据专家审查意见（详见附件十二），我司对报告表进行了修改、补充完善后，现形成《中福鑫废旧机动车拆解及资源回收项目（一期）环境影响报告表》（报批稿），供建设单位上报生态环境行政主管部门审批。</w:t>
            </w:r>
          </w:p>
          <w:p w14:paraId="7E4A3B17">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表2-1  建设</w:t>
            </w:r>
            <w:r>
              <w:rPr>
                <w:rFonts w:hint="default" w:ascii="Times New Roman" w:hAnsi="Times New Roman" w:eastAsia="黑体" w:cs="Times New Roman"/>
                <w:color w:val="auto"/>
                <w:sz w:val="24"/>
                <w:highlight w:val="none"/>
                <w:lang w:eastAsia="zh-CN"/>
              </w:rPr>
              <w:t>项目</w:t>
            </w:r>
            <w:r>
              <w:rPr>
                <w:rFonts w:hint="default" w:ascii="Times New Roman" w:hAnsi="Times New Roman" w:eastAsia="黑体" w:cs="Times New Roman"/>
                <w:color w:val="auto"/>
                <w:sz w:val="24"/>
                <w:highlight w:val="none"/>
              </w:rPr>
              <w:t>环境影响评价分类管理名录(摘录)</w:t>
            </w:r>
          </w:p>
          <w:tbl>
            <w:tblPr>
              <w:tblStyle w:val="20"/>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952"/>
              <w:gridCol w:w="885"/>
              <w:gridCol w:w="3608"/>
              <w:gridCol w:w="897"/>
            </w:tblGrid>
            <w:tr w14:paraId="4E34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pct"/>
                  <w:gridSpan w:val="2"/>
                  <w:tcBorders>
                    <w:top w:val="single" w:color="auto" w:sz="12" w:space="0"/>
                    <w:left w:val="nil"/>
                    <w:bottom w:val="single" w:color="auto" w:sz="4" w:space="0"/>
                    <w:tl2br w:val="single" w:color="auto" w:sz="4" w:space="0"/>
                  </w:tcBorders>
                  <w:shd w:val="clear" w:color="auto" w:fill="auto"/>
                  <w:noWrap w:val="0"/>
                  <w:vAlign w:val="top"/>
                </w:tcPr>
                <w:p w14:paraId="6D9F8BF7">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right"/>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环评类别</w:t>
                  </w:r>
                </w:p>
                <w:p w14:paraId="477DD75A">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项目类别</w:t>
                  </w:r>
                </w:p>
              </w:tc>
              <w:tc>
                <w:tcPr>
                  <w:tcW w:w="565" w:type="pct"/>
                  <w:tcBorders>
                    <w:top w:val="single" w:color="auto" w:sz="12" w:space="0"/>
                    <w:bottom w:val="single" w:color="auto" w:sz="4" w:space="0"/>
                  </w:tcBorders>
                  <w:shd w:val="clear" w:color="auto" w:fill="auto"/>
                  <w:noWrap w:val="0"/>
                  <w:vAlign w:val="center"/>
                </w:tcPr>
                <w:p w14:paraId="43682BCB">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报告书</w:t>
                  </w:r>
                </w:p>
              </w:tc>
              <w:tc>
                <w:tcPr>
                  <w:tcW w:w="2307" w:type="pct"/>
                  <w:tcBorders>
                    <w:top w:val="single" w:color="auto" w:sz="12" w:space="0"/>
                    <w:bottom w:val="single" w:color="auto" w:sz="4" w:space="0"/>
                  </w:tcBorders>
                  <w:shd w:val="clear" w:color="auto" w:fill="BEBEBE"/>
                  <w:noWrap w:val="0"/>
                  <w:vAlign w:val="center"/>
                </w:tcPr>
                <w:p w14:paraId="39BBAB37">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报告表</w:t>
                  </w:r>
                </w:p>
              </w:tc>
              <w:tc>
                <w:tcPr>
                  <w:tcW w:w="573" w:type="pct"/>
                  <w:tcBorders>
                    <w:top w:val="single" w:color="auto" w:sz="12" w:space="0"/>
                    <w:bottom w:val="single" w:color="auto" w:sz="4" w:space="0"/>
                    <w:right w:val="nil"/>
                  </w:tcBorders>
                  <w:noWrap w:val="0"/>
                  <w:vAlign w:val="center"/>
                </w:tcPr>
                <w:p w14:paraId="78086786">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登记表</w:t>
                  </w:r>
                </w:p>
              </w:tc>
            </w:tr>
            <w:tr w14:paraId="7363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right w:val="nil"/>
                  </w:tcBorders>
                  <w:noWrap w:val="0"/>
                  <w:vAlign w:val="top"/>
                </w:tcPr>
                <w:p w14:paraId="12800467">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both"/>
                    <w:textAlignment w:val="baseline"/>
                    <w:rPr>
                      <w:rFonts w:hint="default" w:ascii="Times New Roman" w:hAnsi="Times New Roman" w:cs="Times New Roman"/>
                      <w:color w:val="auto"/>
                      <w:szCs w:val="21"/>
                      <w:highlight w:val="none"/>
                    </w:rPr>
                  </w:pPr>
                  <w:r>
                    <w:rPr>
                      <w:rFonts w:hint="eastAsia" w:ascii="Times New Roman" w:hAnsi="Times New Roman" w:eastAsia="宋体" w:cs="Times New Roman"/>
                      <w:b/>
                      <w:bCs/>
                      <w:color w:val="auto"/>
                      <w:szCs w:val="21"/>
                      <w:highlight w:val="none"/>
                    </w:rPr>
                    <w:t>三十九、废弃资源综合利用业42</w:t>
                  </w:r>
                </w:p>
              </w:tc>
            </w:tr>
            <w:tr w14:paraId="238D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tcBorders>
                    <w:left w:val="nil"/>
                    <w:bottom w:val="single" w:color="auto" w:sz="12" w:space="0"/>
                  </w:tcBorders>
                  <w:shd w:val="clear" w:color="auto" w:fill="auto"/>
                  <w:noWrap w:val="0"/>
                  <w:vAlign w:val="center"/>
                </w:tcPr>
                <w:p w14:paraId="36DEFF9F">
                  <w:pPr>
                    <w:adjustRightInd w:val="0"/>
                    <w:snapToGrid w:val="0"/>
                    <w:spacing w:line="340" w:lineRule="exact"/>
                    <w:jc w:val="center"/>
                    <w:textAlignment w:val="baseline"/>
                    <w:rPr>
                      <w:rFonts w:hint="default" w:ascii="Times New Roman" w:hAnsi="Times New Roman" w:cs="Times New Roman"/>
                      <w:color w:val="auto"/>
                      <w:szCs w:val="21"/>
                      <w:highlight w:val="none"/>
                      <w:lang w:val="en-US"/>
                    </w:rPr>
                  </w:pPr>
                  <w:r>
                    <w:rPr>
                      <w:rFonts w:hint="eastAsia" w:ascii="Times New Roman" w:hAnsi="Times New Roman" w:eastAsia="宋体" w:cs="Times New Roman"/>
                      <w:color w:val="auto"/>
                      <w:szCs w:val="21"/>
                      <w:lang w:val="en-US" w:eastAsia="zh-CN"/>
                    </w:rPr>
                    <w:t>85</w:t>
                  </w:r>
                </w:p>
              </w:tc>
              <w:tc>
                <w:tcPr>
                  <w:tcW w:w="1248" w:type="pct"/>
                  <w:tcBorders>
                    <w:left w:val="single" w:color="auto" w:sz="4" w:space="0"/>
                    <w:bottom w:val="single" w:color="auto" w:sz="12" w:space="0"/>
                  </w:tcBorders>
                  <w:shd w:val="clear" w:color="auto" w:fill="auto"/>
                  <w:noWrap w:val="0"/>
                  <w:vAlign w:val="center"/>
                </w:tcPr>
                <w:p w14:paraId="27F9C42B">
                  <w:pPr>
                    <w:adjustRightInd w:val="0"/>
                    <w:snapToGrid w:val="0"/>
                    <w:spacing w:line="340" w:lineRule="exact"/>
                    <w:jc w:val="center"/>
                    <w:textAlignment w:val="baseline"/>
                    <w:rPr>
                      <w:rFonts w:hint="eastAsia" w:ascii="Times New Roman" w:hAnsi="Times New Roman" w:eastAsia="FZFSK--GBK1-0" w:cs="Times New Roman"/>
                      <w:color w:val="auto"/>
                      <w:sz w:val="21"/>
                      <w:highlight w:val="none"/>
                      <w:lang w:val="en-US" w:eastAsia="zh-CN"/>
                    </w:rPr>
                  </w:pPr>
                  <w:r>
                    <w:rPr>
                      <w:rFonts w:hint="eastAsia" w:ascii="Times New Roman" w:hAnsi="Times New Roman" w:eastAsia="宋体" w:cs="Times New Roman"/>
                      <w:color w:val="auto"/>
                      <w:szCs w:val="21"/>
                    </w:rPr>
                    <w:t>金属废料和碎屑加工处理421；非金属废料和碎屑加工处理422</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421和422均不含原料为危险废物的，均不含仅分拣、破碎的）</w:t>
                  </w:r>
                </w:p>
              </w:tc>
              <w:tc>
                <w:tcPr>
                  <w:tcW w:w="565" w:type="pct"/>
                  <w:tcBorders>
                    <w:bottom w:val="single" w:color="auto" w:sz="12" w:space="0"/>
                  </w:tcBorders>
                  <w:shd w:val="clear" w:color="auto" w:fill="auto"/>
                  <w:noWrap w:val="0"/>
                  <w:vAlign w:val="center"/>
                </w:tcPr>
                <w:p w14:paraId="6B87B9B2">
                  <w:pPr>
                    <w:adjustRightInd w:val="0"/>
                    <w:snapToGrid w:val="0"/>
                    <w:spacing w:line="340" w:lineRule="exact"/>
                    <w:jc w:val="center"/>
                    <w:textAlignment w:val="baseline"/>
                    <w:rPr>
                      <w:rFonts w:hint="default" w:ascii="Times New Roman" w:hAnsi="Times New Roman" w:cs="Times New Roman"/>
                      <w:color w:val="auto"/>
                      <w:szCs w:val="21"/>
                      <w:highlight w:val="none"/>
                    </w:rPr>
                  </w:pPr>
                  <w:r>
                    <w:rPr>
                      <w:rFonts w:hint="eastAsia" w:ascii="Times New Roman" w:hAnsi="Times New Roman" w:eastAsia="宋体" w:cs="Times New Roman"/>
                      <w:color w:val="auto"/>
                      <w:szCs w:val="21"/>
                    </w:rPr>
                    <w:t>废电池、废油加工处理</w:t>
                  </w:r>
                </w:p>
              </w:tc>
              <w:tc>
                <w:tcPr>
                  <w:tcW w:w="2307" w:type="pct"/>
                  <w:tcBorders>
                    <w:bottom w:val="single" w:color="auto" w:sz="12" w:space="0"/>
                  </w:tcBorders>
                  <w:shd w:val="clear" w:color="auto" w:fill="BEBEBE"/>
                  <w:noWrap w:val="0"/>
                  <w:vAlign w:val="center"/>
                </w:tcPr>
                <w:p w14:paraId="485AD2A7">
                  <w:pPr>
                    <w:adjustRightInd w:val="0"/>
                    <w:snapToGrid w:val="0"/>
                    <w:spacing w:line="340" w:lineRule="exact"/>
                    <w:jc w:val="center"/>
                    <w:textAlignment w:val="baseline"/>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b w:val="0"/>
                      <w:bCs w:val="0"/>
                      <w:color w:val="auto"/>
                      <w:szCs w:val="21"/>
                    </w:rPr>
                    <w:t>废弃电器电子产品、</w:t>
                  </w:r>
                  <w:r>
                    <w:rPr>
                      <w:rFonts w:hint="eastAsia" w:ascii="Times New Roman" w:hAnsi="Times New Roman" w:eastAsia="宋体" w:cs="Times New Roman"/>
                      <w:b/>
                      <w:bCs/>
                      <w:color w:val="auto"/>
                      <w:szCs w:val="21"/>
                    </w:rPr>
                    <w:t>废机动车、废电机</w:t>
                  </w:r>
                  <w:r>
                    <w:rPr>
                      <w:rFonts w:hint="eastAsia" w:ascii="Times New Roman" w:hAnsi="Times New Roman" w:eastAsia="宋体" w:cs="Times New Roman"/>
                      <w:color w:val="auto"/>
                      <w:szCs w:val="21"/>
                    </w:rPr>
                    <w:t>、废电线电缆、</w:t>
                  </w:r>
                  <w:r>
                    <w:rPr>
                      <w:rFonts w:hint="eastAsia" w:ascii="Times New Roman" w:hAnsi="Times New Roman" w:eastAsia="宋体" w:cs="Times New Roman"/>
                      <w:b w:val="0"/>
                      <w:bCs w:val="0"/>
                      <w:color w:val="auto"/>
                      <w:szCs w:val="21"/>
                    </w:rPr>
                    <w:t>废钢、废铁</w:t>
                  </w:r>
                  <w:r>
                    <w:rPr>
                      <w:rFonts w:hint="eastAsia" w:ascii="Times New Roman" w:hAnsi="Times New Roman" w:eastAsia="宋体" w:cs="Times New Roman"/>
                      <w:color w:val="auto"/>
                      <w:szCs w:val="21"/>
                    </w:rPr>
                    <w:t>、金属和金属化合物矿灰及残渣、有色金属废料与碎屑、废塑料、废轮胎、废船、含水洗工艺的其他废料和碎屑加工处理</w:t>
                  </w:r>
                  <w:r>
                    <w:rPr>
                      <w:rFonts w:hint="eastAsia"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rPr>
                    <w:t>农业生产产生的废旧秧盘、薄膜破碎和清洗工艺的除外）</w:t>
                  </w:r>
                </w:p>
              </w:tc>
              <w:tc>
                <w:tcPr>
                  <w:tcW w:w="573" w:type="pct"/>
                  <w:tcBorders>
                    <w:bottom w:val="single" w:color="auto" w:sz="12" w:space="0"/>
                    <w:right w:val="nil"/>
                  </w:tcBorders>
                  <w:noWrap w:val="0"/>
                  <w:vAlign w:val="center"/>
                </w:tcPr>
                <w:p w14:paraId="5AD9A92D">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baseline"/>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w:t>
                  </w:r>
                </w:p>
              </w:tc>
            </w:tr>
          </w:tbl>
          <w:p w14:paraId="2608C074">
            <w:pPr>
              <w:pStyle w:val="6"/>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工程概况</w:t>
            </w:r>
          </w:p>
          <w:p w14:paraId="53ACBA30">
            <w:pPr>
              <w:pStyle w:val="32"/>
              <w:spacing w:line="360" w:lineRule="auto"/>
              <w:rPr>
                <w:rFonts w:hint="default" w:ascii="Times New Roman" w:hAnsi="Times New Roman" w:eastAsia="宋体" w:cs="Times New Roman"/>
                <w:b/>
                <w:bCs/>
                <w:color w:val="auto"/>
                <w:sz w:val="24"/>
                <w:highlight w:val="none"/>
              </w:rPr>
            </w:pPr>
            <w:bookmarkStart w:id="9" w:name="_Toc7532"/>
            <w:bookmarkStart w:id="10" w:name="_Toc7446"/>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eastAsia" w:ascii="Times New Roman" w:hAnsi="Times New Roman"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项目基本概况</w:t>
            </w:r>
            <w:bookmarkEnd w:id="9"/>
            <w:bookmarkEnd w:id="10"/>
          </w:p>
          <w:p w14:paraId="62EF9425">
            <w:pPr>
              <w:pStyle w:val="8"/>
              <w:keepNext w:val="0"/>
              <w:keepLines w:val="0"/>
              <w:pageBreakBefore w:val="0"/>
              <w:widowControl w:val="0"/>
              <w:kinsoku/>
              <w:wordWrap/>
              <w:overflowPunct/>
              <w:topLinePunct w:val="0"/>
              <w:autoSpaceDE/>
              <w:autoSpaceDN/>
              <w:bidi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项目名称：</w:t>
            </w:r>
            <w:r>
              <w:rPr>
                <w:rFonts w:hint="eastAsia" w:ascii="Times New Roman" w:hAnsi="Times New Roman" w:eastAsia="宋体" w:cs="Times New Roman"/>
                <w:color w:val="auto"/>
                <w:sz w:val="24"/>
                <w:szCs w:val="24"/>
                <w:highlight w:val="none"/>
                <w:lang w:eastAsia="zh-CN"/>
              </w:rPr>
              <w:t>中福鑫废旧机动车拆解及资源回收项目（一期）</w:t>
            </w:r>
          </w:p>
          <w:p w14:paraId="27492B9E">
            <w:pPr>
              <w:pStyle w:val="8"/>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建设单位：</w:t>
            </w:r>
            <w:r>
              <w:rPr>
                <w:rFonts w:hint="eastAsia" w:ascii="Times New Roman" w:hAnsi="Times New Roman" w:eastAsia="宋体" w:cs="Times New Roman"/>
                <w:color w:val="auto"/>
                <w:sz w:val="24"/>
                <w:szCs w:val="24"/>
                <w:highlight w:val="none"/>
                <w:lang w:eastAsia="zh-CN"/>
              </w:rPr>
              <w:t>福建中福鑫再生资源有限公司</w:t>
            </w:r>
          </w:p>
          <w:p w14:paraId="687ECC17">
            <w:pPr>
              <w:pStyle w:val="8"/>
              <w:keepNext w:val="0"/>
              <w:keepLines w:val="0"/>
              <w:pageBreakBefore w:val="0"/>
              <w:widowControl w:val="0"/>
              <w:kinsoku/>
              <w:wordWrap/>
              <w:overflowPunct/>
              <w:topLinePunct w:val="0"/>
              <w:autoSpaceDE/>
              <w:autoSpaceDN/>
              <w:bidi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建设地点：</w:t>
            </w:r>
            <w:r>
              <w:rPr>
                <w:rFonts w:hint="eastAsia" w:ascii="Times New Roman" w:hAnsi="Times New Roman" w:eastAsia="宋体" w:cs="Times New Roman"/>
                <w:color w:val="auto"/>
                <w:sz w:val="24"/>
                <w:szCs w:val="24"/>
                <w:highlight w:val="none"/>
                <w:lang w:eastAsia="zh-CN"/>
              </w:rPr>
              <w:t>福建省福州市长乐区松下镇山前村新村东区66号</w:t>
            </w:r>
          </w:p>
          <w:p w14:paraId="5A19CC37">
            <w:pPr>
              <w:pStyle w:val="8"/>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企业性质：内资企业</w:t>
            </w:r>
          </w:p>
          <w:p w14:paraId="2F408A42">
            <w:pPr>
              <w:pStyle w:val="8"/>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总投资：</w:t>
            </w:r>
            <w:r>
              <w:rPr>
                <w:rFonts w:hint="eastAsia" w:ascii="Times New Roman" w:hAnsi="Times New Roman" w:eastAsia="宋体" w:cs="Times New Roman"/>
                <w:color w:val="auto"/>
                <w:sz w:val="24"/>
                <w:szCs w:val="24"/>
                <w:highlight w:val="none"/>
                <w:lang w:val="en-US" w:eastAsia="zh-CN"/>
              </w:rPr>
              <w:t>1000万元</w:t>
            </w:r>
          </w:p>
          <w:p w14:paraId="4DFE7733">
            <w:pPr>
              <w:pStyle w:val="8"/>
              <w:keepNext w:val="0"/>
              <w:keepLines w:val="0"/>
              <w:pageBreakBefore w:val="0"/>
              <w:widowControl w:val="0"/>
              <w:kinsoku/>
              <w:wordWrap/>
              <w:overflowPunct/>
              <w:topLinePunct w:val="0"/>
              <w:autoSpaceDE/>
              <w:autoSpaceDN/>
              <w:bidi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建设规模：</w:t>
            </w:r>
            <w:r>
              <w:rPr>
                <w:rFonts w:hint="eastAsia" w:ascii="Times New Roman" w:hAnsi="Times New Roman" w:eastAsia="宋体" w:cs="Times New Roman"/>
                <w:color w:val="auto"/>
                <w:sz w:val="24"/>
                <w:szCs w:val="24"/>
                <w:highlight w:val="none"/>
                <w:lang w:val="en-US" w:eastAsia="zh-CN"/>
              </w:rPr>
              <w:t>利用租赁厂区面积约23000m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以及</w:t>
            </w:r>
            <w:r>
              <w:rPr>
                <w:rFonts w:hint="eastAsia" w:ascii="Times New Roman" w:hAnsi="Times New Roman" w:eastAsia="宋体" w:cs="Times New Roman"/>
                <w:b w:val="0"/>
                <w:bCs w:val="0"/>
                <w:color w:val="auto"/>
                <w:sz w:val="24"/>
                <w:szCs w:val="24"/>
                <w:highlight w:val="none"/>
                <w:lang w:val="en-US" w:eastAsia="zh-CN"/>
              </w:rPr>
              <w:t>现有地上厂房建筑面积约6982.71m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（原有地上建筑8191.36m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，拟为保证生产动线布局，拟拆除现有建筑共计1208.65m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lang w:val="en-US" w:eastAsia="zh-CN"/>
              </w:rPr>
              <w:t>，并新建厂房建筑面积4098.66m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总建筑面积约</w:t>
            </w:r>
            <w:r>
              <w:rPr>
                <w:rFonts w:hint="eastAsia" w:ascii="Times New Roman" w:hAnsi="Times New Roman" w:eastAsia="宋体" w:cs="Times New Roman"/>
                <w:color w:val="auto"/>
                <w:sz w:val="24"/>
                <w:szCs w:val="24"/>
                <w:highlight w:val="none"/>
                <w:lang w:val="en-US" w:eastAsia="zh-CN"/>
              </w:rPr>
              <w:t>11081.37m</w:t>
            </w:r>
            <w:r>
              <w:rPr>
                <w:rFonts w:hint="eastAsia" w:ascii="Times New Roman" w:hAnsi="Times New Roman" w:eastAsia="宋体" w:cs="Times New Roman"/>
                <w:color w:val="auto"/>
                <w:sz w:val="24"/>
                <w:szCs w:val="24"/>
                <w:highlight w:val="none"/>
                <w:vertAlign w:val="superscript"/>
                <w:lang w:val="en-US" w:eastAsia="zh-CN"/>
              </w:rPr>
              <w:t>2</w:t>
            </w:r>
          </w:p>
          <w:p w14:paraId="032C8C73">
            <w:pPr>
              <w:pStyle w:val="8"/>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生产规模：设计年拆解废旧机动车20000辆</w:t>
            </w:r>
            <w:r>
              <w:rPr>
                <w:rFonts w:hint="eastAsia" w:ascii="Times New Roman" w:hAnsi="Times New Roman" w:eastAsia="宋体" w:cs="Times New Roman"/>
                <w:color w:val="auto"/>
                <w:kern w:val="2"/>
                <w:sz w:val="24"/>
                <w:szCs w:val="24"/>
                <w:highlight w:val="none"/>
                <w:lang w:val="en-US" w:eastAsia="zh-CN" w:bidi="ar-SA"/>
              </w:rPr>
              <w:t>（含新能源电动车1000辆）</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rPr>
              <w:t>废电机10000吨、废变压器10000吨</w:t>
            </w:r>
          </w:p>
          <w:p w14:paraId="709ED35A">
            <w:pPr>
              <w:pStyle w:val="8"/>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职工人数：职工人数</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eastAsia="zh-CN"/>
              </w:rPr>
              <w:t>人</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均不在厂区内食宿</w:t>
            </w:r>
          </w:p>
          <w:p w14:paraId="6BA8E670">
            <w:pPr>
              <w:pStyle w:val="8"/>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工作制度：年工作日300天，实行白班制，8h/d，夜间不生产</w:t>
            </w:r>
          </w:p>
          <w:p w14:paraId="26E254F3">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 xml:space="preserve"> 项目组成及建设内容</w:t>
            </w:r>
          </w:p>
          <w:p w14:paraId="797A4B3B">
            <w:pPr>
              <w:spacing w:line="360" w:lineRule="auto"/>
              <w:ind w:firstLine="480" w:firstLineChars="200"/>
              <w:rPr>
                <w:rFonts w:hint="default" w:ascii="Times New Roman" w:hAnsi="Times New Roman" w:eastAsia="黑体" w:cs="Times New Roman"/>
                <w:color w:val="auto"/>
                <w:spacing w:val="6"/>
                <w:highlight w:val="none"/>
                <w:lang w:val="en-US"/>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工程</w:t>
            </w:r>
            <w:r>
              <w:rPr>
                <w:rFonts w:hint="default" w:ascii="Times New Roman" w:hAnsi="Times New Roman" w:eastAsia="宋体" w:cs="Times New Roman"/>
                <w:color w:val="auto"/>
                <w:sz w:val="24"/>
                <w:szCs w:val="24"/>
                <w:highlight w:val="none"/>
              </w:rPr>
              <w:t>组成及建设内容</w:t>
            </w:r>
            <w:r>
              <w:rPr>
                <w:rFonts w:hint="default" w:ascii="Times New Roman" w:hAnsi="Times New Roman" w:eastAsia="宋体" w:cs="Times New Roman"/>
                <w:color w:val="auto"/>
                <w:sz w:val="24"/>
                <w:szCs w:val="24"/>
                <w:highlight w:val="none"/>
                <w:lang w:eastAsia="zh-CN"/>
              </w:rPr>
              <w:t>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w:t>
            </w:r>
          </w:p>
          <w:p w14:paraId="0374CE10">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Cs/>
                <w:color w:val="auto"/>
                <w:szCs w:val="21"/>
                <w:lang w:val="en-US" w:eastAsia="zh-CN"/>
              </w:rPr>
            </w:pPr>
          </w:p>
        </w:tc>
      </w:tr>
    </w:tbl>
    <w:p w14:paraId="61FA59CE">
      <w:pPr>
        <w:pStyle w:val="5"/>
        <w:rPr>
          <w:rFonts w:hint="default" w:ascii="Times New Roman" w:hAnsi="Times New Roman" w:cs="Times New Roman"/>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785"/>
      </w:tblGrid>
      <w:tr w14:paraId="5179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680" w:type="dxa"/>
            <w:noWrap w:val="0"/>
            <w:vAlign w:val="center"/>
          </w:tcPr>
          <w:p w14:paraId="5597F187">
            <w:pPr>
              <w:jc w:val="center"/>
              <w:rPr>
                <w:rFonts w:hint="default" w:ascii="Times New Roman" w:hAnsi="Times New Roman"/>
                <w:color w:val="auto"/>
                <w:vertAlign w:val="baseline"/>
              </w:rPr>
            </w:pPr>
            <w:r>
              <w:rPr>
                <w:rFonts w:hint="default" w:ascii="Times New Roman" w:hAnsi="Times New Roman"/>
                <w:color w:val="auto"/>
              </w:rPr>
              <w:t>建设内容</w:t>
            </w:r>
          </w:p>
        </w:tc>
        <w:tc>
          <w:tcPr>
            <w:tcW w:w="12785" w:type="dxa"/>
            <w:noWrap w:val="0"/>
            <w:vAlign w:val="center"/>
          </w:tcPr>
          <w:p w14:paraId="05AEF605">
            <w:pPr>
              <w:pStyle w:val="17"/>
              <w:widowControl w:val="0"/>
              <w:autoSpaceDE w:val="0"/>
              <w:autoSpaceDN w:val="0"/>
              <w:adjustRightInd w:val="0"/>
              <w:snapToGrid w:val="0"/>
              <w:spacing w:before="120" w:beforeLines="50" w:beforeAutospacing="0" w:after="0" w:afterAutospacing="0"/>
              <w:jc w:val="center"/>
              <w:textAlignment w:val="baseline"/>
              <w:rPr>
                <w:rFonts w:hint="default" w:ascii="Times New Roman" w:hAnsi="Times New Roman" w:eastAsia="黑体" w:cs="Times New Roman"/>
                <w:b w:val="0"/>
                <w:bCs w:val="0"/>
                <w:color w:val="auto"/>
                <w:spacing w:val="6"/>
                <w:highlight w:val="none"/>
              </w:rPr>
            </w:pPr>
            <w:r>
              <w:rPr>
                <w:rFonts w:hint="default" w:ascii="Times New Roman" w:hAnsi="Times New Roman" w:eastAsia="黑体" w:cs="Times New Roman"/>
                <w:b w:val="0"/>
                <w:bCs w:val="0"/>
                <w:color w:val="auto"/>
                <w:spacing w:val="6"/>
                <w:highlight w:val="none"/>
              </w:rPr>
              <w:t>表</w:t>
            </w:r>
            <w:r>
              <w:rPr>
                <w:rFonts w:hint="default" w:ascii="Times New Roman" w:hAnsi="Times New Roman" w:eastAsia="黑体" w:cs="Times New Roman"/>
                <w:b w:val="0"/>
                <w:bCs w:val="0"/>
                <w:color w:val="auto"/>
                <w:spacing w:val="6"/>
                <w:highlight w:val="none"/>
                <w:lang w:val="en-US" w:eastAsia="zh-CN"/>
              </w:rPr>
              <w:t>2</w:t>
            </w:r>
            <w:r>
              <w:rPr>
                <w:rFonts w:hint="default" w:ascii="Times New Roman" w:hAnsi="Times New Roman" w:eastAsia="黑体" w:cs="Times New Roman"/>
                <w:b w:val="0"/>
                <w:bCs w:val="0"/>
                <w:color w:val="auto"/>
                <w:spacing w:val="6"/>
                <w:highlight w:val="none"/>
              </w:rPr>
              <w:t>.</w:t>
            </w:r>
            <w:r>
              <w:rPr>
                <w:rFonts w:hint="default" w:ascii="Times New Roman" w:hAnsi="Times New Roman" w:eastAsia="黑体" w:cs="Times New Roman"/>
                <w:b w:val="0"/>
                <w:bCs w:val="0"/>
                <w:color w:val="auto"/>
                <w:spacing w:val="6"/>
                <w:highlight w:val="none"/>
                <w:lang w:val="en-US" w:eastAsia="zh-CN"/>
              </w:rPr>
              <w:t>2</w:t>
            </w:r>
            <w:r>
              <w:rPr>
                <w:rFonts w:hint="default" w:ascii="Times New Roman" w:hAnsi="Times New Roman" w:eastAsia="黑体" w:cs="Times New Roman"/>
                <w:b w:val="0"/>
                <w:bCs w:val="0"/>
                <w:color w:val="auto"/>
                <w:spacing w:val="6"/>
                <w:highlight w:val="none"/>
              </w:rPr>
              <w:t>-</w:t>
            </w:r>
            <w:r>
              <w:rPr>
                <w:rFonts w:hint="eastAsia" w:ascii="Times New Roman" w:hAnsi="Times New Roman" w:eastAsia="黑体" w:cs="Times New Roman"/>
                <w:b w:val="0"/>
                <w:bCs w:val="0"/>
                <w:color w:val="auto"/>
                <w:spacing w:val="6"/>
                <w:highlight w:val="none"/>
                <w:lang w:val="en-US" w:eastAsia="zh-CN"/>
              </w:rPr>
              <w:t>1</w:t>
            </w:r>
            <w:r>
              <w:rPr>
                <w:rFonts w:hint="default" w:ascii="Times New Roman" w:hAnsi="Times New Roman" w:eastAsia="黑体" w:cs="Times New Roman"/>
                <w:b w:val="0"/>
                <w:bCs w:val="0"/>
                <w:color w:val="auto"/>
                <w:spacing w:val="6"/>
                <w:highlight w:val="none"/>
              </w:rPr>
              <w:t xml:space="preserve">  项目组成一览表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672"/>
              <w:gridCol w:w="1106"/>
              <w:gridCol w:w="6619"/>
              <w:gridCol w:w="3000"/>
            </w:tblGrid>
            <w:tr w14:paraId="778BB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noWrap w:val="0"/>
                  <w:vAlign w:val="center"/>
                </w:tcPr>
                <w:p w14:paraId="168F7C15">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工程类别</w:t>
                  </w:r>
                </w:p>
              </w:tc>
              <w:tc>
                <w:tcPr>
                  <w:tcW w:w="707" w:type="pct"/>
                  <w:gridSpan w:val="2"/>
                  <w:noWrap w:val="0"/>
                  <w:vAlign w:val="center"/>
                </w:tcPr>
                <w:p w14:paraId="1C0393F0">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项目组成</w:t>
                  </w:r>
                </w:p>
              </w:tc>
              <w:tc>
                <w:tcPr>
                  <w:tcW w:w="2633" w:type="pct"/>
                  <w:noWrap w:val="0"/>
                  <w:vAlign w:val="center"/>
                </w:tcPr>
                <w:p w14:paraId="1AD74DFC">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具体建设内容</w:t>
                  </w:r>
                </w:p>
              </w:tc>
              <w:tc>
                <w:tcPr>
                  <w:tcW w:w="1193" w:type="pct"/>
                  <w:noWrap w:val="0"/>
                  <w:vAlign w:val="center"/>
                </w:tcPr>
                <w:p w14:paraId="7EF35302">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备注</w:t>
                  </w:r>
                </w:p>
              </w:tc>
            </w:tr>
            <w:tr w14:paraId="241F3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6" w:type="pct"/>
                  <w:vMerge w:val="restart"/>
                  <w:noWrap w:val="0"/>
                  <w:vAlign w:val="center"/>
                </w:tcPr>
                <w:p w14:paraId="46509CA8">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707" w:type="pct"/>
                  <w:gridSpan w:val="2"/>
                  <w:noWrap w:val="0"/>
                  <w:vAlign w:val="center"/>
                </w:tcPr>
                <w:p w14:paraId="6C396AF3">
                  <w:pPr>
                    <w:pStyle w:val="33"/>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bidi="ar-SA"/>
                    </w:rPr>
                    <w:t>预处理车间</w:t>
                  </w:r>
                </w:p>
              </w:tc>
              <w:tc>
                <w:tcPr>
                  <w:tcW w:w="2633" w:type="pct"/>
                  <w:noWrap w:val="0"/>
                  <w:vAlign w:val="center"/>
                </w:tcPr>
                <w:p w14:paraId="1E14349D">
                  <w:pPr>
                    <w:keepNext w:val="0"/>
                    <w:keepLines w:val="0"/>
                    <w:pageBreakBefore w:val="0"/>
                    <w:widowControl w:val="0"/>
                    <w:wordWrap/>
                    <w:overflowPunct/>
                    <w:bidi w:val="0"/>
                    <w:spacing w:line="340" w:lineRule="exact"/>
                    <w:ind w:left="0"/>
                    <w:jc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bidi="ar-SA"/>
                    </w:rPr>
                    <w:t>位于厂区东南侧一号厂房内中部，建筑面积约523m</w:t>
                  </w:r>
                  <w:r>
                    <w:rPr>
                      <w:rFonts w:hint="eastAsia" w:ascii="Times New Roman" w:hAnsi="Times New Roman" w:eastAsia="宋体" w:cs="Times New Roman"/>
                      <w:color w:val="auto"/>
                      <w:spacing w:val="0"/>
                      <w:kern w:val="0"/>
                      <w:sz w:val="21"/>
                      <w:szCs w:val="21"/>
                      <w:highlight w:val="none"/>
                      <w:vertAlign w:val="superscript"/>
                      <w:lang w:val="en-US" w:eastAsia="zh-CN" w:bidi="ar-SA"/>
                    </w:rPr>
                    <w:t>2</w:t>
                  </w:r>
                  <w:r>
                    <w:rPr>
                      <w:rFonts w:hint="eastAsia" w:ascii="Times New Roman" w:hAnsi="Times New Roman" w:eastAsia="宋体" w:cs="Times New Roman"/>
                      <w:color w:val="auto"/>
                      <w:spacing w:val="0"/>
                      <w:kern w:val="0"/>
                      <w:sz w:val="21"/>
                      <w:szCs w:val="21"/>
                      <w:highlight w:val="none"/>
                      <w:lang w:val="en-US" w:eastAsia="zh-CN" w:bidi="ar-SA"/>
                    </w:rPr>
                    <w:t>，高度约9m，布置1条预处理线，包含预处理平台、抽接油机、制冷剂回收机等设备，对油液、制冷剂进行排空，并设有密闭的专用废液收集容器对各类油液、冷却剂进行分类密闭收集暂存，废液收集容器与各抽取设备间通过密闭管道输送</w:t>
                  </w:r>
                </w:p>
              </w:tc>
              <w:tc>
                <w:tcPr>
                  <w:tcW w:w="1193" w:type="pct"/>
                  <w:noWrap w:val="0"/>
                  <w:vAlign w:val="center"/>
                </w:tcPr>
                <w:p w14:paraId="2CF4F4B9">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bidi="ar-SA"/>
                    </w:rPr>
                    <w:t>依托现有厂房，新增设备，</w:t>
                  </w:r>
                  <w:r>
                    <w:rPr>
                      <w:rFonts w:hint="eastAsia" w:ascii="Times New Roman" w:hAnsi="Times New Roman" w:eastAsia="宋体" w:cs="Times New Roman"/>
                      <w:color w:val="auto"/>
                      <w:spacing w:val="0"/>
                      <w:kern w:val="0"/>
                      <w:sz w:val="21"/>
                      <w:szCs w:val="21"/>
                      <w:highlight w:val="none"/>
                      <w:lang w:val="en-US" w:eastAsia="zh-CN"/>
                    </w:rPr>
                    <w:t>地面</w:t>
                  </w:r>
                  <w:r>
                    <w:rPr>
                      <w:rFonts w:hint="eastAsia" w:ascii="Times New Roman" w:hAnsi="Times New Roman" w:eastAsia="宋体" w:cs="Times New Roman"/>
                      <w:color w:val="auto"/>
                      <w:spacing w:val="0"/>
                      <w:kern w:val="0"/>
                      <w:sz w:val="21"/>
                      <w:szCs w:val="21"/>
                      <w:highlight w:val="none"/>
                      <w:lang w:val="en-US" w:eastAsia="zh-CN" w:bidi="ar-SA"/>
                    </w:rPr>
                    <w:t>硬化并铺设地坪漆防渗</w:t>
                  </w:r>
                </w:p>
              </w:tc>
            </w:tr>
            <w:tr w14:paraId="504F0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vMerge w:val="continue"/>
                  <w:noWrap w:val="0"/>
                  <w:vAlign w:val="center"/>
                </w:tcPr>
                <w:p w14:paraId="2F7EEEAE">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707" w:type="pct"/>
                  <w:gridSpan w:val="2"/>
                  <w:noWrap w:val="0"/>
                  <w:vAlign w:val="center"/>
                </w:tcPr>
                <w:p w14:paraId="50A7858D">
                  <w:pPr>
                    <w:pStyle w:val="33"/>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bidi="ar-SA"/>
                    </w:rPr>
                    <w:t>动力蓄电池拆卸车间</w:t>
                  </w:r>
                </w:p>
              </w:tc>
              <w:tc>
                <w:tcPr>
                  <w:tcW w:w="2633" w:type="pct"/>
                  <w:noWrap w:val="0"/>
                  <w:vAlign w:val="center"/>
                </w:tcPr>
                <w:p w14:paraId="7D55382B">
                  <w:pPr>
                    <w:keepNext w:val="0"/>
                    <w:keepLines w:val="0"/>
                    <w:pageBreakBefore w:val="0"/>
                    <w:widowControl w:val="0"/>
                    <w:wordWrap/>
                    <w:overflowPunct/>
                    <w:bidi w:val="0"/>
                    <w:spacing w:line="340" w:lineRule="exact"/>
                    <w:ind w:left="0"/>
                    <w:jc w:val="center"/>
                    <w:rPr>
                      <w:rFonts w:hint="default" w:ascii="Times New Roman" w:hAnsi="Times New Roman" w:eastAsia="宋体" w:cs="Times New Roman"/>
                      <w:color w:val="auto"/>
                      <w:spacing w:val="0"/>
                      <w:kern w:val="0"/>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bidi="ar-SA"/>
                    </w:rPr>
                    <w:t>位于厂区东南侧一号厂房内，建筑面积约120m</w:t>
                  </w:r>
                  <w:r>
                    <w:rPr>
                      <w:rFonts w:hint="eastAsia" w:ascii="Times New Roman" w:hAnsi="Times New Roman" w:eastAsia="宋体" w:cs="Times New Roman"/>
                      <w:color w:val="auto"/>
                      <w:spacing w:val="0"/>
                      <w:kern w:val="0"/>
                      <w:sz w:val="21"/>
                      <w:szCs w:val="21"/>
                      <w:highlight w:val="none"/>
                      <w:vertAlign w:val="superscript"/>
                      <w:lang w:val="en-US" w:eastAsia="zh-CN" w:bidi="ar-SA"/>
                    </w:rPr>
                    <w:t>2</w:t>
                  </w:r>
                  <w:r>
                    <w:rPr>
                      <w:rFonts w:hint="eastAsia" w:ascii="Times New Roman" w:hAnsi="Times New Roman" w:eastAsia="宋体" w:cs="Times New Roman"/>
                      <w:color w:val="auto"/>
                      <w:spacing w:val="0"/>
                      <w:kern w:val="0"/>
                      <w:sz w:val="21"/>
                      <w:szCs w:val="21"/>
                      <w:highlight w:val="none"/>
                      <w:lang w:val="en-US" w:eastAsia="zh-CN" w:bidi="ar-SA"/>
                    </w:rPr>
                    <w:t>，高度约9m，配套绝缘检测设备等设备，进行新能源汽车动力蓄电池评估、拆卸</w:t>
                  </w:r>
                  <w:r>
                    <w:rPr>
                      <w:rFonts w:hint="eastAsia"/>
                      <w:color w:val="auto"/>
                      <w:lang w:eastAsia="zh-CN"/>
                    </w:rPr>
                    <w:t>，不对动力蓄电池进一步拆解</w:t>
                  </w:r>
                </w:p>
              </w:tc>
              <w:tc>
                <w:tcPr>
                  <w:tcW w:w="1193" w:type="pct"/>
                  <w:noWrap w:val="0"/>
                  <w:vAlign w:val="center"/>
                </w:tcPr>
                <w:p w14:paraId="4C39BC10">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bidi="ar-SA"/>
                    </w:rPr>
                    <w:t>依托现有厂房，新增设备，</w:t>
                  </w:r>
                  <w:r>
                    <w:rPr>
                      <w:rFonts w:hint="eastAsia" w:ascii="Times New Roman" w:hAnsi="Times New Roman" w:eastAsia="宋体" w:cs="Times New Roman"/>
                      <w:color w:val="auto"/>
                      <w:spacing w:val="0"/>
                      <w:kern w:val="0"/>
                      <w:sz w:val="21"/>
                      <w:szCs w:val="21"/>
                      <w:highlight w:val="none"/>
                      <w:lang w:val="en-US" w:eastAsia="zh-CN"/>
                    </w:rPr>
                    <w:t>地面</w:t>
                  </w:r>
                  <w:r>
                    <w:rPr>
                      <w:rFonts w:hint="eastAsia" w:ascii="Times New Roman" w:hAnsi="Times New Roman" w:eastAsia="宋体" w:cs="Times New Roman"/>
                      <w:color w:val="auto"/>
                      <w:spacing w:val="0"/>
                      <w:kern w:val="0"/>
                      <w:sz w:val="21"/>
                      <w:szCs w:val="21"/>
                      <w:highlight w:val="none"/>
                      <w:lang w:val="en-US" w:eastAsia="zh-CN" w:bidi="ar-SA"/>
                    </w:rPr>
                    <w:t>硬化并铺设地坪漆防渗，地面绝缘处理，防腐防渗应急收集池</w:t>
                  </w:r>
                </w:p>
              </w:tc>
            </w:tr>
            <w:tr w14:paraId="1CF54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466" w:type="pct"/>
                  <w:vMerge w:val="continue"/>
                  <w:noWrap w:val="0"/>
                  <w:vAlign w:val="center"/>
                </w:tcPr>
                <w:p w14:paraId="737D5B62">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ascii="Times New Roman" w:hAnsi="Times New Roman"/>
                      <w:color w:val="auto"/>
                    </w:rPr>
                  </w:pPr>
                </w:p>
              </w:tc>
              <w:tc>
                <w:tcPr>
                  <w:tcW w:w="707" w:type="pct"/>
                  <w:gridSpan w:val="2"/>
                  <w:noWrap w:val="0"/>
                  <w:vAlign w:val="center"/>
                </w:tcPr>
                <w:p w14:paraId="45B2FD9F">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olor w:val="auto"/>
                      <w:lang w:eastAsia="zh-CN"/>
                    </w:rPr>
                  </w:pPr>
                  <w:r>
                    <w:rPr>
                      <w:rFonts w:hint="eastAsia" w:ascii="Times New Roman" w:hAnsi="Times New Roman"/>
                      <w:color w:val="auto"/>
                      <w:lang w:eastAsia="zh-CN"/>
                    </w:rPr>
                    <w:t>大小车拆解车间</w:t>
                  </w:r>
                </w:p>
              </w:tc>
              <w:tc>
                <w:tcPr>
                  <w:tcW w:w="2633" w:type="pct"/>
                  <w:noWrap w:val="0"/>
                  <w:vAlign w:val="center"/>
                </w:tcPr>
                <w:p w14:paraId="0F2D1D9D">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位于厂区东侧二号车间内，建筑面积约1575.66m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bidi="ar-SA"/>
                    </w:rPr>
                    <w:t>高度约9m，</w:t>
                  </w:r>
                  <w:r>
                    <w:rPr>
                      <w:rFonts w:hint="eastAsia" w:ascii="Times New Roman" w:hAnsi="Times New Roman" w:eastAsia="宋体" w:cs="Times New Roman"/>
                      <w:color w:val="auto"/>
                      <w:spacing w:val="0"/>
                      <w:kern w:val="0"/>
                      <w:sz w:val="21"/>
                      <w:szCs w:val="21"/>
                      <w:highlight w:val="none"/>
                      <w:lang w:val="en-US" w:eastAsia="zh-CN"/>
                    </w:rPr>
                    <w:t>配置报废机动车翻转拆解平台、等离子切割机、液压金属剪切机等设备，进行报废机动车的拆解。车间内东南侧配套乙炔瓶、氧气瓶防火防爆专用柜，进行乙炔及氧气瓶分柜存放</w:t>
                  </w:r>
                </w:p>
              </w:tc>
              <w:tc>
                <w:tcPr>
                  <w:tcW w:w="1193" w:type="pct"/>
                  <w:noWrap w:val="0"/>
                  <w:vAlign w:val="center"/>
                </w:tcPr>
                <w:p w14:paraId="47EA60F2">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bidi="ar-SA"/>
                    </w:rPr>
                    <w:t>依托</w:t>
                  </w:r>
                  <w:r>
                    <w:rPr>
                      <w:rFonts w:hint="eastAsia" w:ascii="Times New Roman" w:hAnsi="Times New Roman" w:eastAsia="宋体" w:cs="Times New Roman"/>
                      <w:color w:val="auto"/>
                      <w:spacing w:val="0"/>
                      <w:kern w:val="0"/>
                      <w:sz w:val="21"/>
                      <w:szCs w:val="21"/>
                      <w:highlight w:val="none"/>
                      <w:lang w:val="en-US" w:eastAsia="zh-CN"/>
                    </w:rPr>
                    <w:t>现有厂房，新增设备，地面硬化并铺设地坪漆防渗</w:t>
                  </w:r>
                </w:p>
              </w:tc>
            </w:tr>
            <w:tr w14:paraId="00F3F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vMerge w:val="continue"/>
                  <w:noWrap w:val="0"/>
                  <w:vAlign w:val="center"/>
                </w:tcPr>
                <w:p w14:paraId="13CA7693">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ascii="Times New Roman" w:hAnsi="Times New Roman"/>
                      <w:color w:val="auto"/>
                    </w:rPr>
                  </w:pPr>
                </w:p>
              </w:tc>
              <w:tc>
                <w:tcPr>
                  <w:tcW w:w="707" w:type="pct"/>
                  <w:gridSpan w:val="2"/>
                  <w:noWrap w:val="0"/>
                  <w:vAlign w:val="center"/>
                </w:tcPr>
                <w:p w14:paraId="2145681C">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color w:val="auto"/>
                      <w:lang w:eastAsia="zh-CN"/>
                    </w:rPr>
                  </w:pPr>
                  <w:r>
                    <w:rPr>
                      <w:rFonts w:hint="eastAsia" w:ascii="Times New Roman" w:hAnsi="Times New Roman"/>
                      <w:color w:val="auto"/>
                      <w:lang w:eastAsia="zh-CN"/>
                    </w:rPr>
                    <w:t>废变压器拆解车间</w:t>
                  </w:r>
                </w:p>
              </w:tc>
              <w:tc>
                <w:tcPr>
                  <w:tcW w:w="2633" w:type="pct"/>
                  <w:noWrap w:val="0"/>
                  <w:vAlign w:val="center"/>
                </w:tcPr>
                <w:p w14:paraId="406A4E5A">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位于厂区东北侧三号厂房内，建筑面积约872m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bidi="ar-SA"/>
                    </w:rPr>
                    <w:t>高度约9m，</w:t>
                  </w:r>
                  <w:r>
                    <w:rPr>
                      <w:rFonts w:hint="eastAsia" w:ascii="Times New Roman" w:hAnsi="Times New Roman" w:eastAsia="宋体" w:cs="Times New Roman"/>
                      <w:color w:val="auto"/>
                      <w:spacing w:val="0"/>
                      <w:kern w:val="0"/>
                      <w:sz w:val="21"/>
                      <w:szCs w:val="21"/>
                      <w:highlight w:val="none"/>
                      <w:lang w:val="en-US" w:eastAsia="zh-CN"/>
                    </w:rPr>
                    <w:t>配套等离子切割机、抽接油机、电动扳手等，进行废变压器拆解</w:t>
                  </w:r>
                </w:p>
              </w:tc>
              <w:tc>
                <w:tcPr>
                  <w:tcW w:w="1193" w:type="pct"/>
                  <w:noWrap w:val="0"/>
                  <w:vAlign w:val="center"/>
                </w:tcPr>
                <w:p w14:paraId="152032E4">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bidi="ar-SA"/>
                    </w:rPr>
                    <w:t>依托</w:t>
                  </w:r>
                  <w:r>
                    <w:rPr>
                      <w:rFonts w:hint="eastAsia" w:ascii="Times New Roman" w:hAnsi="Times New Roman" w:eastAsia="宋体" w:cs="Times New Roman"/>
                      <w:color w:val="auto"/>
                      <w:spacing w:val="0"/>
                      <w:kern w:val="0"/>
                      <w:sz w:val="21"/>
                      <w:szCs w:val="21"/>
                      <w:highlight w:val="none"/>
                      <w:lang w:val="en-US" w:eastAsia="zh-CN"/>
                    </w:rPr>
                    <w:t>现有厂房，新增设备，地面硬化并铺设地坪漆防渗</w:t>
                  </w:r>
                </w:p>
              </w:tc>
            </w:tr>
            <w:tr w14:paraId="76996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466" w:type="pct"/>
                  <w:vMerge w:val="continue"/>
                  <w:noWrap w:val="0"/>
                  <w:vAlign w:val="center"/>
                </w:tcPr>
                <w:p w14:paraId="40ED076B">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ascii="Times New Roman" w:hAnsi="Times New Roman"/>
                      <w:color w:val="auto"/>
                    </w:rPr>
                  </w:pPr>
                </w:p>
              </w:tc>
              <w:tc>
                <w:tcPr>
                  <w:tcW w:w="707" w:type="pct"/>
                  <w:gridSpan w:val="2"/>
                  <w:noWrap w:val="0"/>
                  <w:vAlign w:val="center"/>
                </w:tcPr>
                <w:p w14:paraId="0AF012B9">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color w:val="auto"/>
                      <w:lang w:eastAsia="zh-CN"/>
                    </w:rPr>
                  </w:pPr>
                  <w:r>
                    <w:rPr>
                      <w:rFonts w:hint="eastAsia" w:ascii="Times New Roman" w:hAnsi="Times New Roman"/>
                      <w:color w:val="auto"/>
                      <w:lang w:eastAsia="zh-CN"/>
                    </w:rPr>
                    <w:t>废电机拆解车间</w:t>
                  </w:r>
                </w:p>
              </w:tc>
              <w:tc>
                <w:tcPr>
                  <w:tcW w:w="2633" w:type="pct"/>
                  <w:noWrap w:val="0"/>
                  <w:vAlign w:val="center"/>
                </w:tcPr>
                <w:p w14:paraId="3E3EA4AD">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位于厂区东北侧三号厂房内，建筑面积约872m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w:t>
                  </w:r>
                  <w:r>
                    <w:rPr>
                      <w:rFonts w:hint="eastAsia" w:ascii="Times New Roman" w:hAnsi="Times New Roman" w:eastAsia="宋体" w:cs="Times New Roman"/>
                      <w:color w:val="auto"/>
                      <w:spacing w:val="0"/>
                      <w:kern w:val="0"/>
                      <w:sz w:val="21"/>
                      <w:szCs w:val="21"/>
                      <w:highlight w:val="none"/>
                      <w:lang w:val="en-US" w:eastAsia="zh-CN" w:bidi="ar-SA"/>
                    </w:rPr>
                    <w:t>高度约9m，</w:t>
                  </w:r>
                  <w:r>
                    <w:rPr>
                      <w:rFonts w:hint="eastAsia" w:ascii="Times New Roman" w:hAnsi="Times New Roman" w:eastAsia="宋体" w:cs="Times New Roman"/>
                      <w:color w:val="auto"/>
                      <w:spacing w:val="0"/>
                      <w:kern w:val="0"/>
                      <w:sz w:val="21"/>
                      <w:szCs w:val="21"/>
                      <w:highlight w:val="none"/>
                      <w:lang w:val="en-US" w:eastAsia="zh-CN"/>
                    </w:rPr>
                    <w:t>配套等离子切割机、电动扳手等，进行废电机拆解</w:t>
                  </w:r>
                </w:p>
              </w:tc>
              <w:tc>
                <w:tcPr>
                  <w:tcW w:w="1193" w:type="pct"/>
                  <w:noWrap w:val="0"/>
                  <w:vAlign w:val="center"/>
                </w:tcPr>
                <w:p w14:paraId="14DA9EF3">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bidi="ar-SA"/>
                    </w:rPr>
                    <w:t>依托</w:t>
                  </w:r>
                  <w:r>
                    <w:rPr>
                      <w:rFonts w:hint="eastAsia" w:ascii="Times New Roman" w:hAnsi="Times New Roman" w:eastAsia="宋体" w:cs="Times New Roman"/>
                      <w:color w:val="auto"/>
                      <w:spacing w:val="0"/>
                      <w:kern w:val="0"/>
                      <w:sz w:val="21"/>
                      <w:szCs w:val="21"/>
                      <w:highlight w:val="none"/>
                      <w:lang w:val="en-US" w:eastAsia="zh-CN"/>
                    </w:rPr>
                    <w:t>现有厂房，新增设备，地面硬化并铺设地坪漆防渗</w:t>
                  </w:r>
                </w:p>
              </w:tc>
            </w:tr>
            <w:tr w14:paraId="546FC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466" w:type="pct"/>
                  <w:vMerge w:val="restart"/>
                  <w:noWrap w:val="0"/>
                  <w:vAlign w:val="center"/>
                </w:tcPr>
                <w:p w14:paraId="32B51170">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olor w:val="auto"/>
                      <w:lang w:eastAsia="zh-CN"/>
                    </w:rPr>
                  </w:pPr>
                  <w:r>
                    <w:rPr>
                      <w:rFonts w:hint="eastAsia" w:ascii="Times New Roman" w:hAnsi="Times New Roman"/>
                      <w:color w:val="auto"/>
                      <w:lang w:eastAsia="zh-CN"/>
                    </w:rPr>
                    <w:t>储运工程</w:t>
                  </w:r>
                </w:p>
              </w:tc>
              <w:tc>
                <w:tcPr>
                  <w:tcW w:w="707" w:type="pct"/>
                  <w:gridSpan w:val="2"/>
                  <w:noWrap w:val="0"/>
                  <w:vAlign w:val="center"/>
                </w:tcPr>
                <w:p w14:paraId="77B43228">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color w:val="auto"/>
                      <w:lang w:eastAsia="zh-CN"/>
                    </w:rPr>
                  </w:pPr>
                  <w:r>
                    <w:rPr>
                      <w:rFonts w:hint="eastAsia" w:ascii="Times New Roman" w:hAnsi="Times New Roman"/>
                      <w:color w:val="auto"/>
                      <w:lang w:eastAsia="zh-CN"/>
                    </w:rPr>
                    <w:t>大小车停车场</w:t>
                  </w:r>
                </w:p>
              </w:tc>
              <w:tc>
                <w:tcPr>
                  <w:tcW w:w="2633" w:type="pct"/>
                  <w:noWrap w:val="0"/>
                  <w:vAlign w:val="center"/>
                </w:tcPr>
                <w:p w14:paraId="12D445BD">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位于厂区西南侧，遮雨棚盖，非露天停放，其中大车停车场占地面积约1400m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，小车停车场占地面积约750m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，摩托车停车场占地面积约100m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，用于停放经检查后的未拆解机动车</w:t>
                  </w:r>
                </w:p>
              </w:tc>
              <w:tc>
                <w:tcPr>
                  <w:tcW w:w="1193" w:type="pct"/>
                  <w:noWrap w:val="0"/>
                  <w:vAlign w:val="center"/>
                </w:tcPr>
                <w:p w14:paraId="6598F0F9">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新建，地面硬化防渗</w:t>
                  </w:r>
                </w:p>
              </w:tc>
            </w:tr>
            <w:tr w14:paraId="5218B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466" w:type="pct"/>
                  <w:vMerge w:val="continue"/>
                  <w:noWrap w:val="0"/>
                  <w:vAlign w:val="center"/>
                </w:tcPr>
                <w:p w14:paraId="289572F6">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ascii="Times New Roman" w:hAnsi="Times New Roman"/>
                      <w:color w:val="auto"/>
                    </w:rPr>
                  </w:pPr>
                </w:p>
              </w:tc>
              <w:tc>
                <w:tcPr>
                  <w:tcW w:w="707" w:type="pct"/>
                  <w:gridSpan w:val="2"/>
                  <w:noWrap w:val="0"/>
                  <w:vAlign w:val="center"/>
                </w:tcPr>
                <w:p w14:paraId="59BF322F">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color w:val="auto"/>
                      <w:lang w:eastAsia="zh-CN"/>
                    </w:rPr>
                  </w:pPr>
                  <w:r>
                    <w:rPr>
                      <w:rFonts w:hint="eastAsia" w:ascii="Times New Roman" w:hAnsi="Times New Roman"/>
                      <w:color w:val="auto"/>
                      <w:lang w:eastAsia="zh-CN"/>
                    </w:rPr>
                    <w:t>新能源车停车区</w:t>
                  </w:r>
                </w:p>
              </w:tc>
              <w:tc>
                <w:tcPr>
                  <w:tcW w:w="2633" w:type="pct"/>
                  <w:noWrap w:val="0"/>
                  <w:vAlign w:val="center"/>
                </w:tcPr>
                <w:p w14:paraId="2902DC46">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位于厂区东南侧一号厂房内，建筑面积约360m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，用于停放经检查、预处理电池拆卸后的未拆解新能源汽车</w:t>
                  </w:r>
                </w:p>
              </w:tc>
              <w:tc>
                <w:tcPr>
                  <w:tcW w:w="1193" w:type="pct"/>
                  <w:noWrap w:val="0"/>
                  <w:vAlign w:val="center"/>
                </w:tcPr>
                <w:p w14:paraId="4AB8D6C6">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新建，地面硬化防渗</w:t>
                  </w:r>
                </w:p>
              </w:tc>
            </w:tr>
            <w:tr w14:paraId="3916A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66" w:type="pct"/>
                  <w:vMerge w:val="continue"/>
                  <w:noWrap w:val="0"/>
                  <w:vAlign w:val="center"/>
                </w:tcPr>
                <w:p w14:paraId="7A109D64">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ascii="Times New Roman" w:hAnsi="Times New Roman"/>
                      <w:color w:val="auto"/>
                    </w:rPr>
                  </w:pPr>
                </w:p>
              </w:tc>
              <w:tc>
                <w:tcPr>
                  <w:tcW w:w="707" w:type="pct"/>
                  <w:gridSpan w:val="2"/>
                  <w:noWrap w:val="0"/>
                  <w:vAlign w:val="center"/>
                </w:tcPr>
                <w:p w14:paraId="4F00A524">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color w:val="auto"/>
                      <w:lang w:eastAsia="zh-CN"/>
                    </w:rPr>
                  </w:pPr>
                  <w:r>
                    <w:rPr>
                      <w:rFonts w:hint="eastAsia" w:ascii="Times New Roman" w:hAnsi="Times New Roman"/>
                      <w:color w:val="auto"/>
                      <w:lang w:eastAsia="zh-CN"/>
                    </w:rPr>
                    <w:t>废电机暂存区</w:t>
                  </w:r>
                </w:p>
              </w:tc>
              <w:tc>
                <w:tcPr>
                  <w:tcW w:w="2633" w:type="pct"/>
                  <w:noWrap w:val="0"/>
                  <w:vAlign w:val="center"/>
                </w:tcPr>
                <w:p w14:paraId="0F1DA8DE">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位于厂区东北侧三号车间内，建筑面积约395m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，用于暂存未拆解的废电机</w:t>
                  </w:r>
                </w:p>
              </w:tc>
              <w:tc>
                <w:tcPr>
                  <w:tcW w:w="1193" w:type="pct"/>
                  <w:noWrap w:val="0"/>
                  <w:vAlign w:val="center"/>
                </w:tcPr>
                <w:p w14:paraId="15CD7D46">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新建，地面硬化防渗</w:t>
                  </w:r>
                </w:p>
              </w:tc>
            </w:tr>
            <w:tr w14:paraId="6CD2F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66" w:type="pct"/>
                  <w:vMerge w:val="continue"/>
                  <w:noWrap w:val="0"/>
                  <w:vAlign w:val="center"/>
                </w:tcPr>
                <w:p w14:paraId="395802D1">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ascii="Times New Roman" w:hAnsi="Times New Roman"/>
                      <w:color w:val="auto"/>
                    </w:rPr>
                  </w:pPr>
                </w:p>
              </w:tc>
              <w:tc>
                <w:tcPr>
                  <w:tcW w:w="707" w:type="pct"/>
                  <w:gridSpan w:val="2"/>
                  <w:noWrap w:val="0"/>
                  <w:vAlign w:val="center"/>
                </w:tcPr>
                <w:p w14:paraId="41D0AF25">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color w:val="auto"/>
                      <w:lang w:eastAsia="zh-CN"/>
                    </w:rPr>
                  </w:pPr>
                  <w:r>
                    <w:rPr>
                      <w:rFonts w:hint="eastAsia" w:ascii="Times New Roman" w:hAnsi="Times New Roman"/>
                      <w:color w:val="auto"/>
                      <w:lang w:eastAsia="zh-CN"/>
                    </w:rPr>
                    <w:t>废变压器暂存区</w:t>
                  </w:r>
                </w:p>
              </w:tc>
              <w:tc>
                <w:tcPr>
                  <w:tcW w:w="2633" w:type="pct"/>
                  <w:noWrap w:val="0"/>
                  <w:vAlign w:val="center"/>
                </w:tcPr>
                <w:p w14:paraId="700999CB">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位于厂区东北侧三号车间内，建筑面积约395m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，用于暂存未拆解的废变压器</w:t>
                  </w:r>
                </w:p>
              </w:tc>
              <w:tc>
                <w:tcPr>
                  <w:tcW w:w="1193" w:type="pct"/>
                  <w:noWrap w:val="0"/>
                  <w:vAlign w:val="center"/>
                </w:tcPr>
                <w:p w14:paraId="7D165A8B">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新建，按一般防渗要求，地面硬化防渗</w:t>
                  </w:r>
                </w:p>
              </w:tc>
            </w:tr>
            <w:tr w14:paraId="0F52E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466" w:type="pct"/>
                  <w:vMerge w:val="continue"/>
                  <w:noWrap w:val="0"/>
                  <w:vAlign w:val="center"/>
                </w:tcPr>
                <w:p w14:paraId="59B78AAF">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ascii="Times New Roman" w:hAnsi="Times New Roman"/>
                      <w:color w:val="auto"/>
                    </w:rPr>
                  </w:pPr>
                </w:p>
              </w:tc>
              <w:tc>
                <w:tcPr>
                  <w:tcW w:w="707" w:type="pct"/>
                  <w:gridSpan w:val="2"/>
                  <w:noWrap w:val="0"/>
                  <w:vAlign w:val="center"/>
                </w:tcPr>
                <w:p w14:paraId="16DCA488">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color w:val="auto"/>
                      <w:lang w:eastAsia="zh-CN"/>
                    </w:rPr>
                  </w:pPr>
                  <w:r>
                    <w:rPr>
                      <w:rFonts w:hint="eastAsia" w:ascii="Times New Roman" w:hAnsi="Times New Roman"/>
                      <w:color w:val="auto"/>
                      <w:lang w:eastAsia="zh-CN"/>
                    </w:rPr>
                    <w:t>仓库区</w:t>
                  </w:r>
                </w:p>
              </w:tc>
              <w:tc>
                <w:tcPr>
                  <w:tcW w:w="2633" w:type="pct"/>
                  <w:noWrap w:val="0"/>
                  <w:vAlign w:val="center"/>
                </w:tcPr>
                <w:p w14:paraId="5724298F">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位于厂区西侧，建筑面积约1600m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，分区存放拆解下的可利用物（有色金属、塑料、玻璃、橡胶、钢铁、可回用零部件等），作为产品待售。</w:t>
                  </w:r>
                </w:p>
              </w:tc>
              <w:tc>
                <w:tcPr>
                  <w:tcW w:w="1193" w:type="pct"/>
                  <w:noWrap w:val="0"/>
                  <w:vAlign w:val="center"/>
                </w:tcPr>
                <w:p w14:paraId="495D607E">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对现有厂房607.28m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扩建至1600m</w:t>
                  </w:r>
                  <w:r>
                    <w:rPr>
                      <w:rFonts w:hint="eastAsia" w:ascii="Times New Roman" w:hAnsi="Times New Roman" w:eastAsia="宋体" w:cs="Times New Roman"/>
                      <w:color w:val="auto"/>
                      <w:spacing w:val="0"/>
                      <w:kern w:val="0"/>
                      <w:sz w:val="21"/>
                      <w:szCs w:val="21"/>
                      <w:highlight w:val="none"/>
                      <w:vertAlign w:val="superscript"/>
                      <w:lang w:val="en-US" w:eastAsia="zh-CN"/>
                    </w:rPr>
                    <w:t>2</w:t>
                  </w:r>
                  <w:r>
                    <w:rPr>
                      <w:rFonts w:hint="eastAsia" w:ascii="Times New Roman" w:hAnsi="Times New Roman" w:eastAsia="宋体" w:cs="Times New Roman"/>
                      <w:color w:val="auto"/>
                      <w:spacing w:val="0"/>
                      <w:kern w:val="0"/>
                      <w:sz w:val="21"/>
                      <w:szCs w:val="21"/>
                      <w:highlight w:val="none"/>
                      <w:lang w:val="en-US" w:eastAsia="zh-CN"/>
                    </w:rPr>
                    <w:t>，按一般防渗要求，地面硬化防渗</w:t>
                  </w:r>
                </w:p>
              </w:tc>
            </w:tr>
            <w:tr w14:paraId="7C167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restart"/>
                  <w:noWrap w:val="0"/>
                  <w:vAlign w:val="center"/>
                </w:tcPr>
                <w:p w14:paraId="631BB8B7">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707" w:type="pct"/>
                  <w:gridSpan w:val="2"/>
                  <w:noWrap w:val="0"/>
                  <w:vAlign w:val="center"/>
                </w:tcPr>
                <w:p w14:paraId="72B8E3A7">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办公楼</w:t>
                  </w:r>
                </w:p>
              </w:tc>
              <w:tc>
                <w:tcPr>
                  <w:tcW w:w="2633" w:type="pct"/>
                  <w:noWrap w:val="0"/>
                  <w:vAlign w:val="center"/>
                </w:tcPr>
                <w:p w14:paraId="13BF8320">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Cs w:val="21"/>
                      <w:lang w:eastAsia="zh-CN"/>
                    </w:rPr>
                    <w:t>位于厂区西北</w:t>
                  </w:r>
                  <w:r>
                    <w:rPr>
                      <w:rFonts w:hint="eastAsia" w:ascii="Times New Roman" w:hAnsi="Times New Roman" w:eastAsia="宋体" w:cs="Times New Roman"/>
                      <w:color w:val="auto"/>
                      <w:sz w:val="21"/>
                      <w:szCs w:val="21"/>
                      <w:highlight w:val="none"/>
                      <w:lang w:val="en-US" w:eastAsia="zh-CN"/>
                    </w:rPr>
                    <w:t>侧，建筑面积约1736.29m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，用于人员办公</w:t>
                  </w:r>
                </w:p>
              </w:tc>
              <w:tc>
                <w:tcPr>
                  <w:tcW w:w="1193" w:type="pct"/>
                  <w:noWrap w:val="0"/>
                  <w:vAlign w:val="center"/>
                </w:tcPr>
                <w:p w14:paraId="240018B3">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bidi="ar-SA"/>
                    </w:rPr>
                    <w:t>依托</w:t>
                  </w:r>
                  <w:r>
                    <w:rPr>
                      <w:rFonts w:hint="eastAsia" w:ascii="Times New Roman" w:hAnsi="Times New Roman" w:eastAsia="宋体" w:cs="Times New Roman"/>
                      <w:color w:val="auto"/>
                      <w:sz w:val="21"/>
                      <w:szCs w:val="21"/>
                      <w:highlight w:val="none"/>
                      <w:lang w:val="en-US" w:eastAsia="zh-CN"/>
                    </w:rPr>
                    <w:t>现有厂房</w:t>
                  </w:r>
                </w:p>
              </w:tc>
            </w:tr>
            <w:tr w14:paraId="7E3E2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34F03C9F">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707" w:type="pct"/>
                  <w:gridSpan w:val="2"/>
                  <w:noWrap w:val="0"/>
                  <w:vAlign w:val="center"/>
                </w:tcPr>
                <w:p w14:paraId="62291A55">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综合楼</w:t>
                  </w:r>
                </w:p>
              </w:tc>
              <w:tc>
                <w:tcPr>
                  <w:tcW w:w="2633" w:type="pct"/>
                  <w:noWrap w:val="0"/>
                  <w:vAlign w:val="center"/>
                </w:tcPr>
                <w:p w14:paraId="47F859F2">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位于厂区西北侧，建筑面积约456.93m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，用于人员休闲生活</w:t>
                  </w:r>
                </w:p>
              </w:tc>
              <w:tc>
                <w:tcPr>
                  <w:tcW w:w="1193" w:type="pct"/>
                  <w:noWrap w:val="0"/>
                  <w:vAlign w:val="center"/>
                </w:tcPr>
                <w:p w14:paraId="5E318EEF">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bidi="ar-SA"/>
                    </w:rPr>
                    <w:t>依托</w:t>
                  </w:r>
                  <w:r>
                    <w:rPr>
                      <w:rFonts w:hint="eastAsia" w:ascii="Times New Roman" w:hAnsi="Times New Roman" w:eastAsia="宋体" w:cs="Times New Roman"/>
                      <w:color w:val="auto"/>
                      <w:sz w:val="21"/>
                      <w:szCs w:val="21"/>
                      <w:highlight w:val="none"/>
                      <w:lang w:val="en-US" w:eastAsia="zh-CN"/>
                    </w:rPr>
                    <w:t>现有厂房</w:t>
                  </w:r>
                </w:p>
              </w:tc>
            </w:tr>
            <w:tr w14:paraId="02591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vMerge w:val="restart"/>
                  <w:noWrap w:val="0"/>
                  <w:vAlign w:val="center"/>
                </w:tcPr>
                <w:p w14:paraId="5174C31A">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707" w:type="pct"/>
                  <w:gridSpan w:val="2"/>
                  <w:noWrap w:val="0"/>
                  <w:vAlign w:val="center"/>
                </w:tcPr>
                <w:p w14:paraId="128932DA">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2633" w:type="pct"/>
                  <w:noWrap w:val="0"/>
                  <w:vAlign w:val="center"/>
                </w:tcPr>
                <w:p w14:paraId="6D793AA8">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市政供水，依托厂区现有</w:t>
                  </w:r>
                  <w:r>
                    <w:rPr>
                      <w:rFonts w:hint="default" w:ascii="Times New Roman" w:hAnsi="Times New Roman" w:eastAsia="宋体" w:cs="Times New Roman"/>
                      <w:color w:val="auto"/>
                      <w:kern w:val="2"/>
                      <w:sz w:val="21"/>
                      <w:szCs w:val="21"/>
                      <w:highlight w:val="none"/>
                      <w:lang w:val="en-US" w:eastAsia="zh-CN" w:bidi="ar-SA"/>
                    </w:rPr>
                    <w:t>供水</w:t>
                  </w:r>
                  <w:r>
                    <w:rPr>
                      <w:rFonts w:hint="eastAsia" w:ascii="Times New Roman" w:hAnsi="Times New Roman" w:eastAsia="宋体" w:cs="Times New Roman"/>
                      <w:color w:val="auto"/>
                      <w:kern w:val="2"/>
                      <w:sz w:val="21"/>
                      <w:szCs w:val="21"/>
                      <w:highlight w:val="none"/>
                      <w:lang w:val="en-US" w:eastAsia="zh-CN" w:bidi="ar-SA"/>
                    </w:rPr>
                    <w:t>系统</w:t>
                  </w:r>
                </w:p>
              </w:tc>
              <w:tc>
                <w:tcPr>
                  <w:tcW w:w="1193" w:type="pct"/>
                  <w:noWrap w:val="0"/>
                  <w:vAlign w:val="center"/>
                </w:tcPr>
                <w:p w14:paraId="5309D871">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bidi="ar-SA"/>
                    </w:rPr>
                    <w:t>依托</w:t>
                  </w:r>
                  <w:r>
                    <w:rPr>
                      <w:rFonts w:hint="eastAsia" w:ascii="Times New Roman" w:hAnsi="Times New Roman" w:eastAsia="宋体" w:cs="Times New Roman"/>
                      <w:color w:val="auto"/>
                      <w:sz w:val="21"/>
                      <w:szCs w:val="21"/>
                      <w:highlight w:val="none"/>
                      <w:lang w:val="en-US" w:eastAsia="zh-CN"/>
                    </w:rPr>
                    <w:t>现有</w:t>
                  </w:r>
                </w:p>
              </w:tc>
            </w:tr>
            <w:tr w14:paraId="2B596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4ED3EDA3">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707" w:type="pct"/>
                  <w:gridSpan w:val="2"/>
                  <w:noWrap w:val="0"/>
                  <w:vAlign w:val="center"/>
                </w:tcPr>
                <w:p w14:paraId="0B6CB3F2">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排水</w:t>
                  </w:r>
                </w:p>
              </w:tc>
              <w:tc>
                <w:tcPr>
                  <w:tcW w:w="2633" w:type="pct"/>
                  <w:noWrap w:val="0"/>
                  <w:vAlign w:val="center"/>
                </w:tcPr>
                <w:p w14:paraId="4B38EA4E">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实行雨污分流</w:t>
                  </w:r>
                  <w:r>
                    <w:rPr>
                      <w:rFonts w:hint="eastAsia" w:ascii="Times New Roman" w:hAnsi="Times New Roman" w:eastAsia="宋体" w:cs="Times New Roman"/>
                      <w:color w:val="auto"/>
                      <w:sz w:val="21"/>
                      <w:szCs w:val="21"/>
                      <w:highlight w:val="none"/>
                      <w:lang w:eastAsia="zh-CN"/>
                    </w:rPr>
                    <w:t>，厂区地面全部硬化，厂房、</w:t>
                  </w:r>
                  <w:r>
                    <w:rPr>
                      <w:rFonts w:hint="eastAsia" w:ascii="Times New Roman" w:hAnsi="Times New Roman" w:eastAsia="宋体" w:cs="Times New Roman"/>
                      <w:color w:val="auto"/>
                      <w:sz w:val="21"/>
                      <w:szCs w:val="21"/>
                      <w:highlight w:val="none"/>
                      <w:lang w:val="en-US" w:eastAsia="zh-CN"/>
                    </w:rPr>
                    <w:t>遮雨棚</w:t>
                  </w:r>
                  <w:r>
                    <w:rPr>
                      <w:rFonts w:hint="eastAsia" w:ascii="Times New Roman" w:hAnsi="Times New Roman" w:eastAsia="宋体" w:cs="Times New Roman"/>
                      <w:color w:val="auto"/>
                      <w:sz w:val="21"/>
                      <w:szCs w:val="21"/>
                      <w:highlight w:val="none"/>
                      <w:lang w:eastAsia="zh-CN"/>
                    </w:rPr>
                    <w:t>配套</w:t>
                  </w:r>
                  <w:r>
                    <w:rPr>
                      <w:rFonts w:hint="eastAsia" w:ascii="Times New Roman" w:hAnsi="Times New Roman" w:eastAsia="宋体" w:cs="Times New Roman"/>
                      <w:color w:val="auto"/>
                      <w:sz w:val="21"/>
                      <w:szCs w:val="21"/>
                      <w:highlight w:val="none"/>
                      <w:lang w:val="en-US" w:eastAsia="zh-CN"/>
                    </w:rPr>
                    <w:t>设有独立雨水系统，屋棚面雨水、非作业区雨水直接通过雨水管排入市政雨水管网，与作业区地面雨水分流；作业区露天区域初期雨水、清洁废水经四周导流沟槽或清洗池管道收集排入收集池暂存后，进入新建废水处理设施（油水分离+混凝沉淀+过滤）处理，全部回用不外排。后期雨水通过阀门切换排入市政雨水管网；生活污水经厂区出租方已建化粪池预处理后，排入松下镇山前村污水管网，送往福州市长乐区松下镇山前村污水处理站集中处理</w:t>
                  </w:r>
                </w:p>
              </w:tc>
              <w:tc>
                <w:tcPr>
                  <w:tcW w:w="1193" w:type="pct"/>
                  <w:noWrap w:val="0"/>
                  <w:vAlign w:val="center"/>
                </w:tcPr>
                <w:p w14:paraId="1A8E4AA5">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依托现有排水系统，对新建厂房、遮雨棚设屋棚面独立雨水系统，新建废旧机动车停车场及作业区四周导流沟槽、收集池、油水分离器、混凝沉淀池、过滤装置及相关阀门、管道等。对废水收集处理相关设施采取防渗处理</w:t>
                  </w:r>
                </w:p>
              </w:tc>
            </w:tr>
            <w:tr w14:paraId="6E655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66" w:type="pct"/>
                  <w:vMerge w:val="continue"/>
                  <w:noWrap w:val="0"/>
                  <w:vAlign w:val="center"/>
                </w:tcPr>
                <w:p w14:paraId="4DA5D6F1">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707" w:type="pct"/>
                  <w:gridSpan w:val="2"/>
                  <w:noWrap w:val="0"/>
                  <w:vAlign w:val="center"/>
                </w:tcPr>
                <w:p w14:paraId="28793D9E">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2633" w:type="pct"/>
                  <w:noWrap w:val="0"/>
                  <w:vAlign w:val="center"/>
                </w:tcPr>
                <w:p w14:paraId="3D574A94">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市政供电，依托厂区现有</w:t>
                  </w:r>
                  <w:r>
                    <w:rPr>
                      <w:rFonts w:hint="default" w:ascii="Times New Roman" w:hAnsi="Times New Roman" w:eastAsia="宋体" w:cs="Times New Roman"/>
                      <w:color w:val="auto"/>
                      <w:kern w:val="2"/>
                      <w:sz w:val="21"/>
                      <w:szCs w:val="21"/>
                      <w:highlight w:val="none"/>
                      <w:lang w:val="en-US" w:eastAsia="zh-CN" w:bidi="ar-SA"/>
                    </w:rPr>
                    <w:t>供水</w:t>
                  </w:r>
                  <w:r>
                    <w:rPr>
                      <w:rFonts w:hint="eastAsia" w:ascii="Times New Roman" w:hAnsi="Times New Roman" w:eastAsia="宋体" w:cs="Times New Roman"/>
                      <w:color w:val="auto"/>
                      <w:kern w:val="2"/>
                      <w:sz w:val="21"/>
                      <w:szCs w:val="21"/>
                      <w:highlight w:val="none"/>
                      <w:lang w:val="en-US" w:eastAsia="zh-CN" w:bidi="ar-SA"/>
                    </w:rPr>
                    <w:t>系统</w:t>
                  </w:r>
                </w:p>
              </w:tc>
              <w:tc>
                <w:tcPr>
                  <w:tcW w:w="1193" w:type="pct"/>
                  <w:noWrap w:val="0"/>
                  <w:vAlign w:val="center"/>
                </w:tcPr>
                <w:p w14:paraId="6C0FC7C5">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依托现有</w:t>
                  </w:r>
                </w:p>
              </w:tc>
            </w:tr>
            <w:tr w14:paraId="75A25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466" w:type="pct"/>
                  <w:vMerge w:val="restart"/>
                  <w:noWrap w:val="0"/>
                  <w:vAlign w:val="center"/>
                </w:tcPr>
                <w:p w14:paraId="067DE52C">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267" w:type="pct"/>
                  <w:vMerge w:val="restart"/>
                  <w:noWrap w:val="0"/>
                  <w:vAlign w:val="center"/>
                </w:tcPr>
                <w:p w14:paraId="7D2C0281">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eastAsia="zh-CN"/>
                    </w:rPr>
                    <w:t>治理</w:t>
                  </w:r>
                </w:p>
              </w:tc>
              <w:tc>
                <w:tcPr>
                  <w:tcW w:w="439" w:type="pct"/>
                  <w:noWrap w:val="0"/>
                  <w:vAlign w:val="center"/>
                </w:tcPr>
                <w:p w14:paraId="7D3E5145">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生活污水</w:t>
                  </w:r>
                </w:p>
              </w:tc>
              <w:tc>
                <w:tcPr>
                  <w:tcW w:w="2633" w:type="pct"/>
                  <w:noWrap w:val="0"/>
                  <w:vAlign w:val="center"/>
                </w:tcPr>
                <w:p w14:paraId="183E1AB7">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生活污水</w:t>
                  </w:r>
                  <w:r>
                    <w:rPr>
                      <w:rFonts w:hint="eastAsia" w:ascii="Times New Roman" w:hAnsi="Times New Roman" w:eastAsia="宋体" w:cs="Times New Roman"/>
                      <w:color w:val="auto"/>
                      <w:sz w:val="21"/>
                      <w:szCs w:val="21"/>
                      <w:highlight w:val="none"/>
                      <w:lang w:val="en-US" w:eastAsia="zh-CN"/>
                    </w:rPr>
                    <w:t>依托厂区出租方已建</w:t>
                  </w:r>
                  <w:r>
                    <w:rPr>
                      <w:rFonts w:hint="default" w:ascii="Times New Roman" w:hAnsi="Times New Roman" w:eastAsia="宋体" w:cs="Times New Roman"/>
                      <w:color w:val="auto"/>
                      <w:sz w:val="21"/>
                      <w:szCs w:val="21"/>
                      <w:highlight w:val="none"/>
                      <w:lang w:eastAsia="zh-CN"/>
                    </w:rPr>
                    <w:t>化粪池预处理后</w:t>
                  </w:r>
                  <w:r>
                    <w:rPr>
                      <w:rFonts w:hint="eastAsia" w:ascii="Times New Roman" w:hAnsi="Times New Roman" w:eastAsia="宋体" w:cs="Times New Roman"/>
                      <w:color w:val="auto"/>
                      <w:sz w:val="21"/>
                      <w:szCs w:val="21"/>
                      <w:highlight w:val="none"/>
                      <w:lang w:val="en-US" w:eastAsia="zh-CN"/>
                    </w:rPr>
                    <w:t>排入松下镇山前村污水管网，送往福州市长乐区松下镇山前村污水处理站集中处理</w:t>
                  </w:r>
                </w:p>
              </w:tc>
              <w:tc>
                <w:tcPr>
                  <w:tcW w:w="1193" w:type="pct"/>
                  <w:noWrap w:val="0"/>
                  <w:vAlign w:val="center"/>
                </w:tcPr>
                <w:p w14:paraId="37FBDA0F">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依托现有</w:t>
                  </w:r>
                </w:p>
              </w:tc>
            </w:tr>
            <w:tr w14:paraId="1FECB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243FB74F">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267" w:type="pct"/>
                  <w:vMerge w:val="continue"/>
                  <w:noWrap w:val="0"/>
                  <w:vAlign w:val="center"/>
                </w:tcPr>
                <w:p w14:paraId="622E155A">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439" w:type="pct"/>
                  <w:noWrap w:val="0"/>
                  <w:vAlign w:val="center"/>
                </w:tcPr>
                <w:p w14:paraId="748FD14F">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作业区露天区域初期雨水、清洁废水</w:t>
                  </w:r>
                </w:p>
              </w:tc>
              <w:tc>
                <w:tcPr>
                  <w:tcW w:w="2633" w:type="pct"/>
                  <w:noWrap w:val="0"/>
                  <w:vAlign w:val="center"/>
                </w:tcPr>
                <w:p w14:paraId="030FD9FE">
                  <w:pPr>
                    <w:keepNext w:val="0"/>
                    <w:keepLines w:val="0"/>
                    <w:pageBreakBefore w:val="0"/>
                    <w:widowControl w:val="0"/>
                    <w:kinsoku/>
                    <w:wordWrap/>
                    <w:overflowPunct/>
                    <w:topLinePunct w:val="0"/>
                    <w:bidi w:val="0"/>
                    <w:adjustRightInd w:val="0"/>
                    <w:snapToGrid w:val="0"/>
                    <w:spacing w:line="340" w:lineRule="exact"/>
                    <w:ind w:left="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项目对厂区雨水、清洁废水按“清污分流、分流收集、分质处理”的原则设计。</w:t>
                  </w:r>
                </w:p>
                <w:p w14:paraId="551664EC">
                  <w:pPr>
                    <w:keepNext w:val="0"/>
                    <w:keepLines w:val="0"/>
                    <w:pageBreakBefore w:val="0"/>
                    <w:widowControl w:val="0"/>
                    <w:kinsoku/>
                    <w:wordWrap/>
                    <w:overflowPunct/>
                    <w:topLinePunct w:val="0"/>
                    <w:bidi w:val="0"/>
                    <w:adjustRightInd w:val="0"/>
                    <w:snapToGrid w:val="0"/>
                    <w:spacing w:line="340" w:lineRule="exact"/>
                    <w:ind w:left="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①在厂房外过道设置遮雨棚，雨棚边缘配套雨水收集槽将雨水引至相邻厂房屋面雨水收集排放系统，屋棚面雨水通过独立雨水管收集后引入厂区雨水管直接排入市政雨水管网，与地面污染雨水形成分流；</w:t>
                  </w:r>
                </w:p>
                <w:p w14:paraId="5C711C69">
                  <w:pPr>
                    <w:keepNext w:val="0"/>
                    <w:keepLines w:val="0"/>
                    <w:pageBreakBefore w:val="0"/>
                    <w:widowControl w:val="0"/>
                    <w:kinsoku/>
                    <w:wordWrap/>
                    <w:overflowPunct/>
                    <w:topLinePunct w:val="0"/>
                    <w:bidi w:val="0"/>
                    <w:adjustRightInd w:val="0"/>
                    <w:snapToGrid w:val="0"/>
                    <w:spacing w:line="340" w:lineRule="exact"/>
                    <w:ind w:left="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②废旧机动车停车场四周及厂区作业区四周依据地势设置导流沟槽，导流沟连通收集池（40m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拆解作业车间设置清洗池，清洗池管道连通收集池，经收集的废水、作业区露天区域初期雨水在收集池暂存后进入废水处理设施（油水分离+混凝沉淀+过滤）（35t/d）处理，出水全部回用于场地洒水清扫、停车区冲洗，不外排；15min后通过阀门切换将后期清洁雨水通过厂区雨水管排入市政雨水管网。</w:t>
                  </w:r>
                </w:p>
                <w:p w14:paraId="28780BB7">
                  <w:pPr>
                    <w:pStyle w:val="2"/>
                    <w:jc w:val="left"/>
                    <w:rPr>
                      <w:rFonts w:hint="default" w:ascii="Times New Roman" w:hAnsi="Times New Roman" w:eastAsia="宋体"/>
                      <w:color w:val="auto"/>
                      <w:lang w:val="en-US" w:eastAsia="zh-CN"/>
                    </w:rPr>
                  </w:pPr>
                  <w:r>
                    <w:rPr>
                      <w:rFonts w:hint="default" w:ascii="Times New Roman" w:hAnsi="Times New Roman" w:eastAsia="宋体" w:cs="Times New Roman"/>
                      <w:color w:val="auto"/>
                      <w:kern w:val="2"/>
                      <w:sz w:val="21"/>
                      <w:szCs w:val="21"/>
                      <w:highlight w:val="none"/>
                      <w:lang w:val="en-US" w:eastAsia="zh-CN" w:bidi="ar-SA"/>
                    </w:rPr>
                    <w:t>③</w:t>
                  </w:r>
                  <w:r>
                    <w:rPr>
                      <w:rFonts w:hint="eastAsia" w:ascii="Times New Roman" w:hAnsi="Times New Roman" w:eastAsia="宋体" w:cs="Times New Roman"/>
                      <w:color w:val="auto"/>
                      <w:kern w:val="2"/>
                      <w:sz w:val="21"/>
                      <w:szCs w:val="21"/>
                      <w:highlight w:val="none"/>
                      <w:lang w:val="en-US" w:eastAsia="zh-CN" w:bidi="ar-SA"/>
                    </w:rPr>
                    <w:t>回用水池容积不低于61.62m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，以保证回用水暂存需求。</w:t>
                  </w:r>
                </w:p>
              </w:tc>
              <w:tc>
                <w:tcPr>
                  <w:tcW w:w="1193" w:type="pct"/>
                  <w:noWrap w:val="0"/>
                  <w:vAlign w:val="center"/>
                </w:tcPr>
                <w:p w14:paraId="36D382D2">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对新建厂房、遮雨棚配套建设独立雨水收集系统，新建废旧机动车停车场及作业区四周导流沟槽、收集池、油水分离器、混凝沉淀池、过滤装置及相关阀门、管道。对废水收集处理相关设施及管道、阀门采取防渗漏处理</w:t>
                  </w:r>
                </w:p>
              </w:tc>
            </w:tr>
            <w:tr w14:paraId="1AABE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466" w:type="pct"/>
                  <w:vMerge w:val="continue"/>
                  <w:noWrap w:val="0"/>
                  <w:vAlign w:val="center"/>
                </w:tcPr>
                <w:p w14:paraId="22DE7038">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267" w:type="pct"/>
                  <w:vMerge w:val="restart"/>
                  <w:noWrap w:val="0"/>
                  <w:vAlign w:val="center"/>
                </w:tcPr>
                <w:p w14:paraId="2A9D0B79">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eastAsia="zh-CN"/>
                    </w:rPr>
                    <w:t>治理</w:t>
                  </w:r>
                </w:p>
              </w:tc>
              <w:tc>
                <w:tcPr>
                  <w:tcW w:w="439" w:type="pct"/>
                  <w:noWrap w:val="0"/>
                  <w:vAlign w:val="center"/>
                </w:tcPr>
                <w:p w14:paraId="2F7B5EF8">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预处理</w:t>
                  </w:r>
                  <w:r>
                    <w:rPr>
                      <w:rFonts w:hint="eastAsia" w:ascii="Times New Roman" w:hAnsi="Times New Roman" w:eastAsia="宋体" w:cs="Times New Roman"/>
                      <w:color w:val="auto"/>
                      <w:sz w:val="21"/>
                      <w:szCs w:val="21"/>
                      <w:highlight w:val="none"/>
                      <w:lang w:val="en-US" w:eastAsia="zh-CN"/>
                    </w:rPr>
                    <w:t>废液抽取</w:t>
                  </w:r>
                  <w:r>
                    <w:rPr>
                      <w:rFonts w:hint="eastAsia" w:ascii="Times New Roman" w:hAnsi="Times New Roman" w:eastAsia="宋体" w:cs="Times New Roman"/>
                      <w:color w:val="auto"/>
                      <w:sz w:val="21"/>
                      <w:szCs w:val="21"/>
                      <w:highlight w:val="none"/>
                      <w:lang w:eastAsia="zh-CN"/>
                    </w:rPr>
                    <w:t>废气</w:t>
                  </w:r>
                </w:p>
              </w:tc>
              <w:tc>
                <w:tcPr>
                  <w:tcW w:w="2633" w:type="pct"/>
                  <w:noWrap w:val="0"/>
                  <w:vAlign w:val="center"/>
                </w:tcPr>
                <w:p w14:paraId="050C8AD9">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宋体"/>
                      <w:color w:val="auto"/>
                      <w:lang w:val="en-US" w:eastAsia="zh-CN"/>
                    </w:rPr>
                    <w:t>预处理车间密闭，仅保留进出通道（加设软帘），废旧机动车废油液、废制冷剂分别采用专门抽取装置抽取排空，抽取后废液通过管道送至密闭废液收集容器分类储存，使用顶吸集气罩对作业点位进行废气收集，收集的废气引至1套“过滤棉+双级活性炭吸附装置”处理，尾气通过1根15m高排气筒DA001排放</w:t>
                  </w:r>
                </w:p>
              </w:tc>
              <w:tc>
                <w:tcPr>
                  <w:tcW w:w="1193" w:type="pct"/>
                  <w:noWrap w:val="0"/>
                  <w:vAlign w:val="center"/>
                </w:tcPr>
                <w:p w14:paraId="5DD326C6">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新建</w:t>
                  </w:r>
                </w:p>
              </w:tc>
            </w:tr>
            <w:tr w14:paraId="7B6E6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186F4FB4">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267" w:type="pct"/>
                  <w:vMerge w:val="continue"/>
                  <w:noWrap w:val="0"/>
                  <w:vAlign w:val="center"/>
                </w:tcPr>
                <w:p w14:paraId="5399202D">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439" w:type="pct"/>
                  <w:noWrap w:val="0"/>
                  <w:vAlign w:val="center"/>
                </w:tcPr>
                <w:p w14:paraId="5CDE2309">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宋体"/>
                      <w:color w:val="auto"/>
                      <w:lang w:val="en-US" w:eastAsia="zh-CN"/>
                    </w:rPr>
                    <w:t>废变压器油抽取废气</w:t>
                  </w:r>
                </w:p>
              </w:tc>
              <w:tc>
                <w:tcPr>
                  <w:tcW w:w="2633" w:type="pct"/>
                  <w:noWrap w:val="0"/>
                  <w:vAlign w:val="center"/>
                </w:tcPr>
                <w:p w14:paraId="13BAD8B5">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变压器拆解车间密闭，仅保留进出通道（加设软帘），变压器废油液采用专门抽取装置抽取排空，抽取后废液通过密闭管道送至密闭废液收集容器储存，使用顶吸集气罩对作业点位进行废气收集，收集的废气引至1套“过滤棉+双级活性炭吸附装置”处理，尾气通过1根15m高排气筒DA002排放</w:t>
                  </w:r>
                </w:p>
              </w:tc>
              <w:tc>
                <w:tcPr>
                  <w:tcW w:w="1193" w:type="pct"/>
                  <w:noWrap w:val="0"/>
                  <w:vAlign w:val="center"/>
                </w:tcPr>
                <w:p w14:paraId="386C5E13">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新建</w:t>
                  </w:r>
                </w:p>
              </w:tc>
            </w:tr>
            <w:tr w14:paraId="77AF3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1021CB0B">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267" w:type="pct"/>
                  <w:vMerge w:val="continue"/>
                  <w:noWrap w:val="0"/>
                  <w:vAlign w:val="center"/>
                </w:tcPr>
                <w:p w14:paraId="736F8F44">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439" w:type="pct"/>
                  <w:noWrap w:val="0"/>
                  <w:vAlign w:val="center"/>
                </w:tcPr>
                <w:p w14:paraId="2708B616">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切割粉尘</w:t>
                  </w:r>
                </w:p>
              </w:tc>
              <w:tc>
                <w:tcPr>
                  <w:tcW w:w="2633" w:type="pct"/>
                  <w:noWrap w:val="0"/>
                  <w:vAlign w:val="center"/>
                </w:tcPr>
                <w:p w14:paraId="0658DFDB">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切割产尘点配套移动式布袋除尘器，粉尘经收集处理后车间内无组织排放</w:t>
                  </w:r>
                </w:p>
              </w:tc>
              <w:tc>
                <w:tcPr>
                  <w:tcW w:w="1193" w:type="pct"/>
                  <w:noWrap w:val="0"/>
                  <w:vAlign w:val="center"/>
                </w:tcPr>
                <w:p w14:paraId="2688ADCC">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新建</w:t>
                  </w:r>
                </w:p>
              </w:tc>
            </w:tr>
            <w:tr w14:paraId="0CA88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7F2F7113">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267" w:type="pct"/>
                  <w:vMerge w:val="continue"/>
                  <w:noWrap w:val="0"/>
                  <w:vAlign w:val="center"/>
                </w:tcPr>
                <w:p w14:paraId="738915BF">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439" w:type="pct"/>
                  <w:noWrap w:val="0"/>
                  <w:vAlign w:val="center"/>
                </w:tcPr>
                <w:p w14:paraId="60620BC8">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剪切、打包</w:t>
                  </w:r>
                  <w:r>
                    <w:rPr>
                      <w:rFonts w:hint="eastAsia" w:ascii="Times New Roman" w:hAnsi="Times New Roman" w:eastAsia="宋体" w:cs="Times New Roman"/>
                      <w:color w:val="auto"/>
                      <w:sz w:val="21"/>
                      <w:szCs w:val="21"/>
                      <w:highlight w:val="none"/>
                      <w:lang w:val="en-US" w:eastAsia="zh-CN"/>
                    </w:rPr>
                    <w:t>粉尘</w:t>
                  </w:r>
                </w:p>
              </w:tc>
              <w:tc>
                <w:tcPr>
                  <w:tcW w:w="2633" w:type="pct"/>
                  <w:noWrap w:val="0"/>
                  <w:vAlign w:val="center"/>
                </w:tcPr>
                <w:p w14:paraId="38F73CFF">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粉尘车间内无组织排放</w:t>
                  </w:r>
                </w:p>
              </w:tc>
              <w:tc>
                <w:tcPr>
                  <w:tcW w:w="1193" w:type="pct"/>
                  <w:noWrap w:val="0"/>
                  <w:vAlign w:val="center"/>
                </w:tcPr>
                <w:p w14:paraId="3353A238">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新建</w:t>
                  </w:r>
                </w:p>
              </w:tc>
            </w:tr>
            <w:tr w14:paraId="3BE54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466" w:type="pct"/>
                  <w:vMerge w:val="continue"/>
                  <w:noWrap w:val="0"/>
                  <w:vAlign w:val="center"/>
                </w:tcPr>
                <w:p w14:paraId="331BFD41">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267" w:type="pct"/>
                  <w:vMerge w:val="continue"/>
                  <w:noWrap w:val="0"/>
                  <w:vAlign w:val="center"/>
                </w:tcPr>
                <w:p w14:paraId="724E1B08">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439" w:type="pct"/>
                  <w:noWrap w:val="0"/>
                  <w:vAlign w:val="center"/>
                </w:tcPr>
                <w:p w14:paraId="1A1A8D83">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宋体"/>
                      <w:color w:val="auto"/>
                      <w:lang w:val="en-US" w:eastAsia="zh-CN"/>
                    </w:rPr>
                    <w:t>安全气囊引爆粉尘</w:t>
                  </w:r>
                </w:p>
              </w:tc>
              <w:tc>
                <w:tcPr>
                  <w:tcW w:w="2633" w:type="pct"/>
                  <w:noWrap w:val="0"/>
                  <w:vAlign w:val="center"/>
                </w:tcPr>
                <w:p w14:paraId="0A51F76C">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安全气囊引爆在密闭引爆箱内进行，延迟开箱，剩余逸散粉尘在车间内无组织排放</w:t>
                  </w:r>
                </w:p>
              </w:tc>
              <w:tc>
                <w:tcPr>
                  <w:tcW w:w="1193" w:type="pct"/>
                  <w:noWrap w:val="0"/>
                  <w:vAlign w:val="center"/>
                </w:tcPr>
                <w:p w14:paraId="39ECCC56">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新建</w:t>
                  </w:r>
                </w:p>
              </w:tc>
            </w:tr>
            <w:tr w14:paraId="6D145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466" w:type="pct"/>
                  <w:vMerge w:val="continue"/>
                  <w:noWrap w:val="0"/>
                  <w:vAlign w:val="center"/>
                </w:tcPr>
                <w:p w14:paraId="6551D15F">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267" w:type="pct"/>
                  <w:vMerge w:val="continue"/>
                  <w:noWrap w:val="0"/>
                  <w:vAlign w:val="center"/>
                </w:tcPr>
                <w:p w14:paraId="7985EA33">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439" w:type="pct"/>
                  <w:noWrap w:val="0"/>
                  <w:vAlign w:val="center"/>
                </w:tcPr>
                <w:p w14:paraId="5E59F194">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危废暂存废气</w:t>
                  </w:r>
                </w:p>
              </w:tc>
              <w:tc>
                <w:tcPr>
                  <w:tcW w:w="2633" w:type="pct"/>
                  <w:noWrap w:val="0"/>
                  <w:vAlign w:val="center"/>
                </w:tcPr>
                <w:p w14:paraId="66F992CC">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危废间密闭，危险废物暂存废气采用集气管道收集后引至1套双级活性炭吸附装置处理，尾气通过1根15m高排气筒DA003排放</w:t>
                  </w:r>
                </w:p>
              </w:tc>
              <w:tc>
                <w:tcPr>
                  <w:tcW w:w="1193" w:type="pct"/>
                  <w:noWrap w:val="0"/>
                  <w:vAlign w:val="center"/>
                </w:tcPr>
                <w:p w14:paraId="3B1A3BC6">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新建</w:t>
                  </w:r>
                </w:p>
              </w:tc>
            </w:tr>
            <w:tr w14:paraId="72E31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386DC84A">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267" w:type="pct"/>
                  <w:vMerge w:val="restart"/>
                  <w:noWrap w:val="0"/>
                  <w:vAlign w:val="center"/>
                </w:tcPr>
                <w:p w14:paraId="268A0C35">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r>
                    <w:rPr>
                      <w:rFonts w:hint="default" w:ascii="Times New Roman" w:hAnsi="Times New Roman" w:eastAsia="宋体" w:cs="Times New Roman"/>
                      <w:color w:val="auto"/>
                      <w:sz w:val="21"/>
                      <w:szCs w:val="21"/>
                      <w:highlight w:val="none"/>
                      <w:lang w:eastAsia="zh-CN"/>
                    </w:rPr>
                    <w:t>处理处置</w:t>
                  </w:r>
                </w:p>
              </w:tc>
              <w:tc>
                <w:tcPr>
                  <w:tcW w:w="439" w:type="pct"/>
                  <w:noWrap w:val="0"/>
                  <w:vAlign w:val="center"/>
                </w:tcPr>
                <w:p w14:paraId="05B9C322">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一般</w:t>
                  </w:r>
                </w:p>
                <w:p w14:paraId="2DAC9BFC">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固废</w:t>
                  </w:r>
                </w:p>
              </w:tc>
              <w:tc>
                <w:tcPr>
                  <w:tcW w:w="2633" w:type="pct"/>
                  <w:noWrap w:val="0"/>
                  <w:vAlign w:val="center"/>
                </w:tcPr>
                <w:p w14:paraId="29B41497">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拟设置规范化的</w:t>
                  </w:r>
                  <w:r>
                    <w:rPr>
                      <w:rFonts w:hint="default" w:ascii="Times New Roman" w:hAnsi="Times New Roman" w:eastAsia="宋体" w:cs="Times New Roman"/>
                      <w:color w:val="auto"/>
                      <w:sz w:val="21"/>
                      <w:szCs w:val="21"/>
                      <w:highlight w:val="none"/>
                    </w:rPr>
                    <w:t>一般</w:t>
                  </w:r>
                  <w:r>
                    <w:rPr>
                      <w:rFonts w:hint="default" w:ascii="Times New Roman" w:hAnsi="Times New Roman" w:eastAsia="宋体" w:cs="Times New Roman"/>
                      <w:color w:val="auto"/>
                      <w:sz w:val="21"/>
                      <w:szCs w:val="21"/>
                      <w:highlight w:val="none"/>
                      <w:lang w:eastAsia="zh-CN"/>
                    </w:rPr>
                    <w:t>工业</w:t>
                  </w:r>
                  <w:r>
                    <w:rPr>
                      <w:rFonts w:hint="default" w:ascii="Times New Roman" w:hAnsi="Times New Roman" w:eastAsia="宋体" w:cs="Times New Roman"/>
                      <w:color w:val="auto"/>
                      <w:sz w:val="21"/>
                      <w:szCs w:val="21"/>
                      <w:highlight w:val="none"/>
                    </w:rPr>
                    <w:t>固体废物暂存</w:t>
                  </w:r>
                  <w:r>
                    <w:rPr>
                      <w:rFonts w:hint="eastAsia" w:ascii="Times New Roman" w:hAnsi="Times New Roman" w:eastAsia="宋体" w:cs="Times New Roman"/>
                      <w:color w:val="auto"/>
                      <w:sz w:val="21"/>
                      <w:szCs w:val="21"/>
                      <w:highlight w:val="none"/>
                      <w:lang w:eastAsia="zh-CN"/>
                    </w:rPr>
                    <w:t>间，位于厂区西侧，面积约</w:t>
                  </w:r>
                  <w:r>
                    <w:rPr>
                      <w:rFonts w:hint="eastAsia" w:ascii="Times New Roman" w:hAnsi="Times New Roman" w:eastAsia="宋体" w:cs="Times New Roman"/>
                      <w:color w:val="auto"/>
                      <w:sz w:val="21"/>
                      <w:szCs w:val="21"/>
                      <w:highlight w:val="none"/>
                      <w:lang w:val="en-US" w:eastAsia="zh-CN"/>
                    </w:rPr>
                    <w:t>200</w:t>
                  </w:r>
                  <w:r>
                    <w:rPr>
                      <w:rFonts w:hint="eastAsia" w:ascii="Times New Roman" w:hAnsi="Times New Roman" w:eastAsia="宋体" w:cs="Times New Roman"/>
                      <w:color w:val="auto"/>
                      <w:szCs w:val="21"/>
                      <w:lang w:eastAsia="zh-CN"/>
                    </w:rPr>
                    <w:t>m</w:t>
                  </w:r>
                  <w:r>
                    <w:rPr>
                      <w:rFonts w:hint="eastAsia" w:ascii="Times New Roman" w:hAnsi="Times New Roman" w:eastAsia="宋体" w:cs="Times New Roman"/>
                      <w:color w:val="auto"/>
                      <w:szCs w:val="21"/>
                      <w:vertAlign w:val="superscript"/>
                      <w:lang w:eastAsia="zh-CN"/>
                    </w:rPr>
                    <w:t>2</w:t>
                  </w:r>
                  <w:r>
                    <w:rPr>
                      <w:rFonts w:hint="default" w:ascii="Times New Roman" w:hAnsi="Times New Roman" w:eastAsia="宋体" w:cs="Times New Roman"/>
                      <w:color w:val="auto"/>
                      <w:sz w:val="21"/>
                      <w:szCs w:val="21"/>
                      <w:highlight w:val="none"/>
                      <w:lang w:eastAsia="zh-CN"/>
                    </w:rPr>
                    <w:t>，一般工业固废</w:t>
                  </w:r>
                  <w:r>
                    <w:rPr>
                      <w:rFonts w:hint="default" w:ascii="Times New Roman" w:hAnsi="Times New Roman" w:eastAsia="宋体" w:cs="Times New Roman"/>
                      <w:color w:val="auto"/>
                      <w:sz w:val="21"/>
                      <w:szCs w:val="21"/>
                      <w:highlight w:val="none"/>
                    </w:rPr>
                    <w:t>分类</w:t>
                  </w:r>
                  <w:r>
                    <w:rPr>
                      <w:rFonts w:hint="default" w:ascii="Times New Roman" w:hAnsi="Times New Roman" w:eastAsia="宋体" w:cs="Times New Roman"/>
                      <w:color w:val="auto"/>
                      <w:sz w:val="21"/>
                      <w:szCs w:val="21"/>
                      <w:highlight w:val="none"/>
                      <w:lang w:eastAsia="zh-CN"/>
                    </w:rPr>
                    <w:t>收</w:t>
                  </w:r>
                  <w:r>
                    <w:rPr>
                      <w:rFonts w:hint="default" w:ascii="Times New Roman" w:hAnsi="Times New Roman" w:eastAsia="宋体" w:cs="Times New Roman"/>
                      <w:color w:val="auto"/>
                      <w:sz w:val="21"/>
                      <w:szCs w:val="21"/>
                      <w:highlight w:val="none"/>
                    </w:rPr>
                    <w:t>集</w:t>
                  </w:r>
                  <w:r>
                    <w:rPr>
                      <w:rFonts w:hint="default" w:ascii="Times New Roman" w:hAnsi="Times New Roman" w:eastAsia="宋体" w:cs="Times New Roman"/>
                      <w:color w:val="auto"/>
                      <w:sz w:val="21"/>
                      <w:szCs w:val="21"/>
                      <w:highlight w:val="none"/>
                      <w:lang w:eastAsia="zh-CN"/>
                    </w:rPr>
                    <w:t>、暂存</w:t>
                  </w:r>
                  <w:r>
                    <w:rPr>
                      <w:rFonts w:hint="eastAsia" w:ascii="Times New Roman" w:hAnsi="Times New Roman" w:eastAsia="宋体" w:cs="Times New Roman"/>
                      <w:color w:val="auto"/>
                      <w:sz w:val="21"/>
                      <w:szCs w:val="21"/>
                      <w:highlight w:val="none"/>
                      <w:lang w:eastAsia="zh-CN"/>
                    </w:rPr>
                    <w:t>，不可利用其他材料（引爆的安全气囊、废玻璃、废皮革等）交由环卫部门统一清运</w:t>
                  </w:r>
                  <w:r>
                    <w:rPr>
                      <w:rFonts w:hint="eastAsia" w:ascii="Times New Roman" w:hAnsi="Times New Roman" w:eastAsia="宋体" w:cs="Times New Roman"/>
                      <w:color w:val="auto"/>
                      <w:sz w:val="21"/>
                      <w:szCs w:val="21"/>
                      <w:highlight w:val="none"/>
                      <w:lang w:val="en-US" w:eastAsia="zh-CN"/>
                    </w:rPr>
                    <w:t>处置</w:t>
                  </w:r>
                  <w:r>
                    <w:rPr>
                      <w:rFonts w:hint="eastAsia" w:ascii="Times New Roman" w:hAnsi="Times New Roman" w:eastAsia="宋体" w:cs="Times New Roman"/>
                      <w:color w:val="auto"/>
                      <w:sz w:val="21"/>
                      <w:szCs w:val="21"/>
                      <w:highlight w:val="none"/>
                      <w:lang w:eastAsia="zh-CN"/>
                    </w:rPr>
                    <w:t>，布袋收集尘及地面清扫尘、</w:t>
                  </w:r>
                  <w:r>
                    <w:rPr>
                      <w:rFonts w:hint="eastAsia" w:ascii="Times New Roman" w:hAnsi="Times New Roman" w:eastAsia="宋体" w:cs="Times New Roman"/>
                      <w:color w:val="auto"/>
                      <w:sz w:val="21"/>
                      <w:szCs w:val="21"/>
                      <w:highlight w:val="none"/>
                      <w:lang w:val="en-US" w:eastAsia="zh-CN"/>
                    </w:rPr>
                    <w:t>水处理废过滤材料、废液化气燃料罐</w:t>
                  </w:r>
                  <w:r>
                    <w:rPr>
                      <w:rFonts w:hint="eastAsia" w:ascii="Times New Roman" w:hAnsi="Times New Roman" w:eastAsia="宋体" w:cs="Times New Roman"/>
                      <w:color w:val="auto"/>
                      <w:sz w:val="21"/>
                      <w:szCs w:val="21"/>
                      <w:highlight w:val="none"/>
                      <w:lang w:eastAsia="zh-CN"/>
                    </w:rPr>
                    <w:t>委托合规处置单位</w:t>
                  </w:r>
                  <w:r>
                    <w:rPr>
                      <w:rFonts w:hint="eastAsia" w:ascii="Times New Roman" w:hAnsi="Times New Roman" w:eastAsia="宋体" w:cs="Times New Roman"/>
                      <w:color w:val="auto"/>
                      <w:sz w:val="21"/>
                      <w:szCs w:val="21"/>
                      <w:highlight w:val="none"/>
                      <w:lang w:val="en-US" w:eastAsia="zh-CN"/>
                    </w:rPr>
                    <w:t>利用</w:t>
                  </w:r>
                  <w:r>
                    <w:rPr>
                      <w:rFonts w:hint="eastAsia" w:ascii="Times New Roman" w:hAnsi="Times New Roman" w:eastAsia="宋体" w:cs="Times New Roman"/>
                      <w:color w:val="auto"/>
                      <w:sz w:val="21"/>
                      <w:szCs w:val="21"/>
                      <w:highlight w:val="none"/>
                      <w:lang w:eastAsia="zh-CN"/>
                    </w:rPr>
                    <w:t>处置</w:t>
                  </w:r>
                </w:p>
              </w:tc>
              <w:tc>
                <w:tcPr>
                  <w:tcW w:w="1193" w:type="pct"/>
                  <w:noWrap w:val="0"/>
                  <w:vAlign w:val="center"/>
                </w:tcPr>
                <w:p w14:paraId="50B6F38F">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新建，地面硬化防渗</w:t>
                  </w:r>
                </w:p>
              </w:tc>
            </w:tr>
            <w:tr w14:paraId="7C51A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466" w:type="pct"/>
                  <w:vMerge w:val="continue"/>
                  <w:noWrap w:val="0"/>
                  <w:vAlign w:val="center"/>
                </w:tcPr>
                <w:p w14:paraId="777C776C">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267" w:type="pct"/>
                  <w:vMerge w:val="continue"/>
                  <w:noWrap w:val="0"/>
                  <w:vAlign w:val="center"/>
                </w:tcPr>
                <w:p w14:paraId="58F65A9F">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439" w:type="pct"/>
                  <w:noWrap w:val="0"/>
                  <w:vAlign w:val="center"/>
                </w:tcPr>
                <w:p w14:paraId="24FB1308">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w:t>
                  </w:r>
                </w:p>
                <w:p w14:paraId="5F7674AD">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废物</w:t>
                  </w:r>
                </w:p>
              </w:tc>
              <w:tc>
                <w:tcPr>
                  <w:tcW w:w="2633" w:type="pct"/>
                  <w:noWrap w:val="0"/>
                  <w:vAlign w:val="center"/>
                </w:tcPr>
                <w:p w14:paraId="28967656">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eastAsia="zh-CN"/>
                    </w:rPr>
                    <w:t>拟设置规范化的</w:t>
                  </w:r>
                  <w:r>
                    <w:rPr>
                      <w:rFonts w:hint="default" w:ascii="Times New Roman" w:hAnsi="Times New Roman" w:eastAsia="宋体" w:cs="Times New Roman"/>
                      <w:color w:val="auto"/>
                      <w:sz w:val="21"/>
                      <w:szCs w:val="21"/>
                      <w:highlight w:val="none"/>
                    </w:rPr>
                    <w:t>危险废物</w:t>
                  </w:r>
                  <w:r>
                    <w:rPr>
                      <w:rFonts w:hint="default" w:ascii="Times New Roman" w:hAnsi="Times New Roman" w:eastAsia="宋体" w:cs="Times New Roman"/>
                      <w:color w:val="auto"/>
                      <w:sz w:val="21"/>
                      <w:szCs w:val="21"/>
                      <w:highlight w:val="none"/>
                      <w:lang w:eastAsia="zh-CN"/>
                    </w:rPr>
                    <w:t>暂存间</w:t>
                  </w:r>
                  <w:r>
                    <w:rPr>
                      <w:rFonts w:hint="eastAsia" w:ascii="Times New Roman" w:hAnsi="Times New Roman" w:eastAsia="宋体" w:cs="Times New Roman"/>
                      <w:color w:val="auto"/>
                      <w:sz w:val="21"/>
                      <w:szCs w:val="21"/>
                      <w:highlight w:val="none"/>
                      <w:lang w:eastAsia="zh-CN"/>
                    </w:rPr>
                    <w:t>，位于厂区西侧，建筑面积约</w:t>
                  </w:r>
                  <w:r>
                    <w:rPr>
                      <w:rFonts w:hint="eastAsia" w:ascii="Times New Roman" w:hAnsi="Times New Roman" w:eastAsia="宋体" w:cs="Times New Roman"/>
                      <w:color w:val="auto"/>
                      <w:sz w:val="21"/>
                      <w:szCs w:val="21"/>
                      <w:highlight w:val="none"/>
                      <w:lang w:val="en-US" w:eastAsia="zh-CN"/>
                    </w:rPr>
                    <w:t>200m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，对危险废物废铅酸蓄电池、废油液、废制冷剂等按特性进行分类分区暂存，定期委托有资质的单位统一清运处置。含油废抹布及手套混入生活垃圾，由环卫部门统一清运处置。</w:t>
                  </w:r>
                </w:p>
              </w:tc>
              <w:tc>
                <w:tcPr>
                  <w:tcW w:w="1193" w:type="pct"/>
                  <w:noWrap w:val="0"/>
                  <w:vAlign w:val="center"/>
                </w:tcPr>
                <w:p w14:paraId="3F18C373">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新建，</w:t>
                  </w:r>
                  <w:r>
                    <w:rPr>
                      <w:rFonts w:hint="eastAsia" w:ascii="Times New Roman" w:hAnsi="Times New Roman" w:eastAsia="宋体" w:cs="Times New Roman"/>
                      <w:color w:val="auto"/>
                      <w:spacing w:val="0"/>
                      <w:kern w:val="0"/>
                      <w:sz w:val="21"/>
                      <w:szCs w:val="21"/>
                      <w:highlight w:val="none"/>
                      <w:lang w:val="en-US" w:eastAsia="zh-CN"/>
                    </w:rPr>
                    <w:t>进行硬化并铺设地坪漆防渗，设置导流沟槽和集液坑，废铅酸蓄电池暂存分区地面设置耐酸隔离层，配套废气收集和净化装置</w:t>
                  </w:r>
                </w:p>
              </w:tc>
            </w:tr>
            <w:tr w14:paraId="694B4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731CB863">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267" w:type="pct"/>
                  <w:vMerge w:val="continue"/>
                  <w:noWrap w:val="0"/>
                  <w:vAlign w:val="center"/>
                </w:tcPr>
                <w:p w14:paraId="67CBF23A">
                  <w:pPr>
                    <w:pStyle w:val="33"/>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p>
              </w:tc>
              <w:tc>
                <w:tcPr>
                  <w:tcW w:w="439" w:type="pct"/>
                  <w:noWrap w:val="0"/>
                  <w:vAlign w:val="center"/>
                </w:tcPr>
                <w:p w14:paraId="7C0EB3A4">
                  <w:pPr>
                    <w:pStyle w:val="33"/>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废动力蓄电池</w:t>
                  </w:r>
                </w:p>
              </w:tc>
              <w:tc>
                <w:tcPr>
                  <w:tcW w:w="2633" w:type="pct"/>
                  <w:noWrap w:val="0"/>
                  <w:vAlign w:val="center"/>
                </w:tcPr>
                <w:p w14:paraId="607AA7C0">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拟设置规范化的动力蓄电池暂存间，位于厂区西侧，建筑面积约</w:t>
                  </w:r>
                  <w:r>
                    <w:rPr>
                      <w:rFonts w:hint="eastAsia" w:ascii="Times New Roman" w:hAnsi="Times New Roman" w:eastAsia="宋体" w:cs="Times New Roman"/>
                      <w:color w:val="auto"/>
                      <w:sz w:val="21"/>
                      <w:szCs w:val="21"/>
                      <w:highlight w:val="none"/>
                      <w:lang w:val="en-US" w:eastAsia="zh-CN"/>
                    </w:rPr>
                    <w:t>50m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，废动力蓄电池收集暂存后，定期交由回收服务网点处理</w:t>
                  </w:r>
                </w:p>
              </w:tc>
              <w:tc>
                <w:tcPr>
                  <w:tcW w:w="1193" w:type="pct"/>
                  <w:noWrap w:val="0"/>
                  <w:vAlign w:val="center"/>
                </w:tcPr>
                <w:p w14:paraId="36636F36">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default" w:ascii="Times New Roman" w:hAnsi="Times New Roman" w:eastAsia="宋体" w:cs="Times New Roman"/>
                      <w:color w:val="auto"/>
                      <w:spacing w:val="0"/>
                      <w:kern w:val="0"/>
                      <w:sz w:val="21"/>
                      <w:szCs w:val="21"/>
                      <w:highlight w:val="none"/>
                      <w:lang w:val="en-GB" w:eastAsia="zh-CN" w:bidi="ar-SA"/>
                    </w:rPr>
                  </w:pPr>
                  <w:r>
                    <w:rPr>
                      <w:rFonts w:hint="eastAsia" w:ascii="Times New Roman" w:hAnsi="Times New Roman" w:eastAsia="宋体" w:cs="Times New Roman"/>
                      <w:color w:val="auto"/>
                      <w:spacing w:val="0"/>
                      <w:kern w:val="0"/>
                      <w:sz w:val="21"/>
                      <w:szCs w:val="21"/>
                      <w:highlight w:val="none"/>
                      <w:lang w:val="en-GB" w:eastAsia="zh-CN" w:bidi="ar-SA"/>
                    </w:rPr>
                    <w:t>新建，地面硬化防渗，配套防腐防渗应急收集池</w:t>
                  </w:r>
                </w:p>
              </w:tc>
            </w:tr>
            <w:tr w14:paraId="27871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3938DBFB">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267" w:type="pct"/>
                  <w:vMerge w:val="continue"/>
                  <w:noWrap w:val="0"/>
                  <w:vAlign w:val="center"/>
                </w:tcPr>
                <w:p w14:paraId="6C784EB3">
                  <w:pPr>
                    <w:pStyle w:val="33"/>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p>
              </w:tc>
              <w:tc>
                <w:tcPr>
                  <w:tcW w:w="439" w:type="pct"/>
                  <w:noWrap w:val="0"/>
                  <w:vAlign w:val="center"/>
                </w:tcPr>
                <w:p w14:paraId="0DB92B88">
                  <w:pPr>
                    <w:pStyle w:val="33"/>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生活垃圾</w:t>
                  </w:r>
                </w:p>
              </w:tc>
              <w:tc>
                <w:tcPr>
                  <w:tcW w:w="2633" w:type="pct"/>
                  <w:noWrap w:val="0"/>
                  <w:vAlign w:val="center"/>
                </w:tcPr>
                <w:p w14:paraId="278859E4">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厂区内设置生活垃圾桶，分类收集后委托环卫部门每日清运处置</w:t>
                  </w:r>
                </w:p>
              </w:tc>
              <w:tc>
                <w:tcPr>
                  <w:tcW w:w="1193" w:type="pct"/>
                  <w:noWrap w:val="0"/>
                  <w:vAlign w:val="center"/>
                </w:tcPr>
                <w:p w14:paraId="45623107">
                  <w:pPr>
                    <w:keepNext w:val="0"/>
                    <w:keepLines w:val="0"/>
                    <w:pageBreakBefore w:val="0"/>
                    <w:widowControl w:val="0"/>
                    <w:kinsoku/>
                    <w:wordWrap/>
                    <w:overflowPunct/>
                    <w:topLinePunct w:val="0"/>
                    <w:autoSpaceDE w:val="0"/>
                    <w:autoSpaceDN w:val="0"/>
                    <w:bidi w:val="0"/>
                    <w:adjustRightInd w:val="0"/>
                    <w:snapToGrid w:val="0"/>
                    <w:spacing w:line="340" w:lineRule="exact"/>
                    <w:ind w:left="0"/>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bidi="ar-SA"/>
                    </w:rPr>
                    <w:t>新建</w:t>
                  </w:r>
                </w:p>
              </w:tc>
            </w:tr>
            <w:tr w14:paraId="1D415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573817FC">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707" w:type="pct"/>
                  <w:gridSpan w:val="2"/>
                  <w:noWrap w:val="0"/>
                  <w:vAlign w:val="center"/>
                </w:tcPr>
                <w:p w14:paraId="54F9621B">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eastAsia="zh-CN"/>
                    </w:rPr>
                    <w:t>控制</w:t>
                  </w:r>
                </w:p>
              </w:tc>
              <w:tc>
                <w:tcPr>
                  <w:tcW w:w="2633" w:type="pct"/>
                  <w:noWrap w:val="0"/>
                  <w:vAlign w:val="center"/>
                </w:tcPr>
                <w:p w14:paraId="58E3D76C">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w:t>
                  </w:r>
                  <w:r>
                    <w:rPr>
                      <w:rFonts w:hint="eastAsia" w:ascii="Times New Roman" w:hAnsi="Times New Roman" w:eastAsia="宋体" w:cs="Times New Roman"/>
                      <w:color w:val="auto"/>
                      <w:sz w:val="21"/>
                      <w:szCs w:val="21"/>
                      <w:highlight w:val="none"/>
                      <w:lang w:val="en-US" w:eastAsia="zh-CN"/>
                    </w:rPr>
                    <w:t>合理布局，</w:t>
                  </w:r>
                  <w:r>
                    <w:rPr>
                      <w:rFonts w:hint="default" w:ascii="Times New Roman" w:hAnsi="Times New Roman" w:eastAsia="宋体" w:cs="Times New Roman"/>
                      <w:color w:val="auto"/>
                      <w:sz w:val="21"/>
                      <w:szCs w:val="21"/>
                      <w:highlight w:val="none"/>
                    </w:rPr>
                    <w:t>加强设备的维护管理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对高噪声设备</w:t>
                  </w:r>
                  <w:r>
                    <w:rPr>
                      <w:rFonts w:hint="eastAsia" w:ascii="Times New Roman" w:hAnsi="Times New Roman" w:eastAsia="宋体" w:cs="Times New Roman"/>
                      <w:color w:val="auto"/>
                      <w:sz w:val="21"/>
                      <w:szCs w:val="21"/>
                      <w:highlight w:val="none"/>
                      <w:lang w:eastAsia="zh-CN"/>
                    </w:rPr>
                    <w:t>采取</w:t>
                  </w:r>
                  <w:r>
                    <w:rPr>
                      <w:rFonts w:hint="default" w:ascii="Times New Roman" w:hAnsi="Times New Roman" w:eastAsia="宋体" w:cs="Times New Roman"/>
                      <w:color w:val="auto"/>
                      <w:sz w:val="21"/>
                      <w:szCs w:val="21"/>
                      <w:highlight w:val="none"/>
                      <w:lang w:eastAsia="zh-CN"/>
                    </w:rPr>
                    <w:t>基础减振</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墙体</w:t>
                  </w:r>
                  <w:r>
                    <w:rPr>
                      <w:rFonts w:hint="default" w:ascii="Times New Roman" w:hAnsi="Times New Roman" w:eastAsia="宋体" w:cs="Times New Roman"/>
                      <w:color w:val="auto"/>
                      <w:sz w:val="21"/>
                      <w:szCs w:val="21"/>
                      <w:highlight w:val="none"/>
                    </w:rPr>
                    <w:t>隔声等</w:t>
                  </w:r>
                  <w:r>
                    <w:rPr>
                      <w:rFonts w:hint="default" w:ascii="Times New Roman" w:hAnsi="Times New Roman" w:eastAsia="宋体" w:cs="Times New Roman"/>
                      <w:color w:val="auto"/>
                      <w:sz w:val="21"/>
                      <w:szCs w:val="21"/>
                      <w:highlight w:val="none"/>
                      <w:lang w:eastAsia="zh-CN"/>
                    </w:rPr>
                    <w:t>综合</w:t>
                  </w:r>
                  <w:r>
                    <w:rPr>
                      <w:rFonts w:hint="default" w:ascii="Times New Roman" w:hAnsi="Times New Roman" w:eastAsia="宋体" w:cs="Times New Roman"/>
                      <w:color w:val="auto"/>
                      <w:sz w:val="21"/>
                      <w:szCs w:val="21"/>
                      <w:highlight w:val="none"/>
                    </w:rPr>
                    <w:t>降噪措施</w:t>
                  </w:r>
                </w:p>
              </w:tc>
              <w:tc>
                <w:tcPr>
                  <w:tcW w:w="1193" w:type="pct"/>
                  <w:noWrap w:val="0"/>
                  <w:vAlign w:val="center"/>
                </w:tcPr>
                <w:p w14:paraId="66B4B737">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新建</w:t>
                  </w:r>
                </w:p>
              </w:tc>
            </w:tr>
            <w:tr w14:paraId="65A8F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5A6E33C3">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707" w:type="pct"/>
                  <w:gridSpan w:val="2"/>
                  <w:noWrap w:val="0"/>
                  <w:vAlign w:val="center"/>
                </w:tcPr>
                <w:p w14:paraId="3A007A33">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土壤、地下水防治措施</w:t>
                  </w:r>
                </w:p>
              </w:tc>
              <w:tc>
                <w:tcPr>
                  <w:tcW w:w="2633" w:type="pct"/>
                  <w:noWrap w:val="0"/>
                  <w:vAlign w:val="center"/>
                </w:tcPr>
                <w:p w14:paraId="0156C2AB">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厂区全部硬化，</w:t>
                  </w:r>
                  <w:r>
                    <w:rPr>
                      <w:rFonts w:hint="default" w:ascii="Times New Roman" w:hAnsi="Times New Roman" w:eastAsia="宋体" w:cs="Times New Roman"/>
                      <w:color w:val="auto"/>
                      <w:sz w:val="21"/>
                      <w:szCs w:val="21"/>
                      <w:highlight w:val="none"/>
                    </w:rPr>
                    <w:t>分区防渗：</w:t>
                  </w:r>
                  <w:r>
                    <w:rPr>
                      <w:rFonts w:hint="eastAsia" w:ascii="Times New Roman" w:hAnsi="Times New Roman" w:eastAsia="宋体" w:cs="Times New Roman"/>
                      <w:color w:val="auto"/>
                      <w:sz w:val="21"/>
                      <w:szCs w:val="21"/>
                      <w:highlight w:val="none"/>
                      <w:lang w:eastAsia="zh-CN"/>
                    </w:rPr>
                    <w:t>危废暂存间、</w:t>
                  </w:r>
                  <w:r>
                    <w:rPr>
                      <w:rFonts w:hint="eastAsia" w:ascii="Times New Roman" w:hAnsi="Times New Roman" w:eastAsia="宋体" w:cs="Times New Roman"/>
                      <w:color w:val="auto"/>
                      <w:sz w:val="21"/>
                      <w:szCs w:val="21"/>
                      <w:highlight w:val="none"/>
                      <w:lang w:val="en-US" w:eastAsia="zh-CN"/>
                    </w:rPr>
                    <w:t>预处理车间、动力蓄电池拆卸车间、大小车拆解车间、废变压器拆解车间、废电机拆解车间</w:t>
                  </w:r>
                  <w:r>
                    <w:rPr>
                      <w:rFonts w:hint="default" w:ascii="Times New Roman" w:hAnsi="Times New Roman" w:eastAsia="宋体" w:cs="Times New Roman"/>
                      <w:color w:val="auto"/>
                      <w:sz w:val="21"/>
                      <w:szCs w:val="21"/>
                      <w:highlight w:val="none"/>
                    </w:rPr>
                    <w:t>以及</w:t>
                  </w:r>
                  <w:r>
                    <w:rPr>
                      <w:rFonts w:hint="eastAsia" w:ascii="Times New Roman" w:hAnsi="Times New Roman" w:eastAsia="宋体" w:cs="Times New Roman"/>
                      <w:color w:val="auto"/>
                      <w:sz w:val="21"/>
                      <w:szCs w:val="21"/>
                      <w:highlight w:val="none"/>
                      <w:lang w:val="en-US" w:eastAsia="zh-CN"/>
                    </w:rPr>
                    <w:t>收集池</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废水处理设施</w:t>
                  </w:r>
                  <w:r>
                    <w:rPr>
                      <w:rFonts w:hint="default" w:ascii="Times New Roman" w:hAnsi="Times New Roman" w:eastAsia="宋体" w:cs="Times New Roman"/>
                      <w:color w:val="auto"/>
                      <w:sz w:val="21"/>
                      <w:szCs w:val="21"/>
                      <w:highlight w:val="none"/>
                    </w:rPr>
                    <w:t>等设为重点污染防治区，防渗要求达到等效黏土防渗层 Mb≥6.0m，K≤1×10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r>
                    <w:rPr>
                      <w:rFonts w:hint="eastAsia" w:ascii="Times New Roman" w:hAnsi="Times New Roman" w:eastAsia="宋体" w:cs="Times New Roman"/>
                      <w:color w:val="auto"/>
                      <w:sz w:val="21"/>
                      <w:szCs w:val="21"/>
                      <w:highlight w:val="none"/>
                      <w:lang w:val="en-US" w:eastAsia="zh-CN"/>
                    </w:rPr>
                    <w:t>大小车停车场、新能源车停车区、仓库区、废电机暂存区、废变压器暂存区</w:t>
                  </w:r>
                  <w:r>
                    <w:rPr>
                      <w:rFonts w:hint="default" w:ascii="Times New Roman" w:hAnsi="Times New Roman" w:eastAsia="宋体" w:cs="Times New Roman"/>
                      <w:color w:val="auto"/>
                      <w:sz w:val="21"/>
                      <w:szCs w:val="21"/>
                      <w:highlight w:val="none"/>
                    </w:rPr>
                    <w:t>等为一般污染防治区，防渗要求达到等效黏土防渗层 Mb≥1.5m，K≤1×10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cm/s；其他区域地面一般硬化</w:t>
                  </w:r>
                </w:p>
              </w:tc>
              <w:tc>
                <w:tcPr>
                  <w:tcW w:w="1193" w:type="pct"/>
                  <w:noWrap w:val="0"/>
                  <w:vAlign w:val="center"/>
                </w:tcPr>
                <w:p w14:paraId="5D4D8D06">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新建</w:t>
                  </w:r>
                </w:p>
              </w:tc>
            </w:tr>
            <w:tr w14:paraId="7AA22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14:paraId="49085C09">
                  <w:pPr>
                    <w:keepNext w:val="0"/>
                    <w:keepLines w:val="0"/>
                    <w:pageBreakBefore w:val="0"/>
                    <w:widowControl w:val="0"/>
                    <w:kinsoku/>
                    <w:wordWrap/>
                    <w:overflowPunct/>
                    <w:topLinePunct w:val="0"/>
                    <w:bidi w:val="0"/>
                    <w:adjustRightInd w:val="0"/>
                    <w:snapToGrid w:val="0"/>
                    <w:spacing w:line="340" w:lineRule="exact"/>
                    <w:ind w:left="0"/>
                    <w:jc w:val="center"/>
                    <w:textAlignment w:val="auto"/>
                    <w:rPr>
                      <w:rFonts w:hint="default" w:ascii="Times New Roman" w:hAnsi="Times New Roman" w:eastAsia="宋体" w:cs="Times New Roman"/>
                      <w:color w:val="auto"/>
                      <w:sz w:val="21"/>
                      <w:szCs w:val="21"/>
                      <w:highlight w:val="none"/>
                    </w:rPr>
                  </w:pPr>
                </w:p>
              </w:tc>
              <w:tc>
                <w:tcPr>
                  <w:tcW w:w="707" w:type="pct"/>
                  <w:gridSpan w:val="2"/>
                  <w:noWrap w:val="0"/>
                  <w:vAlign w:val="center"/>
                </w:tcPr>
                <w:p w14:paraId="4FC85B4B">
                  <w:pPr>
                    <w:keepNext w:val="0"/>
                    <w:keepLines w:val="0"/>
                    <w:pageBreakBefore w:val="0"/>
                    <w:widowControl w:val="0"/>
                    <w:kinsoku w:val="0"/>
                    <w:wordWrap/>
                    <w:overflowPunct/>
                    <w:topLinePunct/>
                    <w:autoSpaceDE w:val="0"/>
                    <w:autoSpaceDN/>
                    <w:bidi w:val="0"/>
                    <w:adjustRightInd w:val="0"/>
                    <w:snapToGrid w:val="0"/>
                    <w:spacing w:line="3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0"/>
                      <w:position w:val="0"/>
                      <w:sz w:val="21"/>
                      <w:szCs w:val="21"/>
                      <w:highlight w:val="none"/>
                      <w:lang w:val="en-US" w:eastAsia="zh-CN"/>
                    </w:rPr>
                    <w:t>环境风险</w:t>
                  </w:r>
                </w:p>
              </w:tc>
              <w:tc>
                <w:tcPr>
                  <w:tcW w:w="2633" w:type="pct"/>
                  <w:noWrap w:val="0"/>
                  <w:vAlign w:val="center"/>
                </w:tcPr>
                <w:p w14:paraId="7D2F3542">
                  <w:pPr>
                    <w:keepNext w:val="0"/>
                    <w:keepLines w:val="0"/>
                    <w:pageBreakBefore w:val="0"/>
                    <w:widowControl w:val="0"/>
                    <w:tabs>
                      <w:tab w:val="left" w:pos="630"/>
                    </w:tabs>
                    <w:kinsoku w:val="0"/>
                    <w:wordWrap/>
                    <w:overflowPunct/>
                    <w:topLinePunct/>
                    <w:autoSpaceDE w:val="0"/>
                    <w:autoSpaceDN/>
                    <w:bidi w:val="0"/>
                    <w:adjustRightInd w:val="0"/>
                    <w:snapToGrid w:val="0"/>
                    <w:spacing w:line="3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position w:val="0"/>
                      <w:sz w:val="21"/>
                      <w:szCs w:val="21"/>
                      <w:highlight w:val="none"/>
                      <w:lang w:val="en-US" w:eastAsia="zh-CN"/>
                    </w:rPr>
                    <w:t>配备</w:t>
                  </w:r>
                  <w:r>
                    <w:rPr>
                      <w:rFonts w:hint="eastAsia" w:ascii="Times New Roman" w:hAnsi="Times New Roman" w:eastAsia="宋体" w:cs="Times New Roman"/>
                      <w:color w:val="auto"/>
                      <w:spacing w:val="0"/>
                      <w:position w:val="0"/>
                      <w:sz w:val="21"/>
                      <w:szCs w:val="21"/>
                      <w:highlight w:val="none"/>
                      <w:lang w:val="en-US" w:eastAsia="zh-CN"/>
                    </w:rPr>
                    <w:t>吸油毡、活性炭、干粉灭火器、电池专用灭火器等</w:t>
                  </w:r>
                  <w:r>
                    <w:rPr>
                      <w:rFonts w:hint="default" w:ascii="Times New Roman" w:hAnsi="Times New Roman" w:eastAsia="宋体" w:cs="Times New Roman"/>
                      <w:color w:val="auto"/>
                      <w:spacing w:val="0"/>
                      <w:position w:val="0"/>
                      <w:sz w:val="21"/>
                      <w:szCs w:val="21"/>
                      <w:highlight w:val="none"/>
                      <w:lang w:val="en-US" w:eastAsia="zh-CN"/>
                    </w:rPr>
                    <w:t>应急物资，编制突发环境事件应急预案</w:t>
                  </w:r>
                </w:p>
              </w:tc>
              <w:tc>
                <w:tcPr>
                  <w:tcW w:w="1193" w:type="pct"/>
                  <w:noWrap w:val="0"/>
                  <w:vAlign w:val="center"/>
                </w:tcPr>
                <w:p w14:paraId="64E11F8A">
                  <w:pPr>
                    <w:keepNext w:val="0"/>
                    <w:keepLines w:val="0"/>
                    <w:pageBreakBefore w:val="0"/>
                    <w:widowControl w:val="0"/>
                    <w:kinsoku w:val="0"/>
                    <w:wordWrap/>
                    <w:overflowPunct/>
                    <w:topLinePunct/>
                    <w:autoSpaceDE w:val="0"/>
                    <w:autoSpaceDN/>
                    <w:bidi w:val="0"/>
                    <w:adjustRightInd w:val="0"/>
                    <w:snapToGrid w:val="0"/>
                    <w:spacing w:line="3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bl>
          <w:p w14:paraId="0E2C0844">
            <w:pPr>
              <w:jc w:val="center"/>
              <w:rPr>
                <w:rFonts w:hint="default" w:ascii="Times New Roman" w:hAnsi="Times New Roman"/>
                <w:color w:val="auto"/>
                <w:vertAlign w:val="baseline"/>
              </w:rPr>
            </w:pPr>
          </w:p>
        </w:tc>
      </w:tr>
    </w:tbl>
    <w:p w14:paraId="74DD5DE0">
      <w:pPr>
        <w:rPr>
          <w:rFonts w:hint="default" w:ascii="Times New Roman" w:hAnsi="Times New Roman"/>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245"/>
      </w:tblGrid>
      <w:tr w14:paraId="1097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95" w:hRule="atLeast"/>
          <w:jc w:val="center"/>
        </w:trPr>
        <w:tc>
          <w:tcPr>
            <w:tcW w:w="680" w:type="dxa"/>
            <w:noWrap w:val="0"/>
            <w:vAlign w:val="top"/>
          </w:tcPr>
          <w:p w14:paraId="58E918A5">
            <w:pPr>
              <w:rPr>
                <w:rFonts w:hint="default" w:ascii="Times New Roman" w:hAnsi="Times New Roman"/>
                <w:color w:val="auto"/>
                <w:vertAlign w:val="baseline"/>
              </w:rPr>
            </w:pPr>
          </w:p>
        </w:tc>
        <w:tc>
          <w:tcPr>
            <w:tcW w:w="8245" w:type="dxa"/>
            <w:noWrap w:val="0"/>
            <w:vAlign w:val="top"/>
          </w:tcPr>
          <w:p w14:paraId="6E05CA7C">
            <w:pPr>
              <w:keepNext w:val="0"/>
              <w:keepLines w:val="0"/>
              <w:pageBreakBefore w:val="0"/>
              <w:widowControl w:val="0"/>
              <w:kinsoku/>
              <w:wordWrap/>
              <w:overflowPunct/>
              <w:topLinePunct w:val="0"/>
              <w:autoSpaceDE/>
              <w:autoSpaceDN/>
              <w:bidi w:val="0"/>
              <w:adjustRightInd/>
              <w:snapToGrid/>
              <w:spacing w:before="191" w:beforeLines="50" w:line="360" w:lineRule="auto"/>
              <w:textAlignment w:val="auto"/>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2.2.3 生产规模及产品方案</w:t>
            </w:r>
          </w:p>
          <w:p w14:paraId="35F9036E">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项目拆解规模具体见表2.2-2。</w:t>
            </w:r>
          </w:p>
          <w:p w14:paraId="2E7D1361">
            <w:pPr>
              <w:spacing w:before="120" w:beforeLines="5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eastAsia"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val="en-US" w:eastAsia="zh-CN"/>
              </w:rPr>
              <w:t>项目拆解规模一览表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788"/>
              <w:gridCol w:w="1510"/>
              <w:gridCol w:w="2254"/>
              <w:gridCol w:w="2369"/>
            </w:tblGrid>
            <w:tr w14:paraId="2E578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tcBorders>
                    <w:tl2br w:val="nil"/>
                    <w:tr2bl w:val="nil"/>
                  </w:tcBorders>
                  <w:noWrap w:val="0"/>
                  <w:vAlign w:val="center"/>
                </w:tcPr>
                <w:p w14:paraId="7F4D9FD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序号</w:t>
                  </w:r>
                </w:p>
              </w:tc>
              <w:tc>
                <w:tcPr>
                  <w:tcW w:w="2836" w:type="pct"/>
                  <w:gridSpan w:val="3"/>
                  <w:tcBorders>
                    <w:tl2br w:val="nil"/>
                    <w:tr2bl w:val="nil"/>
                  </w:tcBorders>
                  <w:noWrap w:val="0"/>
                  <w:vAlign w:val="center"/>
                </w:tcPr>
                <w:p w14:paraId="0A1ABD4C">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原辅材料名称</w:t>
                  </w:r>
                </w:p>
              </w:tc>
              <w:tc>
                <w:tcPr>
                  <w:tcW w:w="1474" w:type="pct"/>
                  <w:tcBorders>
                    <w:tl2br w:val="nil"/>
                    <w:tr2bl w:val="nil"/>
                  </w:tcBorders>
                  <w:noWrap w:val="0"/>
                  <w:vAlign w:val="center"/>
                </w:tcPr>
                <w:p w14:paraId="65549AAF">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年拆解规模</w:t>
                  </w:r>
                </w:p>
              </w:tc>
            </w:tr>
            <w:tr w14:paraId="2C52E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vMerge w:val="restart"/>
                  <w:tcBorders>
                    <w:tl2br w:val="nil"/>
                    <w:tr2bl w:val="nil"/>
                  </w:tcBorders>
                  <w:noWrap w:val="0"/>
                  <w:vAlign w:val="center"/>
                </w:tcPr>
                <w:p w14:paraId="5114339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w:t>
                  </w:r>
                </w:p>
              </w:tc>
              <w:tc>
                <w:tcPr>
                  <w:tcW w:w="491" w:type="pct"/>
                  <w:vMerge w:val="restart"/>
                  <w:tcBorders>
                    <w:tl2br w:val="nil"/>
                    <w:tr2bl w:val="nil"/>
                  </w:tcBorders>
                  <w:noWrap w:val="0"/>
                  <w:vAlign w:val="center"/>
                </w:tcPr>
                <w:p w14:paraId="2C1BFBEA">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报废机动车</w:t>
                  </w:r>
                </w:p>
              </w:tc>
              <w:tc>
                <w:tcPr>
                  <w:tcW w:w="941" w:type="pct"/>
                  <w:vMerge w:val="restart"/>
                  <w:tcBorders>
                    <w:tl2br w:val="nil"/>
                    <w:tr2bl w:val="nil"/>
                  </w:tcBorders>
                  <w:noWrap w:val="0"/>
                  <w:vAlign w:val="center"/>
                </w:tcPr>
                <w:p w14:paraId="5366FB37">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报废传统燃料机动车</w:t>
                  </w:r>
                </w:p>
              </w:tc>
              <w:tc>
                <w:tcPr>
                  <w:tcW w:w="1404" w:type="pct"/>
                  <w:tcBorders>
                    <w:tl2br w:val="nil"/>
                    <w:tr2bl w:val="nil"/>
                  </w:tcBorders>
                  <w:noWrap w:val="0"/>
                  <w:vAlign w:val="center"/>
                </w:tcPr>
                <w:p w14:paraId="2267FF06">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中大型汽车</w:t>
                  </w:r>
                </w:p>
              </w:tc>
              <w:tc>
                <w:tcPr>
                  <w:tcW w:w="1474" w:type="pct"/>
                  <w:tcBorders>
                    <w:tl2br w:val="nil"/>
                    <w:tr2bl w:val="nil"/>
                  </w:tcBorders>
                  <w:noWrap w:val="0"/>
                  <w:vAlign w:val="center"/>
                </w:tcPr>
                <w:p w14:paraId="10A300C5">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5000辆</w:t>
                  </w:r>
                </w:p>
              </w:tc>
            </w:tr>
            <w:tr w14:paraId="5C2E7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vMerge w:val="continue"/>
                  <w:tcBorders>
                    <w:tl2br w:val="nil"/>
                    <w:tr2bl w:val="nil"/>
                  </w:tcBorders>
                  <w:noWrap w:val="0"/>
                  <w:vAlign w:val="center"/>
                </w:tcPr>
                <w:p w14:paraId="358B3ABC">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491" w:type="pct"/>
                  <w:vMerge w:val="continue"/>
                  <w:tcBorders>
                    <w:tl2br w:val="nil"/>
                    <w:tr2bl w:val="nil"/>
                  </w:tcBorders>
                  <w:noWrap w:val="0"/>
                  <w:vAlign w:val="center"/>
                </w:tcPr>
                <w:p w14:paraId="349CEB8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941" w:type="pct"/>
                  <w:vMerge w:val="continue"/>
                  <w:tcBorders>
                    <w:tl2br w:val="nil"/>
                    <w:tr2bl w:val="nil"/>
                  </w:tcBorders>
                  <w:noWrap w:val="0"/>
                  <w:vAlign w:val="center"/>
                </w:tcPr>
                <w:p w14:paraId="5D2D07A9">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404" w:type="pct"/>
                  <w:tcBorders>
                    <w:tl2br w:val="nil"/>
                    <w:tr2bl w:val="nil"/>
                  </w:tcBorders>
                  <w:noWrap w:val="0"/>
                  <w:vAlign w:val="center"/>
                </w:tcPr>
                <w:p w14:paraId="0E8FCD0A">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小型汽车</w:t>
                  </w:r>
                </w:p>
              </w:tc>
              <w:tc>
                <w:tcPr>
                  <w:tcW w:w="1474" w:type="pct"/>
                  <w:tcBorders>
                    <w:tl2br w:val="nil"/>
                    <w:tr2bl w:val="nil"/>
                  </w:tcBorders>
                  <w:noWrap w:val="0"/>
                  <w:vAlign w:val="center"/>
                </w:tcPr>
                <w:p w14:paraId="37C6B28D">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10000辆</w:t>
                  </w:r>
                </w:p>
              </w:tc>
            </w:tr>
            <w:tr w14:paraId="7633C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vMerge w:val="continue"/>
                  <w:tcBorders>
                    <w:tl2br w:val="nil"/>
                    <w:tr2bl w:val="nil"/>
                  </w:tcBorders>
                  <w:noWrap w:val="0"/>
                  <w:vAlign w:val="center"/>
                </w:tcPr>
                <w:p w14:paraId="28C0BED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491" w:type="pct"/>
                  <w:vMerge w:val="continue"/>
                  <w:tcBorders>
                    <w:tl2br w:val="nil"/>
                    <w:tr2bl w:val="nil"/>
                  </w:tcBorders>
                  <w:noWrap w:val="0"/>
                  <w:vAlign w:val="center"/>
                </w:tcPr>
                <w:p w14:paraId="42B9EC3C">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941" w:type="pct"/>
                  <w:vMerge w:val="continue"/>
                  <w:tcBorders>
                    <w:tl2br w:val="nil"/>
                    <w:tr2bl w:val="nil"/>
                  </w:tcBorders>
                  <w:noWrap w:val="0"/>
                  <w:vAlign w:val="center"/>
                </w:tcPr>
                <w:p w14:paraId="44D3DDE5">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404" w:type="pct"/>
                  <w:tcBorders>
                    <w:tl2br w:val="nil"/>
                    <w:tr2bl w:val="nil"/>
                  </w:tcBorders>
                  <w:noWrap w:val="0"/>
                  <w:vAlign w:val="center"/>
                </w:tcPr>
                <w:p w14:paraId="01B1E29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二轮摩托车</w:t>
                  </w:r>
                </w:p>
              </w:tc>
              <w:tc>
                <w:tcPr>
                  <w:tcW w:w="1474" w:type="pct"/>
                  <w:tcBorders>
                    <w:tl2br w:val="nil"/>
                    <w:tr2bl w:val="nil"/>
                  </w:tcBorders>
                  <w:noWrap w:val="0"/>
                  <w:vAlign w:val="center"/>
                </w:tcPr>
                <w:p w14:paraId="45513A9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4000辆</w:t>
                  </w:r>
                </w:p>
              </w:tc>
            </w:tr>
            <w:tr w14:paraId="6D23B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vMerge w:val="continue"/>
                  <w:tcBorders>
                    <w:tl2br w:val="nil"/>
                    <w:tr2bl w:val="nil"/>
                  </w:tcBorders>
                  <w:noWrap w:val="0"/>
                  <w:vAlign w:val="center"/>
                </w:tcPr>
                <w:p w14:paraId="1844F47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491" w:type="pct"/>
                  <w:vMerge w:val="continue"/>
                  <w:tcBorders>
                    <w:tl2br w:val="nil"/>
                    <w:tr2bl w:val="nil"/>
                  </w:tcBorders>
                  <w:noWrap w:val="0"/>
                  <w:vAlign w:val="center"/>
                </w:tcPr>
                <w:p w14:paraId="6EA65515">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2345" w:type="pct"/>
                  <w:gridSpan w:val="2"/>
                  <w:tcBorders>
                    <w:tl2br w:val="nil"/>
                    <w:tr2bl w:val="nil"/>
                  </w:tcBorders>
                  <w:noWrap w:val="0"/>
                  <w:vAlign w:val="center"/>
                </w:tcPr>
                <w:p w14:paraId="1C3AC9D3">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新能源电动车</w:t>
                  </w:r>
                </w:p>
              </w:tc>
              <w:tc>
                <w:tcPr>
                  <w:tcW w:w="1474" w:type="pct"/>
                  <w:tcBorders>
                    <w:tl2br w:val="nil"/>
                    <w:tr2bl w:val="nil"/>
                  </w:tcBorders>
                  <w:noWrap w:val="0"/>
                  <w:vAlign w:val="center"/>
                </w:tcPr>
                <w:p w14:paraId="7F46029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1000辆</w:t>
                  </w:r>
                </w:p>
              </w:tc>
            </w:tr>
            <w:tr w14:paraId="40BB9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vMerge w:val="continue"/>
                  <w:tcBorders>
                    <w:tl2br w:val="nil"/>
                    <w:tr2bl w:val="nil"/>
                  </w:tcBorders>
                  <w:noWrap w:val="0"/>
                  <w:vAlign w:val="center"/>
                </w:tcPr>
                <w:p w14:paraId="6BC92D3D">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p>
              </w:tc>
              <w:tc>
                <w:tcPr>
                  <w:tcW w:w="491" w:type="pct"/>
                  <w:vMerge w:val="continue"/>
                  <w:tcBorders>
                    <w:tl2br w:val="nil"/>
                    <w:tr2bl w:val="nil"/>
                  </w:tcBorders>
                  <w:noWrap w:val="0"/>
                  <w:vAlign w:val="center"/>
                </w:tcPr>
                <w:p w14:paraId="1143B207">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2345" w:type="pct"/>
                  <w:gridSpan w:val="2"/>
                  <w:tcBorders>
                    <w:tl2br w:val="nil"/>
                    <w:tr2bl w:val="nil"/>
                  </w:tcBorders>
                  <w:noWrap w:val="0"/>
                  <w:vAlign w:val="center"/>
                </w:tcPr>
                <w:p w14:paraId="700E738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合计</w:t>
                  </w:r>
                </w:p>
              </w:tc>
              <w:tc>
                <w:tcPr>
                  <w:tcW w:w="1474" w:type="pct"/>
                  <w:tcBorders>
                    <w:tl2br w:val="nil"/>
                    <w:tr2bl w:val="nil"/>
                  </w:tcBorders>
                  <w:noWrap w:val="0"/>
                  <w:vAlign w:val="center"/>
                </w:tcPr>
                <w:p w14:paraId="60F2B1D3">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20000辆</w:t>
                  </w:r>
                </w:p>
              </w:tc>
            </w:tr>
            <w:tr w14:paraId="28975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tcBorders>
                    <w:tl2br w:val="nil"/>
                    <w:tr2bl w:val="nil"/>
                  </w:tcBorders>
                  <w:noWrap w:val="0"/>
                  <w:vAlign w:val="center"/>
                </w:tcPr>
                <w:p w14:paraId="3620B54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2</w:t>
                  </w:r>
                </w:p>
              </w:tc>
              <w:tc>
                <w:tcPr>
                  <w:tcW w:w="2836" w:type="pct"/>
                  <w:gridSpan w:val="3"/>
                  <w:tcBorders>
                    <w:tl2br w:val="nil"/>
                    <w:tr2bl w:val="nil"/>
                  </w:tcBorders>
                  <w:noWrap w:val="0"/>
                  <w:vAlign w:val="center"/>
                </w:tcPr>
                <w:p w14:paraId="3B82B660">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废电机</w:t>
                  </w:r>
                </w:p>
              </w:tc>
              <w:tc>
                <w:tcPr>
                  <w:tcW w:w="1474" w:type="pct"/>
                  <w:tcBorders>
                    <w:tl2br w:val="nil"/>
                    <w:tr2bl w:val="nil"/>
                  </w:tcBorders>
                  <w:noWrap w:val="0"/>
                  <w:vAlign w:val="center"/>
                </w:tcPr>
                <w:p w14:paraId="6B96DDD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10000t</w:t>
                  </w:r>
                </w:p>
              </w:tc>
            </w:tr>
            <w:tr w14:paraId="1E01A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pct"/>
                  <w:tcBorders>
                    <w:tl2br w:val="nil"/>
                    <w:tr2bl w:val="nil"/>
                  </w:tcBorders>
                  <w:noWrap w:val="0"/>
                  <w:vAlign w:val="center"/>
                </w:tcPr>
                <w:p w14:paraId="3E528030">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3</w:t>
                  </w:r>
                </w:p>
              </w:tc>
              <w:tc>
                <w:tcPr>
                  <w:tcW w:w="2836" w:type="pct"/>
                  <w:gridSpan w:val="3"/>
                  <w:tcBorders>
                    <w:tl2br w:val="nil"/>
                    <w:tr2bl w:val="nil"/>
                  </w:tcBorders>
                  <w:noWrap w:val="0"/>
                  <w:vAlign w:val="center"/>
                </w:tcPr>
                <w:p w14:paraId="38C65D43">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废变压器</w:t>
                  </w:r>
                </w:p>
              </w:tc>
              <w:tc>
                <w:tcPr>
                  <w:tcW w:w="1474" w:type="pct"/>
                  <w:tcBorders>
                    <w:tl2br w:val="nil"/>
                    <w:tr2bl w:val="nil"/>
                  </w:tcBorders>
                  <w:noWrap w:val="0"/>
                  <w:vAlign w:val="center"/>
                </w:tcPr>
                <w:p w14:paraId="5F5212D6">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10000t</w:t>
                  </w:r>
                </w:p>
              </w:tc>
            </w:tr>
            <w:tr w14:paraId="5C3D0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noWrap w:val="0"/>
                  <w:vAlign w:val="center"/>
                </w:tcPr>
                <w:p w14:paraId="5C9CCFE5">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both"/>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注：（1）项目严格进厂控制要求，不拆解运输危险化学品的车辆、油罐车等特种作业车辆；不拆解含多氯联苯变压器等特殊废电器产品，不拆解危险废物。</w:t>
                  </w:r>
                </w:p>
                <w:p w14:paraId="667BDA65">
                  <w:pPr>
                    <w:numPr>
                      <w:ilvl w:val="0"/>
                      <w:numId w:val="9"/>
                    </w:numPr>
                    <w:ind w:firstLine="420" w:firstLineChars="200"/>
                    <w:rPr>
                      <w:rFonts w:hint="eastAsia" w:ascii="Times New Roman" w:hAnsi="Times New Roman"/>
                      <w:color w:val="auto"/>
                      <w:lang w:val="en-US" w:eastAsia="zh-CN"/>
                    </w:rPr>
                  </w:pPr>
                  <w:r>
                    <w:rPr>
                      <w:rFonts w:hint="default" w:ascii="Times New Roman" w:hAnsi="Times New Roman"/>
                      <w:color w:val="auto"/>
                      <w:lang w:val="en-US" w:eastAsia="zh-CN"/>
                    </w:rPr>
                    <w:t>项目不进行进一步深度拆解（即不对拆解原料所得电路板、蓄电池等进一步</w:t>
                  </w:r>
                  <w:r>
                    <w:rPr>
                      <w:rFonts w:hint="eastAsia" w:ascii="Times New Roman" w:hAnsi="Times New Roman"/>
                      <w:color w:val="auto"/>
                      <w:lang w:val="en-US" w:eastAsia="zh-CN"/>
                    </w:rPr>
                    <w:t>拆解</w:t>
                  </w:r>
                  <w:r>
                    <w:rPr>
                      <w:rFonts w:hint="default" w:ascii="Times New Roman" w:hAnsi="Times New Roman"/>
                      <w:color w:val="auto"/>
                      <w:lang w:val="en-US" w:eastAsia="zh-CN"/>
                    </w:rPr>
                    <w:t>），不进行废电池、废油加工处理</w:t>
                  </w:r>
                  <w:r>
                    <w:rPr>
                      <w:rFonts w:hint="eastAsia" w:ascii="Times New Roman" w:hAnsi="Times New Roman"/>
                      <w:color w:val="auto"/>
                      <w:lang w:val="en-US" w:eastAsia="zh-CN"/>
                    </w:rPr>
                    <w:t>。</w:t>
                  </w:r>
                </w:p>
                <w:p w14:paraId="19381715">
                  <w:pPr>
                    <w:numPr>
                      <w:ilvl w:val="0"/>
                      <w:numId w:val="9"/>
                    </w:numPr>
                    <w:ind w:firstLine="420" w:firstLineChars="200"/>
                    <w:rPr>
                      <w:rFonts w:hint="default" w:ascii="Times New Roman" w:hAnsi="Times New Roman"/>
                      <w:color w:val="auto"/>
                      <w:lang w:val="en-US" w:eastAsia="zh-CN"/>
                    </w:rPr>
                  </w:pPr>
                  <w:r>
                    <w:rPr>
                      <w:rFonts w:hint="eastAsia" w:ascii="Times New Roman" w:hAnsi="Times New Roman"/>
                      <w:color w:val="auto"/>
                      <w:lang w:val="en-US" w:eastAsia="zh-CN"/>
                    </w:rPr>
                    <w:t>由于暂未发布2024年统计公报，因此根据《2023年福州市国民经济和社会发展统计公报》及相关可查询数据分析，福州市2023年机动车保有量约177.80万辆，其中新能源车保有约13.58万辆（占比约7.6%），按国际4%~5%的平均报废比例，年报废机动车量约为7.1~8.9万辆。根据《福州市2023年固体废物污染环境防治信息公告》2023年本市报废机动车回收量4.05万辆，因此仍有回收余量。根据《报废机动车回收拆解企业技术规范》（GB2218-2019）中表1及表2，福州属于Ⅲ档地区，地区内单个企业最低年拆解产能为1.5万辆（小型载客汽车），本项目设计废旧机动车年拆解规模为2万辆（含中大型汽车5000辆、小型汽车10000辆、新能源电动车1000辆（约占总拆解量的5%＜7.6%），二轮摩托车4000辆），可满足GB2218-2019中所在区域单个企业最低年拆解产能要求。</w:t>
                  </w:r>
                </w:p>
              </w:tc>
            </w:tr>
          </w:tbl>
          <w:p w14:paraId="1B56753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从事报废机动车、废机电、废变压器回收拆解，由于其行业特征，生产过程中产生大量的固体物质，其中大部分以目前的技术水平是可利用的，即作为产品，包括可利用的钢材、有色金属、塑料、橡胶、玻璃等，项目产品规模见表2.2-3，具体分析见下文“物料平衡”。建设单位应将产品出售给合规资质单位利用。</w:t>
            </w:r>
          </w:p>
          <w:p w14:paraId="1D09A12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eastAsia" w:ascii="Times New Roman" w:hAnsi="Times New Roman" w:eastAsia="黑体" w:cs="Times New Roman"/>
                <w:color w:val="auto"/>
                <w:sz w:val="24"/>
                <w:szCs w:val="24"/>
                <w:highlight w:val="none"/>
                <w:lang w:val="en-US" w:eastAsia="zh-CN"/>
              </w:rPr>
              <w:t>3 项目产品方案</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710"/>
              <w:gridCol w:w="1815"/>
              <w:gridCol w:w="3730"/>
            </w:tblGrid>
            <w:tr w14:paraId="7B09F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dxa"/>
                  <w:tcBorders>
                    <w:tl2br w:val="nil"/>
                    <w:tr2bl w:val="nil"/>
                  </w:tcBorders>
                  <w:noWrap w:val="0"/>
                  <w:vAlign w:val="center"/>
                </w:tcPr>
                <w:p w14:paraId="79038027">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序号</w:t>
                  </w:r>
                </w:p>
              </w:tc>
              <w:tc>
                <w:tcPr>
                  <w:tcW w:w="1710" w:type="dxa"/>
                  <w:tcBorders>
                    <w:tl2br w:val="nil"/>
                    <w:tr2bl w:val="nil"/>
                  </w:tcBorders>
                  <w:noWrap w:val="0"/>
                  <w:vAlign w:val="center"/>
                </w:tcPr>
                <w:p w14:paraId="6CB98A54">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产品名称</w:t>
                  </w:r>
                </w:p>
              </w:tc>
              <w:tc>
                <w:tcPr>
                  <w:tcW w:w="1815" w:type="dxa"/>
                  <w:tcBorders>
                    <w:tl2br w:val="nil"/>
                    <w:tr2bl w:val="nil"/>
                  </w:tcBorders>
                  <w:noWrap w:val="0"/>
                  <w:vAlign w:val="center"/>
                </w:tcPr>
                <w:p w14:paraId="4CAF47E1">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年产量（t/a）</w:t>
                  </w:r>
                </w:p>
              </w:tc>
              <w:tc>
                <w:tcPr>
                  <w:tcW w:w="3730" w:type="dxa"/>
                  <w:tcBorders>
                    <w:tl2br w:val="nil"/>
                    <w:tr2bl w:val="nil"/>
                  </w:tcBorders>
                  <w:noWrap w:val="0"/>
                  <w:vAlign w:val="center"/>
                </w:tcPr>
                <w:p w14:paraId="22E3634E">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b/>
                      <w:bCs/>
                      <w:color w:val="auto"/>
                      <w:sz w:val="21"/>
                      <w:szCs w:val="21"/>
                      <w:vertAlign w:val="baseline"/>
                      <w:lang w:val="en-US" w:eastAsia="zh-CN"/>
                    </w:rPr>
                    <w:t>来源的拆解原料</w:t>
                  </w:r>
                </w:p>
              </w:tc>
            </w:tr>
            <w:tr w14:paraId="64EE7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dxa"/>
                  <w:tcBorders>
                    <w:tl2br w:val="nil"/>
                    <w:tr2bl w:val="nil"/>
                  </w:tcBorders>
                  <w:noWrap w:val="0"/>
                  <w:vAlign w:val="center"/>
                </w:tcPr>
                <w:p w14:paraId="443543CF">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w:t>
                  </w:r>
                </w:p>
              </w:tc>
              <w:tc>
                <w:tcPr>
                  <w:tcW w:w="1710" w:type="dxa"/>
                  <w:tcBorders>
                    <w:tl2br w:val="nil"/>
                    <w:tr2bl w:val="nil"/>
                  </w:tcBorders>
                  <w:noWrap w:val="0"/>
                  <w:vAlign w:val="center"/>
                </w:tcPr>
                <w:p w14:paraId="547F9E6E">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废钢铁</w:t>
                  </w:r>
                </w:p>
              </w:tc>
              <w:tc>
                <w:tcPr>
                  <w:tcW w:w="1815" w:type="dxa"/>
                  <w:tcBorders>
                    <w:tl2br w:val="nil"/>
                    <w:tr2bl w:val="nil"/>
                  </w:tcBorders>
                  <w:noWrap w:val="0"/>
                  <w:vAlign w:val="center"/>
                </w:tcPr>
                <w:p w14:paraId="53DC2BFC">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51782.696</w:t>
                  </w:r>
                </w:p>
              </w:tc>
              <w:tc>
                <w:tcPr>
                  <w:tcW w:w="3730" w:type="dxa"/>
                  <w:tcBorders>
                    <w:tl2br w:val="nil"/>
                    <w:tr2bl w:val="nil"/>
                  </w:tcBorders>
                  <w:noWrap w:val="0"/>
                  <w:vAlign w:val="center"/>
                </w:tcPr>
                <w:p w14:paraId="0D8BA12E">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废旧机动车、废电机、废变压器</w:t>
                  </w:r>
                </w:p>
              </w:tc>
            </w:tr>
            <w:tr w14:paraId="0F975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dxa"/>
                  <w:tcBorders>
                    <w:tl2br w:val="nil"/>
                    <w:tr2bl w:val="nil"/>
                  </w:tcBorders>
                  <w:noWrap w:val="0"/>
                  <w:vAlign w:val="center"/>
                </w:tcPr>
                <w:p w14:paraId="4ED29EB4">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w:t>
                  </w:r>
                </w:p>
              </w:tc>
              <w:tc>
                <w:tcPr>
                  <w:tcW w:w="1710" w:type="dxa"/>
                  <w:tcBorders>
                    <w:tl2br w:val="nil"/>
                    <w:tr2bl w:val="nil"/>
                  </w:tcBorders>
                  <w:noWrap w:val="0"/>
                  <w:vAlign w:val="center"/>
                </w:tcPr>
                <w:p w14:paraId="6938BB5E">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有色金属</w:t>
                  </w:r>
                </w:p>
              </w:tc>
              <w:tc>
                <w:tcPr>
                  <w:tcW w:w="1815" w:type="dxa"/>
                  <w:tcBorders>
                    <w:tl2br w:val="nil"/>
                    <w:tr2bl w:val="nil"/>
                  </w:tcBorders>
                  <w:noWrap w:val="0"/>
                  <w:vAlign w:val="center"/>
                </w:tcPr>
                <w:p w14:paraId="4E5CD8B6">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13655</w:t>
                  </w:r>
                </w:p>
              </w:tc>
              <w:tc>
                <w:tcPr>
                  <w:tcW w:w="3730" w:type="dxa"/>
                  <w:tcBorders>
                    <w:tl2br w:val="nil"/>
                    <w:tr2bl w:val="nil"/>
                  </w:tcBorders>
                  <w:noWrap w:val="0"/>
                  <w:vAlign w:val="center"/>
                </w:tcPr>
                <w:p w14:paraId="215566BD">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废旧机动车、废电机、废变压器</w:t>
                  </w:r>
                </w:p>
              </w:tc>
            </w:tr>
            <w:tr w14:paraId="09C04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dxa"/>
                  <w:tcBorders>
                    <w:tl2br w:val="nil"/>
                    <w:tr2bl w:val="nil"/>
                  </w:tcBorders>
                  <w:noWrap w:val="0"/>
                  <w:vAlign w:val="center"/>
                </w:tcPr>
                <w:p w14:paraId="05C33B9A">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3</w:t>
                  </w:r>
                </w:p>
              </w:tc>
              <w:tc>
                <w:tcPr>
                  <w:tcW w:w="1710" w:type="dxa"/>
                  <w:tcBorders>
                    <w:tl2br w:val="nil"/>
                    <w:tr2bl w:val="nil"/>
                  </w:tcBorders>
                  <w:noWrap w:val="0"/>
                  <w:vAlign w:val="center"/>
                </w:tcPr>
                <w:p w14:paraId="3072D844">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塑料及橡胶</w:t>
                  </w:r>
                </w:p>
              </w:tc>
              <w:tc>
                <w:tcPr>
                  <w:tcW w:w="1815" w:type="dxa"/>
                  <w:tcBorders>
                    <w:tl2br w:val="nil"/>
                    <w:tr2bl w:val="nil"/>
                  </w:tcBorders>
                  <w:noWrap w:val="0"/>
                  <w:vAlign w:val="center"/>
                </w:tcPr>
                <w:p w14:paraId="4083C585">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3490</w:t>
                  </w:r>
                </w:p>
              </w:tc>
              <w:tc>
                <w:tcPr>
                  <w:tcW w:w="3730" w:type="dxa"/>
                  <w:tcBorders>
                    <w:tl2br w:val="nil"/>
                    <w:tr2bl w:val="nil"/>
                  </w:tcBorders>
                  <w:noWrap w:val="0"/>
                  <w:vAlign w:val="center"/>
                </w:tcPr>
                <w:p w14:paraId="114C6829">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废旧机动车、废电机</w:t>
                  </w:r>
                </w:p>
              </w:tc>
            </w:tr>
            <w:tr w14:paraId="7A0F9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dxa"/>
                  <w:tcBorders>
                    <w:tl2br w:val="nil"/>
                    <w:tr2bl w:val="nil"/>
                  </w:tcBorders>
                  <w:noWrap w:val="0"/>
                  <w:vAlign w:val="center"/>
                </w:tcPr>
                <w:p w14:paraId="6BFD03CE">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4</w:t>
                  </w:r>
                </w:p>
              </w:tc>
              <w:tc>
                <w:tcPr>
                  <w:tcW w:w="1710" w:type="dxa"/>
                  <w:tcBorders>
                    <w:tl2br w:val="nil"/>
                    <w:tr2bl w:val="nil"/>
                  </w:tcBorders>
                  <w:noWrap w:val="0"/>
                  <w:vAlign w:val="center"/>
                </w:tcPr>
                <w:p w14:paraId="2E057CBB">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玻璃</w:t>
                  </w:r>
                </w:p>
              </w:tc>
              <w:tc>
                <w:tcPr>
                  <w:tcW w:w="1815" w:type="dxa"/>
                  <w:tcBorders>
                    <w:tl2br w:val="nil"/>
                    <w:tr2bl w:val="nil"/>
                  </w:tcBorders>
                  <w:noWrap w:val="0"/>
                  <w:vAlign w:val="center"/>
                </w:tcPr>
                <w:p w14:paraId="3CD28939">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470</w:t>
                  </w:r>
                </w:p>
              </w:tc>
              <w:tc>
                <w:tcPr>
                  <w:tcW w:w="3730" w:type="dxa"/>
                  <w:tcBorders>
                    <w:tl2br w:val="nil"/>
                    <w:tr2bl w:val="nil"/>
                  </w:tcBorders>
                  <w:noWrap w:val="0"/>
                  <w:vAlign w:val="center"/>
                </w:tcPr>
                <w:p w14:paraId="0F92E768">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废旧机动车</w:t>
                  </w:r>
                </w:p>
              </w:tc>
            </w:tr>
            <w:tr w14:paraId="7070C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dxa"/>
                  <w:tcBorders>
                    <w:tl2br w:val="nil"/>
                    <w:tr2bl w:val="nil"/>
                  </w:tcBorders>
                  <w:noWrap w:val="0"/>
                  <w:vAlign w:val="center"/>
                </w:tcPr>
                <w:p w14:paraId="0325CB16">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5</w:t>
                  </w:r>
                </w:p>
              </w:tc>
              <w:tc>
                <w:tcPr>
                  <w:tcW w:w="1710" w:type="dxa"/>
                  <w:tcBorders>
                    <w:tl2br w:val="nil"/>
                    <w:tr2bl w:val="nil"/>
                  </w:tcBorders>
                  <w:noWrap w:val="0"/>
                  <w:vAlign w:val="center"/>
                </w:tcPr>
                <w:p w14:paraId="7E244294">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废电线电缆</w:t>
                  </w:r>
                </w:p>
              </w:tc>
              <w:tc>
                <w:tcPr>
                  <w:tcW w:w="1815" w:type="dxa"/>
                  <w:tcBorders>
                    <w:tl2br w:val="nil"/>
                    <w:tr2bl w:val="nil"/>
                  </w:tcBorders>
                  <w:noWrap w:val="0"/>
                  <w:vAlign w:val="center"/>
                </w:tcPr>
                <w:p w14:paraId="14239411">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262</w:t>
                  </w:r>
                </w:p>
              </w:tc>
              <w:tc>
                <w:tcPr>
                  <w:tcW w:w="3730" w:type="dxa"/>
                  <w:tcBorders>
                    <w:tl2br w:val="nil"/>
                    <w:tr2bl w:val="nil"/>
                  </w:tcBorders>
                  <w:noWrap w:val="0"/>
                  <w:vAlign w:val="center"/>
                </w:tcPr>
                <w:p w14:paraId="01BAE0BA">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废旧机动车</w:t>
                  </w:r>
                </w:p>
              </w:tc>
            </w:tr>
            <w:tr w14:paraId="2117C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dxa"/>
                  <w:tcBorders>
                    <w:tl2br w:val="nil"/>
                    <w:tr2bl w:val="nil"/>
                  </w:tcBorders>
                  <w:noWrap w:val="0"/>
                  <w:vAlign w:val="center"/>
                </w:tcPr>
                <w:p w14:paraId="7C0B0C9A">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6</w:t>
                  </w:r>
                </w:p>
              </w:tc>
              <w:tc>
                <w:tcPr>
                  <w:tcW w:w="1710" w:type="dxa"/>
                  <w:tcBorders>
                    <w:tl2br w:val="nil"/>
                    <w:tr2bl w:val="nil"/>
                  </w:tcBorders>
                  <w:noWrap w:val="0"/>
                  <w:vAlign w:val="center"/>
                </w:tcPr>
                <w:p w14:paraId="041C8E25">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废尼龙</w:t>
                  </w:r>
                </w:p>
              </w:tc>
              <w:tc>
                <w:tcPr>
                  <w:tcW w:w="1815" w:type="dxa"/>
                  <w:tcBorders>
                    <w:tl2br w:val="nil"/>
                    <w:tr2bl w:val="nil"/>
                  </w:tcBorders>
                  <w:noWrap w:val="0"/>
                  <w:vAlign w:val="center"/>
                </w:tcPr>
                <w:p w14:paraId="6B809366">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5360</w:t>
                  </w:r>
                </w:p>
              </w:tc>
              <w:tc>
                <w:tcPr>
                  <w:tcW w:w="3730" w:type="dxa"/>
                  <w:tcBorders>
                    <w:tl2br w:val="nil"/>
                    <w:tr2bl w:val="nil"/>
                  </w:tcBorders>
                  <w:noWrap w:val="0"/>
                  <w:vAlign w:val="center"/>
                </w:tcPr>
                <w:p w14:paraId="247F162F">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废旧机动车</w:t>
                  </w:r>
                </w:p>
              </w:tc>
            </w:tr>
            <w:tr w14:paraId="7EFFF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dxa"/>
                  <w:tcBorders>
                    <w:tl2br w:val="nil"/>
                    <w:tr2bl w:val="nil"/>
                  </w:tcBorders>
                  <w:noWrap w:val="0"/>
                  <w:vAlign w:val="center"/>
                </w:tcPr>
                <w:p w14:paraId="7383A0D6">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7</w:t>
                  </w:r>
                </w:p>
              </w:tc>
              <w:tc>
                <w:tcPr>
                  <w:tcW w:w="1710" w:type="dxa"/>
                  <w:tcBorders>
                    <w:tl2br w:val="nil"/>
                    <w:tr2bl w:val="nil"/>
                  </w:tcBorders>
                  <w:noWrap w:val="0"/>
                  <w:vAlign w:val="center"/>
                </w:tcPr>
                <w:p w14:paraId="2324909D">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可用零部件</w:t>
                  </w:r>
                </w:p>
              </w:tc>
              <w:tc>
                <w:tcPr>
                  <w:tcW w:w="1815" w:type="dxa"/>
                  <w:tcBorders>
                    <w:tl2br w:val="nil"/>
                    <w:tr2bl w:val="nil"/>
                  </w:tcBorders>
                  <w:noWrap w:val="0"/>
                  <w:vAlign w:val="center"/>
                </w:tcPr>
                <w:p w14:paraId="355498AC">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3488</w:t>
                  </w:r>
                </w:p>
              </w:tc>
              <w:tc>
                <w:tcPr>
                  <w:tcW w:w="3730" w:type="dxa"/>
                  <w:tcBorders>
                    <w:tl2br w:val="nil"/>
                    <w:tr2bl w:val="nil"/>
                  </w:tcBorders>
                  <w:noWrap w:val="0"/>
                  <w:vAlign w:val="center"/>
                </w:tcPr>
                <w:p w14:paraId="0DBE3C81">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废旧机动车、废电机、废变压器</w:t>
                  </w:r>
                </w:p>
              </w:tc>
            </w:tr>
            <w:tr w14:paraId="29413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dxa"/>
                  <w:tcBorders>
                    <w:tl2br w:val="nil"/>
                    <w:tr2bl w:val="nil"/>
                  </w:tcBorders>
                  <w:noWrap w:val="0"/>
                  <w:vAlign w:val="center"/>
                </w:tcPr>
                <w:p w14:paraId="4D78D4E5">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8</w:t>
                  </w:r>
                </w:p>
              </w:tc>
              <w:tc>
                <w:tcPr>
                  <w:tcW w:w="1710" w:type="dxa"/>
                  <w:tcBorders>
                    <w:tl2br w:val="nil"/>
                    <w:tr2bl w:val="nil"/>
                  </w:tcBorders>
                  <w:noWrap w:val="0"/>
                  <w:vAlign w:val="center"/>
                </w:tcPr>
                <w:p w14:paraId="5F6844EA">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废绝缘材料</w:t>
                  </w:r>
                </w:p>
              </w:tc>
              <w:tc>
                <w:tcPr>
                  <w:tcW w:w="1815" w:type="dxa"/>
                  <w:tcBorders>
                    <w:tl2br w:val="nil"/>
                    <w:tr2bl w:val="nil"/>
                  </w:tcBorders>
                  <w:noWrap w:val="0"/>
                  <w:vAlign w:val="center"/>
                </w:tcPr>
                <w:p w14:paraId="63B186A4">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103</w:t>
                  </w:r>
                </w:p>
              </w:tc>
              <w:tc>
                <w:tcPr>
                  <w:tcW w:w="3730" w:type="dxa"/>
                  <w:tcBorders>
                    <w:tl2br w:val="nil"/>
                    <w:tr2bl w:val="nil"/>
                  </w:tcBorders>
                  <w:noWrap w:val="0"/>
                  <w:vAlign w:val="center"/>
                </w:tcPr>
                <w:p w14:paraId="6D8A5EE1">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废电机、废变压器</w:t>
                  </w:r>
                </w:p>
              </w:tc>
            </w:tr>
            <w:tr w14:paraId="3B11B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dxa"/>
                  <w:tcBorders>
                    <w:tl2br w:val="nil"/>
                    <w:tr2bl w:val="nil"/>
                  </w:tcBorders>
                  <w:noWrap w:val="0"/>
                  <w:vAlign w:val="center"/>
                </w:tcPr>
                <w:p w14:paraId="1ECF9B81">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7</w:t>
                  </w:r>
                </w:p>
              </w:tc>
              <w:tc>
                <w:tcPr>
                  <w:tcW w:w="1710" w:type="dxa"/>
                  <w:tcBorders>
                    <w:tl2br w:val="nil"/>
                    <w:tr2bl w:val="nil"/>
                  </w:tcBorders>
                  <w:noWrap w:val="0"/>
                  <w:vAlign w:val="center"/>
                </w:tcPr>
                <w:p w14:paraId="792B6D00">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废电子零部件</w:t>
                  </w:r>
                </w:p>
              </w:tc>
              <w:tc>
                <w:tcPr>
                  <w:tcW w:w="1815" w:type="dxa"/>
                  <w:tcBorders>
                    <w:tl2br w:val="nil"/>
                    <w:tr2bl w:val="nil"/>
                  </w:tcBorders>
                  <w:noWrap w:val="0"/>
                  <w:vAlign w:val="center"/>
                </w:tcPr>
                <w:p w14:paraId="23D778DA">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62</w:t>
                  </w:r>
                </w:p>
              </w:tc>
              <w:tc>
                <w:tcPr>
                  <w:tcW w:w="3730" w:type="dxa"/>
                  <w:tcBorders>
                    <w:tl2br w:val="nil"/>
                    <w:tr2bl w:val="nil"/>
                  </w:tcBorders>
                  <w:noWrap w:val="0"/>
                  <w:vAlign w:val="center"/>
                </w:tcPr>
                <w:p w14:paraId="7749BC1D">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废旧机动车</w:t>
                  </w:r>
                </w:p>
              </w:tc>
            </w:tr>
            <w:tr w14:paraId="25315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9" w:type="dxa"/>
                  <w:gridSpan w:val="2"/>
                  <w:tcBorders>
                    <w:tl2br w:val="nil"/>
                    <w:tr2bl w:val="nil"/>
                  </w:tcBorders>
                  <w:noWrap w:val="0"/>
                  <w:vAlign w:val="center"/>
                </w:tcPr>
                <w:p w14:paraId="1C382069">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合计</w:t>
                  </w:r>
                </w:p>
              </w:tc>
              <w:tc>
                <w:tcPr>
                  <w:tcW w:w="1815" w:type="dxa"/>
                  <w:tcBorders>
                    <w:tl2br w:val="nil"/>
                    <w:tr2bl w:val="nil"/>
                  </w:tcBorders>
                  <w:noWrap w:val="0"/>
                  <w:vAlign w:val="center"/>
                </w:tcPr>
                <w:p w14:paraId="3AE1C87A">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78672.696</w:t>
                  </w:r>
                </w:p>
              </w:tc>
              <w:tc>
                <w:tcPr>
                  <w:tcW w:w="3730" w:type="dxa"/>
                  <w:tcBorders>
                    <w:tl2br w:val="nil"/>
                    <w:tr2bl w:val="nil"/>
                  </w:tcBorders>
                  <w:noWrap w:val="0"/>
                  <w:vAlign w:val="center"/>
                </w:tcPr>
                <w:p w14:paraId="0F3250F3">
                  <w:pPr>
                    <w:pStyle w:val="2"/>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default"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w:t>
                  </w:r>
                </w:p>
              </w:tc>
            </w:tr>
          </w:tbl>
          <w:p w14:paraId="2E5356FC">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kern w:val="0"/>
                <w:sz w:val="24"/>
                <w:u w:val="single"/>
                <w:lang w:val="en-US" w:eastAsia="zh-CN"/>
              </w:rPr>
            </w:pPr>
            <w:r>
              <w:rPr>
                <w:rFonts w:hint="eastAsia" w:ascii="Times New Roman" w:hAnsi="Times New Roman" w:eastAsia="宋体" w:cs="Times New Roman"/>
                <w:b/>
                <w:bCs/>
                <w:color w:val="auto"/>
                <w:kern w:val="0"/>
                <w:sz w:val="24"/>
                <w:u w:val="single"/>
                <w:lang w:val="en-US" w:eastAsia="zh-CN"/>
              </w:rPr>
              <w:t>生产能力与车辆储存能力匹配性分析：</w:t>
            </w:r>
          </w:p>
          <w:p w14:paraId="129A26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根据建设单位提供资料，项目拆解能力与储存能力匹配性如下：</w:t>
            </w:r>
          </w:p>
          <w:p w14:paraId="69C650E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eastAsia" w:ascii="Times New Roman" w:hAnsi="Times New Roman" w:eastAsia="黑体" w:cs="Times New Roman"/>
                <w:color w:val="auto"/>
                <w:sz w:val="24"/>
                <w:szCs w:val="24"/>
                <w:highlight w:val="none"/>
                <w:lang w:val="en-US" w:eastAsia="zh-CN"/>
              </w:rPr>
              <w:t>4</w:t>
            </w:r>
            <w:r>
              <w:rPr>
                <w:rFonts w:hint="default"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val="en-US" w:eastAsia="zh-CN"/>
              </w:rPr>
              <w:t>项目拆解能力与储存能力匹配性一览表</w:t>
            </w:r>
          </w:p>
          <w:tbl>
            <w:tblPr>
              <w:tblStyle w:val="21"/>
              <w:tblW w:w="496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150"/>
              <w:gridCol w:w="1892"/>
              <w:gridCol w:w="927"/>
              <w:gridCol w:w="1346"/>
              <w:gridCol w:w="1580"/>
            </w:tblGrid>
            <w:tr w14:paraId="4B9F2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tcBorders>
                    <w:tl2br w:val="nil"/>
                    <w:tr2bl w:val="nil"/>
                  </w:tcBorders>
                  <w:noWrap w:val="0"/>
                  <w:vAlign w:val="center"/>
                </w:tcPr>
                <w:p w14:paraId="0D86921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设计储存区</w:t>
                  </w:r>
                </w:p>
              </w:tc>
              <w:tc>
                <w:tcPr>
                  <w:tcW w:w="721" w:type="pct"/>
                  <w:tcBorders>
                    <w:tl2br w:val="nil"/>
                    <w:tr2bl w:val="nil"/>
                  </w:tcBorders>
                  <w:noWrap w:val="0"/>
                  <w:vAlign w:val="center"/>
                </w:tcPr>
                <w:p w14:paraId="0E7DCC4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设计储存区占地</w:t>
                  </w:r>
                </w:p>
                <w:p w14:paraId="57FB2B0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面积</w:t>
                  </w:r>
                </w:p>
              </w:tc>
              <w:tc>
                <w:tcPr>
                  <w:tcW w:w="1186" w:type="pct"/>
                  <w:tcBorders>
                    <w:tl2br w:val="nil"/>
                    <w:tr2bl w:val="nil"/>
                  </w:tcBorders>
                  <w:noWrap w:val="0"/>
                  <w:vAlign w:val="center"/>
                </w:tcPr>
                <w:p w14:paraId="6CEA8B3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类型及占地</w:t>
                  </w:r>
                </w:p>
              </w:tc>
              <w:tc>
                <w:tcPr>
                  <w:tcW w:w="581" w:type="pct"/>
                  <w:tcBorders>
                    <w:tl2br w:val="nil"/>
                    <w:tr2bl w:val="nil"/>
                  </w:tcBorders>
                  <w:noWrap w:val="0"/>
                  <w:vAlign w:val="center"/>
                </w:tcPr>
                <w:p w14:paraId="4DA6A4C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单日设计拆解量</w:t>
                  </w:r>
                </w:p>
              </w:tc>
              <w:tc>
                <w:tcPr>
                  <w:tcW w:w="843" w:type="pct"/>
                  <w:tcBorders>
                    <w:tl2br w:val="nil"/>
                    <w:tr2bl w:val="nil"/>
                  </w:tcBorders>
                  <w:noWrap w:val="0"/>
                  <w:vAlign w:val="center"/>
                </w:tcPr>
                <w:p w14:paraId="38F734DD">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单日设计拆解量所需单层堆放面积</w:t>
                  </w:r>
                </w:p>
              </w:tc>
              <w:tc>
                <w:tcPr>
                  <w:tcW w:w="990" w:type="pct"/>
                  <w:tcBorders>
                    <w:tl2br w:val="nil"/>
                    <w:tr2bl w:val="nil"/>
                  </w:tcBorders>
                  <w:noWrap w:val="0"/>
                  <w:vAlign w:val="center"/>
                </w:tcPr>
                <w:p w14:paraId="0BE11593">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储存周期</w:t>
                  </w:r>
                </w:p>
              </w:tc>
            </w:tr>
            <w:tr w14:paraId="10B0C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tcBorders>
                    <w:tl2br w:val="nil"/>
                    <w:tr2bl w:val="nil"/>
                  </w:tcBorders>
                  <w:noWrap w:val="0"/>
                  <w:vAlign w:val="center"/>
                </w:tcPr>
                <w:p w14:paraId="41CB02FC">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大车</w:t>
                  </w:r>
                </w:p>
                <w:p w14:paraId="1C2A3CCA">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停车场</w:t>
                  </w:r>
                </w:p>
              </w:tc>
              <w:tc>
                <w:tcPr>
                  <w:tcW w:w="721" w:type="pct"/>
                  <w:tcBorders>
                    <w:tl2br w:val="nil"/>
                    <w:tr2bl w:val="nil"/>
                  </w:tcBorders>
                  <w:noWrap w:val="0"/>
                  <w:vAlign w:val="center"/>
                </w:tcPr>
                <w:p w14:paraId="77A6FB88">
                  <w:pPr>
                    <w:keepNext w:val="0"/>
                    <w:keepLines w:val="0"/>
                    <w:pageBreakBefore w:val="0"/>
                    <w:widowControl w:val="0"/>
                    <w:kinsoku/>
                    <w:wordWrap/>
                    <w:overflowPunct/>
                    <w:topLinePunct w:val="0"/>
                    <w:bidi w:val="0"/>
                    <w:spacing w:line="340" w:lineRule="exact"/>
                    <w:jc w:val="center"/>
                    <w:rPr>
                      <w:rFonts w:hint="default" w:ascii="Times New Roman" w:hAnsi="Times New Roman"/>
                      <w:color w:val="auto"/>
                      <w:lang w:val="en-US" w:eastAsia="zh-CN"/>
                    </w:rPr>
                  </w:pPr>
                  <w:r>
                    <w:rPr>
                      <w:rFonts w:hint="eastAsia" w:ascii="Times New Roman" w:hAnsi="Times New Roman"/>
                      <w:color w:val="auto"/>
                      <w:lang w:val="en-US" w:eastAsia="zh-CN"/>
                    </w:rPr>
                    <w:t>1400</w:t>
                  </w:r>
                  <w:r>
                    <w:rPr>
                      <w:rFonts w:hint="eastAsia" w:ascii="Times New Roman" w:hAnsi="Times New Roman" w:eastAsia="宋体" w:cs="Times New Roman"/>
                      <w:bCs/>
                      <w:color w:val="auto"/>
                      <w:kern w:val="0"/>
                      <w:sz w:val="21"/>
                      <w:szCs w:val="21"/>
                      <w:highlight w:val="none"/>
                      <w:lang w:val="en-US" w:eastAsia="zh-CN" w:bidi="ar-SA"/>
                    </w:rPr>
                    <w:t>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1186" w:type="pct"/>
                  <w:tcBorders>
                    <w:tl2br w:val="nil"/>
                    <w:tr2bl w:val="nil"/>
                  </w:tcBorders>
                  <w:noWrap w:val="0"/>
                  <w:vAlign w:val="center"/>
                </w:tcPr>
                <w:p w14:paraId="7664FDB7">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客货车（平均占</w:t>
                  </w:r>
                </w:p>
                <w:p w14:paraId="1294458C">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地长10m，宽3m）</w:t>
                  </w:r>
                </w:p>
              </w:tc>
              <w:tc>
                <w:tcPr>
                  <w:tcW w:w="581" w:type="pct"/>
                  <w:tcBorders>
                    <w:tl2br w:val="nil"/>
                    <w:tr2bl w:val="nil"/>
                  </w:tcBorders>
                  <w:noWrap w:val="0"/>
                  <w:vAlign w:val="center"/>
                </w:tcPr>
                <w:p w14:paraId="27C6845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17辆</w:t>
                  </w:r>
                </w:p>
              </w:tc>
              <w:tc>
                <w:tcPr>
                  <w:tcW w:w="843" w:type="pct"/>
                  <w:tcBorders>
                    <w:tl2br w:val="nil"/>
                    <w:tr2bl w:val="nil"/>
                  </w:tcBorders>
                  <w:noWrap w:val="0"/>
                  <w:vAlign w:val="center"/>
                </w:tcPr>
                <w:p w14:paraId="6BEC3ADD">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510m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990" w:type="pct"/>
                  <w:tcBorders>
                    <w:tl2br w:val="nil"/>
                    <w:tr2bl w:val="nil"/>
                  </w:tcBorders>
                  <w:noWrap w:val="0"/>
                  <w:vAlign w:val="center"/>
                </w:tcPr>
                <w:p w14:paraId="1DC2265C">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单层堆放可满足2.7天</w:t>
                  </w:r>
                </w:p>
                <w:p w14:paraId="7E234BC0">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贮存需求</w:t>
                  </w:r>
                </w:p>
              </w:tc>
            </w:tr>
            <w:tr w14:paraId="73D68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tcBorders>
                    <w:tl2br w:val="nil"/>
                    <w:tr2bl w:val="nil"/>
                  </w:tcBorders>
                  <w:noWrap w:val="0"/>
                  <w:vAlign w:val="center"/>
                </w:tcPr>
                <w:p w14:paraId="279ACBCA">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小车</w:t>
                  </w:r>
                </w:p>
                <w:p w14:paraId="0B56EF6A">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停车场</w:t>
                  </w:r>
                </w:p>
              </w:tc>
              <w:tc>
                <w:tcPr>
                  <w:tcW w:w="721" w:type="pct"/>
                  <w:tcBorders>
                    <w:tl2br w:val="nil"/>
                    <w:tr2bl w:val="nil"/>
                  </w:tcBorders>
                  <w:noWrap w:val="0"/>
                  <w:vAlign w:val="center"/>
                </w:tcPr>
                <w:p w14:paraId="4791FC7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750m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1186" w:type="pct"/>
                  <w:tcBorders>
                    <w:tl2br w:val="nil"/>
                    <w:tr2bl w:val="nil"/>
                  </w:tcBorders>
                  <w:noWrap w:val="0"/>
                  <w:vAlign w:val="center"/>
                </w:tcPr>
                <w:p w14:paraId="5CC5910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汽车（平均占地</w:t>
                  </w:r>
                </w:p>
                <w:p w14:paraId="70638643">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长 4.5m，宽1.8m）</w:t>
                  </w:r>
                </w:p>
              </w:tc>
              <w:tc>
                <w:tcPr>
                  <w:tcW w:w="581" w:type="pct"/>
                  <w:tcBorders>
                    <w:tl2br w:val="nil"/>
                    <w:tr2bl w:val="nil"/>
                  </w:tcBorders>
                  <w:noWrap w:val="0"/>
                  <w:vAlign w:val="center"/>
                </w:tcPr>
                <w:p w14:paraId="1B4EE66A">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34辆</w:t>
                  </w:r>
                </w:p>
              </w:tc>
              <w:tc>
                <w:tcPr>
                  <w:tcW w:w="843" w:type="pct"/>
                  <w:tcBorders>
                    <w:tl2br w:val="nil"/>
                    <w:tr2bl w:val="nil"/>
                  </w:tcBorders>
                  <w:noWrap w:val="0"/>
                  <w:vAlign w:val="center"/>
                </w:tcPr>
                <w:p w14:paraId="4C541089">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275.4m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990" w:type="pct"/>
                  <w:tcBorders>
                    <w:tl2br w:val="nil"/>
                    <w:tr2bl w:val="nil"/>
                  </w:tcBorders>
                  <w:noWrap w:val="0"/>
                  <w:vAlign w:val="center"/>
                </w:tcPr>
                <w:p w14:paraId="404B381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单层堆放可满足2.7天</w:t>
                  </w:r>
                </w:p>
                <w:p w14:paraId="256F5D10">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贮存需求</w:t>
                  </w:r>
                </w:p>
              </w:tc>
            </w:tr>
            <w:tr w14:paraId="47376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tcBorders>
                    <w:tl2br w:val="nil"/>
                    <w:tr2bl w:val="nil"/>
                  </w:tcBorders>
                  <w:noWrap w:val="0"/>
                  <w:vAlign w:val="center"/>
                </w:tcPr>
                <w:p w14:paraId="126EE39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摩托车</w:t>
                  </w:r>
                </w:p>
                <w:p w14:paraId="187F6779">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停车场</w:t>
                  </w:r>
                </w:p>
              </w:tc>
              <w:tc>
                <w:tcPr>
                  <w:tcW w:w="721" w:type="pct"/>
                  <w:tcBorders>
                    <w:tl2br w:val="nil"/>
                    <w:tr2bl w:val="nil"/>
                  </w:tcBorders>
                  <w:noWrap w:val="0"/>
                  <w:vAlign w:val="center"/>
                </w:tcPr>
                <w:p w14:paraId="2CEA76AF">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100m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1186" w:type="pct"/>
                  <w:tcBorders>
                    <w:tl2br w:val="nil"/>
                    <w:tr2bl w:val="nil"/>
                  </w:tcBorders>
                  <w:noWrap w:val="0"/>
                  <w:vAlign w:val="center"/>
                </w:tcPr>
                <w:p w14:paraId="4BB5861D">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摩托车（平均占</w:t>
                  </w:r>
                </w:p>
                <w:p w14:paraId="23B18160">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地长</w:t>
                  </w:r>
                  <w:r>
                    <w:rPr>
                      <w:rFonts w:hint="eastAsia" w:ascii="Times New Roman" w:hAnsi="Times New Roman" w:eastAsia="宋体" w:cs="Times New Roman"/>
                      <w:bCs/>
                      <w:color w:val="auto"/>
                      <w:kern w:val="0"/>
                      <w:sz w:val="21"/>
                      <w:szCs w:val="21"/>
                      <w:highlight w:val="none"/>
                      <w:lang w:val="en-US" w:eastAsia="zh-CN" w:bidi="ar-SA"/>
                    </w:rPr>
                    <w:t>2</w:t>
                  </w:r>
                  <w:r>
                    <w:rPr>
                      <w:rFonts w:hint="default" w:ascii="Times New Roman" w:hAnsi="Times New Roman" w:eastAsia="宋体" w:cs="Times New Roman"/>
                      <w:bCs/>
                      <w:color w:val="auto"/>
                      <w:kern w:val="0"/>
                      <w:sz w:val="21"/>
                      <w:szCs w:val="21"/>
                      <w:highlight w:val="none"/>
                      <w:lang w:val="en-US" w:eastAsia="zh-CN" w:bidi="ar-SA"/>
                    </w:rPr>
                    <w:t>m，宽</w:t>
                  </w:r>
                  <w:r>
                    <w:rPr>
                      <w:rFonts w:hint="eastAsia" w:ascii="Times New Roman" w:hAnsi="Times New Roman" w:eastAsia="宋体" w:cs="Times New Roman"/>
                      <w:bCs/>
                      <w:color w:val="auto"/>
                      <w:kern w:val="0"/>
                      <w:sz w:val="21"/>
                      <w:szCs w:val="21"/>
                      <w:highlight w:val="none"/>
                      <w:lang w:val="en-US" w:eastAsia="zh-CN" w:bidi="ar-SA"/>
                    </w:rPr>
                    <w:t>0.8</w:t>
                  </w:r>
                  <w:r>
                    <w:rPr>
                      <w:rFonts w:hint="default" w:ascii="Times New Roman" w:hAnsi="Times New Roman" w:eastAsia="宋体" w:cs="Times New Roman"/>
                      <w:bCs/>
                      <w:color w:val="auto"/>
                      <w:kern w:val="0"/>
                      <w:sz w:val="21"/>
                      <w:szCs w:val="21"/>
                      <w:highlight w:val="none"/>
                      <w:lang w:val="en-US" w:eastAsia="zh-CN" w:bidi="ar-SA"/>
                    </w:rPr>
                    <w:t>m）</w:t>
                  </w:r>
                </w:p>
              </w:tc>
              <w:tc>
                <w:tcPr>
                  <w:tcW w:w="581" w:type="pct"/>
                  <w:tcBorders>
                    <w:tl2br w:val="nil"/>
                    <w:tr2bl w:val="nil"/>
                  </w:tcBorders>
                  <w:noWrap w:val="0"/>
                  <w:vAlign w:val="center"/>
                </w:tcPr>
                <w:p w14:paraId="75608D37">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14辆</w:t>
                  </w:r>
                </w:p>
              </w:tc>
              <w:tc>
                <w:tcPr>
                  <w:tcW w:w="843" w:type="pct"/>
                  <w:tcBorders>
                    <w:tl2br w:val="nil"/>
                    <w:tr2bl w:val="nil"/>
                  </w:tcBorders>
                  <w:noWrap w:val="0"/>
                  <w:vAlign w:val="center"/>
                </w:tcPr>
                <w:p w14:paraId="640852F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22.4m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990" w:type="pct"/>
                  <w:tcBorders>
                    <w:tl2br w:val="nil"/>
                    <w:tr2bl w:val="nil"/>
                  </w:tcBorders>
                  <w:noWrap w:val="0"/>
                  <w:vAlign w:val="center"/>
                </w:tcPr>
                <w:p w14:paraId="0A931AA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单层堆放可满足4.4天</w:t>
                  </w:r>
                </w:p>
                <w:p w14:paraId="0E813A9A">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贮存需求</w:t>
                  </w:r>
                </w:p>
              </w:tc>
            </w:tr>
            <w:tr w14:paraId="2E2E4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tcBorders>
                    <w:tl2br w:val="nil"/>
                    <w:tr2bl w:val="nil"/>
                  </w:tcBorders>
                  <w:noWrap w:val="0"/>
                  <w:vAlign w:val="center"/>
                </w:tcPr>
                <w:p w14:paraId="155869B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新能源车停车区</w:t>
                  </w:r>
                </w:p>
              </w:tc>
              <w:tc>
                <w:tcPr>
                  <w:tcW w:w="721" w:type="pct"/>
                  <w:tcBorders>
                    <w:tl2br w:val="nil"/>
                    <w:tr2bl w:val="nil"/>
                  </w:tcBorders>
                  <w:noWrap w:val="0"/>
                  <w:vAlign w:val="center"/>
                </w:tcPr>
                <w:p w14:paraId="1E9D04CC">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360m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1186" w:type="pct"/>
                  <w:tcBorders>
                    <w:tl2br w:val="nil"/>
                    <w:tr2bl w:val="nil"/>
                  </w:tcBorders>
                  <w:noWrap w:val="0"/>
                  <w:vAlign w:val="center"/>
                </w:tcPr>
                <w:p w14:paraId="4A780E15">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新能源电动车</w:t>
                  </w:r>
                </w:p>
                <w:p w14:paraId="01E3263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（平均占地长4.5m，宽</w:t>
                  </w:r>
                  <w:r>
                    <w:rPr>
                      <w:rFonts w:hint="eastAsia" w:ascii="Times New Roman" w:hAnsi="Times New Roman" w:eastAsia="宋体" w:cs="Times New Roman"/>
                      <w:bCs/>
                      <w:color w:val="auto"/>
                      <w:kern w:val="0"/>
                      <w:sz w:val="21"/>
                      <w:szCs w:val="21"/>
                      <w:highlight w:val="none"/>
                      <w:lang w:val="en-US" w:eastAsia="zh-CN" w:bidi="ar-SA"/>
                    </w:rPr>
                    <w:t>1.8</w:t>
                  </w:r>
                  <w:r>
                    <w:rPr>
                      <w:rFonts w:hint="default" w:ascii="Times New Roman" w:hAnsi="Times New Roman" w:eastAsia="宋体" w:cs="Times New Roman"/>
                      <w:bCs/>
                      <w:color w:val="auto"/>
                      <w:kern w:val="0"/>
                      <w:sz w:val="21"/>
                      <w:szCs w:val="21"/>
                      <w:highlight w:val="none"/>
                      <w:lang w:val="en-US" w:eastAsia="zh-CN" w:bidi="ar-SA"/>
                    </w:rPr>
                    <w:t>m）</w:t>
                  </w:r>
                </w:p>
              </w:tc>
              <w:tc>
                <w:tcPr>
                  <w:tcW w:w="581" w:type="pct"/>
                  <w:tcBorders>
                    <w:tl2br w:val="nil"/>
                    <w:tr2bl w:val="nil"/>
                  </w:tcBorders>
                  <w:noWrap w:val="0"/>
                  <w:vAlign w:val="center"/>
                </w:tcPr>
                <w:p w14:paraId="62A7832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4辆</w:t>
                  </w:r>
                </w:p>
              </w:tc>
              <w:tc>
                <w:tcPr>
                  <w:tcW w:w="843" w:type="pct"/>
                  <w:tcBorders>
                    <w:tl2br w:val="nil"/>
                    <w:tr2bl w:val="nil"/>
                  </w:tcBorders>
                  <w:noWrap w:val="0"/>
                  <w:vAlign w:val="center"/>
                </w:tcPr>
                <w:p w14:paraId="19C4135C">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32.4m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990" w:type="pct"/>
                  <w:tcBorders>
                    <w:tl2br w:val="nil"/>
                    <w:tr2bl w:val="nil"/>
                  </w:tcBorders>
                  <w:noWrap w:val="0"/>
                  <w:vAlign w:val="center"/>
                </w:tcPr>
                <w:p w14:paraId="60AD5C73">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单层堆放可满足11.1天</w:t>
                  </w:r>
                </w:p>
                <w:p w14:paraId="3B437F83">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贮存需求</w:t>
                  </w:r>
                </w:p>
              </w:tc>
            </w:tr>
            <w:tr w14:paraId="5CDA5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tcBorders>
                    <w:tl2br w:val="nil"/>
                    <w:tr2bl w:val="nil"/>
                  </w:tcBorders>
                  <w:noWrap w:val="0"/>
                  <w:vAlign w:val="center"/>
                </w:tcPr>
                <w:p w14:paraId="24C3371F">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废电机</w:t>
                  </w:r>
                </w:p>
                <w:p w14:paraId="507D8FE8">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暂存区</w:t>
                  </w:r>
                </w:p>
              </w:tc>
              <w:tc>
                <w:tcPr>
                  <w:tcW w:w="721" w:type="pct"/>
                  <w:tcBorders>
                    <w:tl2br w:val="nil"/>
                    <w:tr2bl w:val="nil"/>
                  </w:tcBorders>
                  <w:noWrap w:val="0"/>
                  <w:vAlign w:val="center"/>
                </w:tcPr>
                <w:p w14:paraId="1CEFD24D">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395m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1186" w:type="pct"/>
                  <w:tcBorders>
                    <w:tl2br w:val="nil"/>
                    <w:tr2bl w:val="nil"/>
                  </w:tcBorders>
                  <w:noWrap w:val="0"/>
                  <w:vAlign w:val="center"/>
                </w:tcPr>
                <w:p w14:paraId="33CC8883">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平均约重量1.2t/个，单个占地约2m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581" w:type="pct"/>
                  <w:tcBorders>
                    <w:tl2br w:val="nil"/>
                    <w:tr2bl w:val="nil"/>
                  </w:tcBorders>
                  <w:noWrap w:val="0"/>
                  <w:vAlign w:val="center"/>
                </w:tcPr>
                <w:p w14:paraId="3D1522E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28个</w:t>
                  </w:r>
                </w:p>
              </w:tc>
              <w:tc>
                <w:tcPr>
                  <w:tcW w:w="843" w:type="pct"/>
                  <w:tcBorders>
                    <w:tl2br w:val="nil"/>
                    <w:tr2bl w:val="nil"/>
                  </w:tcBorders>
                  <w:noWrap w:val="0"/>
                  <w:vAlign w:val="center"/>
                </w:tcPr>
                <w:p w14:paraId="4414DBF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56m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990" w:type="pct"/>
                  <w:tcBorders>
                    <w:tl2br w:val="nil"/>
                    <w:tr2bl w:val="nil"/>
                  </w:tcBorders>
                  <w:noWrap w:val="0"/>
                  <w:vAlign w:val="center"/>
                </w:tcPr>
                <w:p w14:paraId="0B50EB3D">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单层堆放可满足7.0天</w:t>
                  </w:r>
                </w:p>
                <w:p w14:paraId="4579AA68">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贮存需求</w:t>
                  </w:r>
                </w:p>
              </w:tc>
            </w:tr>
            <w:tr w14:paraId="5F9E2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tcBorders>
                    <w:tl2br w:val="nil"/>
                    <w:tr2bl w:val="nil"/>
                  </w:tcBorders>
                  <w:noWrap w:val="0"/>
                  <w:vAlign w:val="center"/>
                </w:tcPr>
                <w:p w14:paraId="44477127">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废变压器暂存区</w:t>
                  </w:r>
                </w:p>
              </w:tc>
              <w:tc>
                <w:tcPr>
                  <w:tcW w:w="721" w:type="pct"/>
                  <w:tcBorders>
                    <w:tl2br w:val="nil"/>
                    <w:tr2bl w:val="nil"/>
                  </w:tcBorders>
                  <w:noWrap w:val="0"/>
                  <w:vAlign w:val="center"/>
                </w:tcPr>
                <w:p w14:paraId="280043C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395m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1186" w:type="pct"/>
                  <w:tcBorders>
                    <w:tl2br w:val="nil"/>
                    <w:tr2bl w:val="nil"/>
                  </w:tcBorders>
                  <w:noWrap w:val="0"/>
                  <w:vAlign w:val="center"/>
                </w:tcPr>
                <w:p w14:paraId="7239342D">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平均重量约1.1t/个，单个占地约2m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581" w:type="pct"/>
                  <w:tcBorders>
                    <w:tl2br w:val="nil"/>
                    <w:tr2bl w:val="nil"/>
                  </w:tcBorders>
                  <w:noWrap w:val="0"/>
                  <w:vAlign w:val="center"/>
                </w:tcPr>
                <w:p w14:paraId="325DF19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31个</w:t>
                  </w:r>
                </w:p>
              </w:tc>
              <w:tc>
                <w:tcPr>
                  <w:tcW w:w="843" w:type="pct"/>
                  <w:tcBorders>
                    <w:tl2br w:val="nil"/>
                    <w:tr2bl w:val="nil"/>
                  </w:tcBorders>
                  <w:noWrap w:val="0"/>
                  <w:vAlign w:val="center"/>
                </w:tcPr>
                <w:p w14:paraId="660C20A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62m</w:t>
                  </w:r>
                  <w:r>
                    <w:rPr>
                      <w:rFonts w:hint="eastAsia" w:ascii="Times New Roman" w:hAnsi="Times New Roman" w:eastAsia="宋体" w:cs="Times New Roman"/>
                      <w:bCs/>
                      <w:color w:val="auto"/>
                      <w:kern w:val="0"/>
                      <w:sz w:val="21"/>
                      <w:szCs w:val="21"/>
                      <w:highlight w:val="none"/>
                      <w:vertAlign w:val="superscript"/>
                      <w:lang w:val="en-US" w:eastAsia="zh-CN" w:bidi="ar-SA"/>
                    </w:rPr>
                    <w:t>2</w:t>
                  </w:r>
                </w:p>
              </w:tc>
              <w:tc>
                <w:tcPr>
                  <w:tcW w:w="990" w:type="pct"/>
                  <w:tcBorders>
                    <w:tl2br w:val="nil"/>
                    <w:tr2bl w:val="nil"/>
                  </w:tcBorders>
                  <w:noWrap w:val="0"/>
                  <w:vAlign w:val="center"/>
                </w:tcPr>
                <w:p w14:paraId="4FA75DF6">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单层堆放可满足6.4d</w:t>
                  </w:r>
                </w:p>
                <w:p w14:paraId="0008691F">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贮存需求</w:t>
                  </w:r>
                </w:p>
              </w:tc>
            </w:tr>
          </w:tbl>
          <w:p w14:paraId="7A48F160">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建设单位提供资料，厂区接收报废机动车、废电机、废变压器基本不会超过日最大生产能力，因此，项目报废机动车、废电机、废变压器厂内设计储存区域的储存能力与产能需求匹配，并有一定应急流转储存空间，建设单位在规范暂存管理的情况下，不会出现未拆解废旧机动车、废电机、废变压器乱停乱堆情况。</w:t>
            </w:r>
          </w:p>
          <w:p w14:paraId="69F4EA32">
            <w:pPr>
              <w:keepNext w:val="0"/>
              <w:keepLines w:val="0"/>
              <w:pageBreakBefore w:val="0"/>
              <w:widowControl w:val="0"/>
              <w:kinsoku/>
              <w:wordWrap/>
              <w:overflowPunct/>
              <w:topLinePunct w:val="0"/>
              <w:autoSpaceDE/>
              <w:autoSpaceDN/>
              <w:bidi w:val="0"/>
              <w:adjustRightInd/>
              <w:snapToGrid/>
              <w:spacing w:before="191" w:beforeLines="50" w:line="360" w:lineRule="auto"/>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2.2.4项目主要原辅材料</w:t>
            </w:r>
          </w:p>
          <w:p w14:paraId="0BA68FF9">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本项目设计年拆解废旧机动车20000辆、废电机10000吨、废变压器10000吨。</w:t>
            </w:r>
          </w:p>
          <w:p w14:paraId="68388C39">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来厂废旧机动车均为从福州市周边地区收购，主要来自报废机动车合规拥有单位或个人，凭《机动车报废证明》收购并向报废汽车拥有单位或者个人出具《报废汽车回收证明》。本项目主要拆解传统燃料汽车、摩托车、新能源电动车，不接收运输危险化学品、油罐车等特种作业车辆。</w:t>
            </w:r>
          </w:p>
          <w:p w14:paraId="51089548">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来厂废电机、废变压器主要来源于福州市再生资源交易市场正规的产品，如正规工厂报废机械设备拆解后的废电机、正规生产企业报废变压器等，不收集拆解含多氯联苯变压器等特殊废产品，不回收危险废物。废电机拆解不采用平地或简易炉、窑等焚烧方式加工。</w:t>
            </w:r>
          </w:p>
          <w:p w14:paraId="3248F2B2">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eastAsia"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根据建设方提供的相关资料，项目主要原辅材料</w:t>
            </w:r>
            <w:r>
              <w:rPr>
                <w:rFonts w:hint="eastAsia" w:ascii="Times New Roman" w:hAnsi="Times New Roman" w:eastAsia="宋体" w:cs="Times New Roman"/>
                <w:color w:val="auto"/>
                <w:kern w:val="0"/>
                <w:sz w:val="24"/>
                <w:lang w:val="en-US" w:eastAsia="zh-CN"/>
              </w:rPr>
              <w:t>及能源</w:t>
            </w:r>
            <w:r>
              <w:rPr>
                <w:rFonts w:hint="default" w:ascii="Times New Roman" w:hAnsi="Times New Roman" w:eastAsia="宋体" w:cs="Times New Roman"/>
                <w:color w:val="auto"/>
                <w:kern w:val="0"/>
                <w:sz w:val="24"/>
                <w:lang w:val="en-US" w:eastAsia="zh-CN"/>
              </w:rPr>
              <w:t>消耗情况</w:t>
            </w:r>
            <w:r>
              <w:rPr>
                <w:rFonts w:hint="eastAsia" w:ascii="Times New Roman" w:hAnsi="Times New Roman" w:eastAsia="宋体" w:cs="Times New Roman"/>
                <w:color w:val="auto"/>
                <w:kern w:val="0"/>
                <w:sz w:val="24"/>
                <w:lang w:val="en-US" w:eastAsia="zh-CN"/>
              </w:rPr>
              <w:t>详见</w:t>
            </w:r>
            <w:r>
              <w:rPr>
                <w:rFonts w:hint="default" w:ascii="Times New Roman" w:hAnsi="Times New Roman" w:eastAsia="宋体" w:cs="Times New Roman"/>
                <w:color w:val="auto"/>
                <w:kern w:val="0"/>
                <w:sz w:val="24"/>
                <w:lang w:val="en-US" w:eastAsia="zh-CN"/>
              </w:rPr>
              <w:t>表</w:t>
            </w:r>
            <w:r>
              <w:rPr>
                <w:rFonts w:hint="eastAsia" w:ascii="Times New Roman" w:hAnsi="Times New Roman" w:eastAsia="宋体" w:cs="Times New Roman"/>
                <w:color w:val="auto"/>
                <w:kern w:val="0"/>
                <w:sz w:val="24"/>
                <w:lang w:val="en-US" w:eastAsia="zh-CN"/>
              </w:rPr>
              <w:t>2.2-5。</w:t>
            </w:r>
          </w:p>
          <w:p w14:paraId="7078CA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eastAsia" w:ascii="Times New Roman" w:hAnsi="Times New Roman" w:eastAsia="黑体" w:cs="Times New Roman"/>
                <w:color w:val="auto"/>
                <w:sz w:val="24"/>
                <w:szCs w:val="24"/>
                <w:highlight w:val="none"/>
                <w:lang w:val="en-US" w:eastAsia="zh-CN"/>
              </w:rPr>
              <w:t>5</w:t>
            </w:r>
            <w:r>
              <w:rPr>
                <w:rFonts w:hint="default" w:ascii="Times New Roman" w:hAnsi="Times New Roman" w:eastAsia="黑体" w:cs="Times New Roman"/>
                <w:color w:val="auto"/>
                <w:sz w:val="24"/>
                <w:szCs w:val="24"/>
                <w:highlight w:val="none"/>
              </w:rPr>
              <w:t xml:space="preserve">  各原辅材料</w:t>
            </w:r>
            <w:r>
              <w:rPr>
                <w:rFonts w:hint="eastAsia" w:ascii="Times New Roman" w:hAnsi="Times New Roman" w:eastAsia="黑体" w:cs="Times New Roman"/>
                <w:color w:val="auto"/>
                <w:sz w:val="24"/>
                <w:szCs w:val="24"/>
                <w:highlight w:val="none"/>
                <w:lang w:eastAsia="zh-CN"/>
              </w:rPr>
              <w:t>及能源消耗</w:t>
            </w:r>
            <w:r>
              <w:rPr>
                <w:rFonts w:hint="default" w:ascii="Times New Roman" w:hAnsi="Times New Roman" w:eastAsia="黑体" w:cs="Times New Roman"/>
                <w:color w:val="auto"/>
                <w:sz w:val="24"/>
                <w:szCs w:val="24"/>
                <w:highlight w:val="none"/>
              </w:rPr>
              <w:t>一览表</w:t>
            </w:r>
          </w:p>
          <w:tbl>
            <w:tblPr>
              <w:tblStyle w:val="2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5"/>
              <w:gridCol w:w="643"/>
              <w:gridCol w:w="1547"/>
              <w:gridCol w:w="1121"/>
              <w:gridCol w:w="1737"/>
              <w:gridCol w:w="924"/>
              <w:gridCol w:w="1427"/>
            </w:tblGrid>
            <w:tr w14:paraId="31219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tcBorders>
                    <w:tl2br w:val="nil"/>
                    <w:tr2bl w:val="nil"/>
                  </w:tcBorders>
                  <w:noWrap w:val="0"/>
                  <w:vAlign w:val="center"/>
                </w:tcPr>
                <w:p w14:paraId="344E90E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序号</w:t>
                  </w:r>
                </w:p>
              </w:tc>
              <w:tc>
                <w:tcPr>
                  <w:tcW w:w="1364" w:type="pct"/>
                  <w:gridSpan w:val="2"/>
                  <w:tcBorders>
                    <w:tl2br w:val="nil"/>
                    <w:tr2bl w:val="nil"/>
                  </w:tcBorders>
                  <w:noWrap w:val="0"/>
                  <w:vAlign w:val="center"/>
                </w:tcPr>
                <w:p w14:paraId="74FCEC10">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原辅材料名称</w:t>
                  </w:r>
                </w:p>
              </w:tc>
              <w:tc>
                <w:tcPr>
                  <w:tcW w:w="698" w:type="pct"/>
                  <w:tcBorders>
                    <w:tl2br w:val="nil"/>
                    <w:tr2bl w:val="nil"/>
                  </w:tcBorders>
                  <w:noWrap w:val="0"/>
                  <w:vAlign w:val="center"/>
                </w:tcPr>
                <w:p w14:paraId="6132D4CF">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年耗量</w:t>
                  </w:r>
                </w:p>
              </w:tc>
              <w:tc>
                <w:tcPr>
                  <w:tcW w:w="1082" w:type="pct"/>
                  <w:tcBorders>
                    <w:tl2br w:val="nil"/>
                    <w:tr2bl w:val="nil"/>
                  </w:tcBorders>
                  <w:noWrap w:val="0"/>
                  <w:vAlign w:val="center"/>
                </w:tcPr>
                <w:p w14:paraId="4443A72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来源</w:t>
                  </w:r>
                </w:p>
              </w:tc>
              <w:tc>
                <w:tcPr>
                  <w:tcW w:w="575" w:type="pct"/>
                  <w:tcBorders>
                    <w:tl2br w:val="nil"/>
                    <w:tr2bl w:val="nil"/>
                  </w:tcBorders>
                  <w:noWrap w:val="0"/>
                  <w:vAlign w:val="center"/>
                </w:tcPr>
                <w:p w14:paraId="2C077CD5">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运输</w:t>
                  </w:r>
                </w:p>
                <w:p w14:paraId="43AD3B97">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方式</w:t>
                  </w:r>
                </w:p>
              </w:tc>
              <w:tc>
                <w:tcPr>
                  <w:tcW w:w="889" w:type="pct"/>
                  <w:tcBorders>
                    <w:tl2br w:val="nil"/>
                    <w:tr2bl w:val="nil"/>
                  </w:tcBorders>
                  <w:noWrap w:val="0"/>
                  <w:vAlign w:val="center"/>
                </w:tcPr>
                <w:p w14:paraId="161B8CC3">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备注</w:t>
                  </w:r>
                </w:p>
              </w:tc>
            </w:tr>
            <w:tr w14:paraId="054ED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vMerge w:val="restart"/>
                  <w:tcBorders>
                    <w:tl2br w:val="nil"/>
                    <w:tr2bl w:val="nil"/>
                  </w:tcBorders>
                  <w:noWrap w:val="0"/>
                  <w:vAlign w:val="center"/>
                </w:tcPr>
                <w:p w14:paraId="3DCEDEC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w:t>
                  </w:r>
                </w:p>
              </w:tc>
              <w:tc>
                <w:tcPr>
                  <w:tcW w:w="400" w:type="pct"/>
                  <w:vMerge w:val="restart"/>
                  <w:tcBorders>
                    <w:tl2br w:val="nil"/>
                    <w:tr2bl w:val="nil"/>
                  </w:tcBorders>
                  <w:noWrap w:val="0"/>
                  <w:vAlign w:val="center"/>
                </w:tcPr>
                <w:p w14:paraId="598B1A56">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报废机动车</w:t>
                  </w:r>
                </w:p>
              </w:tc>
              <w:tc>
                <w:tcPr>
                  <w:tcW w:w="963" w:type="pct"/>
                  <w:tcBorders>
                    <w:tl2br w:val="nil"/>
                    <w:tr2bl w:val="nil"/>
                  </w:tcBorders>
                  <w:noWrap w:val="0"/>
                  <w:vAlign w:val="center"/>
                </w:tcPr>
                <w:p w14:paraId="1BE94C10">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中大型汽车</w:t>
                  </w:r>
                </w:p>
              </w:tc>
              <w:tc>
                <w:tcPr>
                  <w:tcW w:w="698" w:type="pct"/>
                  <w:tcBorders>
                    <w:tl2br w:val="nil"/>
                    <w:tr2bl w:val="nil"/>
                  </w:tcBorders>
                  <w:noWrap w:val="0"/>
                  <w:vAlign w:val="center"/>
                </w:tcPr>
                <w:p w14:paraId="5DA46FD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5000辆</w:t>
                  </w:r>
                </w:p>
              </w:tc>
              <w:tc>
                <w:tcPr>
                  <w:tcW w:w="1082" w:type="pct"/>
                  <w:vMerge w:val="restart"/>
                  <w:tcBorders>
                    <w:tl2br w:val="nil"/>
                    <w:tr2bl w:val="nil"/>
                  </w:tcBorders>
                  <w:noWrap w:val="0"/>
                  <w:vAlign w:val="center"/>
                </w:tcPr>
                <w:p w14:paraId="7EA60E9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福州市周边地区，单位或个人正规报废车辆</w:t>
                  </w:r>
                </w:p>
              </w:tc>
              <w:tc>
                <w:tcPr>
                  <w:tcW w:w="575" w:type="pct"/>
                  <w:vMerge w:val="restart"/>
                  <w:tcBorders>
                    <w:tl2br w:val="nil"/>
                    <w:tr2bl w:val="nil"/>
                  </w:tcBorders>
                  <w:noWrap w:val="0"/>
                  <w:vAlign w:val="center"/>
                </w:tcPr>
                <w:p w14:paraId="53259DD8">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车辆托运</w:t>
                  </w:r>
                </w:p>
              </w:tc>
              <w:tc>
                <w:tcPr>
                  <w:tcW w:w="889" w:type="pct"/>
                  <w:vMerge w:val="restart"/>
                  <w:tcBorders>
                    <w:tl2br w:val="nil"/>
                    <w:tr2bl w:val="nil"/>
                  </w:tcBorders>
                  <w:noWrap w:val="0"/>
                  <w:vAlign w:val="center"/>
                </w:tcPr>
                <w:p w14:paraId="4CE21823">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w:t>
                  </w:r>
                </w:p>
              </w:tc>
            </w:tr>
            <w:tr w14:paraId="54A0C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vMerge w:val="continue"/>
                  <w:tcBorders>
                    <w:tl2br w:val="nil"/>
                    <w:tr2bl w:val="nil"/>
                  </w:tcBorders>
                  <w:noWrap w:val="0"/>
                  <w:vAlign w:val="center"/>
                </w:tcPr>
                <w:p w14:paraId="74D6D987">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400" w:type="pct"/>
                  <w:vMerge w:val="continue"/>
                  <w:tcBorders>
                    <w:tl2br w:val="nil"/>
                    <w:tr2bl w:val="nil"/>
                  </w:tcBorders>
                  <w:noWrap w:val="0"/>
                  <w:vAlign w:val="center"/>
                </w:tcPr>
                <w:p w14:paraId="09A2E9DD">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963" w:type="pct"/>
                  <w:tcBorders>
                    <w:tl2br w:val="nil"/>
                    <w:tr2bl w:val="nil"/>
                  </w:tcBorders>
                  <w:noWrap w:val="0"/>
                  <w:vAlign w:val="center"/>
                </w:tcPr>
                <w:p w14:paraId="0EF0B4F5">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小型汽车</w:t>
                  </w:r>
                </w:p>
              </w:tc>
              <w:tc>
                <w:tcPr>
                  <w:tcW w:w="698" w:type="pct"/>
                  <w:tcBorders>
                    <w:tl2br w:val="nil"/>
                    <w:tr2bl w:val="nil"/>
                  </w:tcBorders>
                  <w:noWrap w:val="0"/>
                  <w:vAlign w:val="center"/>
                </w:tcPr>
                <w:p w14:paraId="005C2AE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10000辆</w:t>
                  </w:r>
                </w:p>
              </w:tc>
              <w:tc>
                <w:tcPr>
                  <w:tcW w:w="1082" w:type="pct"/>
                  <w:vMerge w:val="continue"/>
                  <w:tcBorders>
                    <w:tl2br w:val="nil"/>
                    <w:tr2bl w:val="nil"/>
                  </w:tcBorders>
                  <w:noWrap w:val="0"/>
                  <w:vAlign w:val="center"/>
                </w:tcPr>
                <w:p w14:paraId="29153C4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575" w:type="pct"/>
                  <w:vMerge w:val="continue"/>
                  <w:tcBorders>
                    <w:tl2br w:val="nil"/>
                    <w:tr2bl w:val="nil"/>
                  </w:tcBorders>
                  <w:noWrap w:val="0"/>
                  <w:vAlign w:val="center"/>
                </w:tcPr>
                <w:p w14:paraId="59834E9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889" w:type="pct"/>
                  <w:vMerge w:val="continue"/>
                  <w:tcBorders>
                    <w:tl2br w:val="nil"/>
                    <w:tr2bl w:val="nil"/>
                  </w:tcBorders>
                  <w:noWrap w:val="0"/>
                  <w:vAlign w:val="center"/>
                </w:tcPr>
                <w:p w14:paraId="5F36330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r>
            <w:tr w14:paraId="7945B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vMerge w:val="continue"/>
                  <w:tcBorders>
                    <w:tl2br w:val="nil"/>
                    <w:tr2bl w:val="nil"/>
                  </w:tcBorders>
                  <w:noWrap w:val="0"/>
                  <w:vAlign w:val="center"/>
                </w:tcPr>
                <w:p w14:paraId="73D5958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400" w:type="pct"/>
                  <w:vMerge w:val="continue"/>
                  <w:tcBorders>
                    <w:tl2br w:val="nil"/>
                    <w:tr2bl w:val="nil"/>
                  </w:tcBorders>
                  <w:noWrap w:val="0"/>
                  <w:vAlign w:val="center"/>
                </w:tcPr>
                <w:p w14:paraId="011ADB13">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963" w:type="pct"/>
                  <w:tcBorders>
                    <w:tl2br w:val="nil"/>
                    <w:tr2bl w:val="nil"/>
                  </w:tcBorders>
                  <w:noWrap w:val="0"/>
                  <w:vAlign w:val="center"/>
                </w:tcPr>
                <w:p w14:paraId="6F9A74CA">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二轮摩托车</w:t>
                  </w:r>
                </w:p>
              </w:tc>
              <w:tc>
                <w:tcPr>
                  <w:tcW w:w="698" w:type="pct"/>
                  <w:tcBorders>
                    <w:tl2br w:val="nil"/>
                    <w:tr2bl w:val="nil"/>
                  </w:tcBorders>
                  <w:noWrap w:val="0"/>
                  <w:vAlign w:val="center"/>
                </w:tcPr>
                <w:p w14:paraId="4DFDEADA">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4000辆</w:t>
                  </w:r>
                </w:p>
              </w:tc>
              <w:tc>
                <w:tcPr>
                  <w:tcW w:w="1082" w:type="pct"/>
                  <w:vMerge w:val="continue"/>
                  <w:tcBorders>
                    <w:tl2br w:val="nil"/>
                    <w:tr2bl w:val="nil"/>
                  </w:tcBorders>
                  <w:noWrap w:val="0"/>
                  <w:vAlign w:val="center"/>
                </w:tcPr>
                <w:p w14:paraId="2C492958">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575" w:type="pct"/>
                  <w:vMerge w:val="continue"/>
                  <w:tcBorders>
                    <w:tl2br w:val="nil"/>
                    <w:tr2bl w:val="nil"/>
                  </w:tcBorders>
                  <w:noWrap w:val="0"/>
                  <w:vAlign w:val="center"/>
                </w:tcPr>
                <w:p w14:paraId="7E0B995D">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889" w:type="pct"/>
                  <w:vMerge w:val="continue"/>
                  <w:tcBorders>
                    <w:tl2br w:val="nil"/>
                    <w:tr2bl w:val="nil"/>
                  </w:tcBorders>
                  <w:noWrap w:val="0"/>
                  <w:vAlign w:val="center"/>
                </w:tcPr>
                <w:p w14:paraId="09023E7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r>
            <w:tr w14:paraId="2D52A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vMerge w:val="continue"/>
                  <w:tcBorders>
                    <w:tl2br w:val="nil"/>
                    <w:tr2bl w:val="nil"/>
                  </w:tcBorders>
                  <w:noWrap w:val="0"/>
                  <w:vAlign w:val="center"/>
                </w:tcPr>
                <w:p w14:paraId="4146F4EC">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400" w:type="pct"/>
                  <w:vMerge w:val="continue"/>
                  <w:tcBorders>
                    <w:tl2br w:val="nil"/>
                    <w:tr2bl w:val="nil"/>
                  </w:tcBorders>
                  <w:noWrap w:val="0"/>
                  <w:vAlign w:val="center"/>
                </w:tcPr>
                <w:p w14:paraId="679B6149">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963" w:type="pct"/>
                  <w:tcBorders>
                    <w:tl2br w:val="nil"/>
                    <w:tr2bl w:val="nil"/>
                  </w:tcBorders>
                  <w:noWrap w:val="0"/>
                  <w:vAlign w:val="center"/>
                </w:tcPr>
                <w:p w14:paraId="350DA0E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新能源电动车</w:t>
                  </w:r>
                </w:p>
              </w:tc>
              <w:tc>
                <w:tcPr>
                  <w:tcW w:w="698" w:type="pct"/>
                  <w:tcBorders>
                    <w:tl2br w:val="nil"/>
                    <w:tr2bl w:val="nil"/>
                  </w:tcBorders>
                  <w:noWrap w:val="0"/>
                  <w:vAlign w:val="center"/>
                </w:tcPr>
                <w:p w14:paraId="5962590C">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1000辆</w:t>
                  </w:r>
                </w:p>
              </w:tc>
              <w:tc>
                <w:tcPr>
                  <w:tcW w:w="1082" w:type="pct"/>
                  <w:vMerge w:val="continue"/>
                  <w:tcBorders>
                    <w:tl2br w:val="nil"/>
                    <w:tr2bl w:val="nil"/>
                  </w:tcBorders>
                  <w:noWrap w:val="0"/>
                  <w:vAlign w:val="center"/>
                </w:tcPr>
                <w:p w14:paraId="4A20AA7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575" w:type="pct"/>
                  <w:vMerge w:val="continue"/>
                  <w:tcBorders>
                    <w:tl2br w:val="nil"/>
                    <w:tr2bl w:val="nil"/>
                  </w:tcBorders>
                  <w:noWrap w:val="0"/>
                  <w:vAlign w:val="center"/>
                </w:tcPr>
                <w:p w14:paraId="644A05F5">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889" w:type="pct"/>
                  <w:vMerge w:val="continue"/>
                  <w:tcBorders>
                    <w:tl2br w:val="nil"/>
                    <w:tr2bl w:val="nil"/>
                  </w:tcBorders>
                  <w:noWrap w:val="0"/>
                  <w:vAlign w:val="center"/>
                </w:tcPr>
                <w:p w14:paraId="1D02848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r>
            <w:tr w14:paraId="6211E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vMerge w:val="continue"/>
                  <w:tcBorders>
                    <w:tl2br w:val="nil"/>
                    <w:tr2bl w:val="nil"/>
                  </w:tcBorders>
                  <w:noWrap w:val="0"/>
                  <w:vAlign w:val="center"/>
                </w:tcPr>
                <w:p w14:paraId="3FAF615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p>
              </w:tc>
              <w:tc>
                <w:tcPr>
                  <w:tcW w:w="400" w:type="pct"/>
                  <w:vMerge w:val="continue"/>
                  <w:tcBorders>
                    <w:tl2br w:val="nil"/>
                    <w:tr2bl w:val="nil"/>
                  </w:tcBorders>
                  <w:noWrap w:val="0"/>
                  <w:vAlign w:val="center"/>
                </w:tcPr>
                <w:p w14:paraId="6C6CFFD0">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963" w:type="pct"/>
                  <w:tcBorders>
                    <w:tl2br w:val="nil"/>
                    <w:tr2bl w:val="nil"/>
                  </w:tcBorders>
                  <w:noWrap w:val="0"/>
                  <w:vAlign w:val="center"/>
                </w:tcPr>
                <w:p w14:paraId="26367BE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合计</w:t>
                  </w:r>
                </w:p>
              </w:tc>
              <w:tc>
                <w:tcPr>
                  <w:tcW w:w="698" w:type="pct"/>
                  <w:tcBorders>
                    <w:tl2br w:val="nil"/>
                    <w:tr2bl w:val="nil"/>
                  </w:tcBorders>
                  <w:noWrap w:val="0"/>
                  <w:vAlign w:val="center"/>
                </w:tcPr>
                <w:p w14:paraId="46E16709">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20000辆</w:t>
                  </w:r>
                </w:p>
              </w:tc>
              <w:tc>
                <w:tcPr>
                  <w:tcW w:w="1082" w:type="pct"/>
                  <w:vMerge w:val="continue"/>
                  <w:tcBorders>
                    <w:tl2br w:val="nil"/>
                    <w:tr2bl w:val="nil"/>
                  </w:tcBorders>
                  <w:noWrap w:val="0"/>
                  <w:vAlign w:val="center"/>
                </w:tcPr>
                <w:p w14:paraId="49F10CE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575" w:type="pct"/>
                  <w:vMerge w:val="continue"/>
                  <w:tcBorders>
                    <w:tl2br w:val="nil"/>
                    <w:tr2bl w:val="nil"/>
                  </w:tcBorders>
                  <w:noWrap w:val="0"/>
                  <w:vAlign w:val="center"/>
                </w:tcPr>
                <w:p w14:paraId="79984E1F">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p>
              </w:tc>
              <w:tc>
                <w:tcPr>
                  <w:tcW w:w="889" w:type="pct"/>
                  <w:vMerge w:val="continue"/>
                  <w:tcBorders>
                    <w:tl2br w:val="nil"/>
                    <w:tr2bl w:val="nil"/>
                  </w:tcBorders>
                  <w:noWrap w:val="0"/>
                  <w:vAlign w:val="center"/>
                </w:tcPr>
                <w:p w14:paraId="1C0DF80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r>
            <w:tr w14:paraId="6BF24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tcBorders>
                    <w:tl2br w:val="nil"/>
                    <w:tr2bl w:val="nil"/>
                  </w:tcBorders>
                  <w:noWrap w:val="0"/>
                  <w:vAlign w:val="center"/>
                </w:tcPr>
                <w:p w14:paraId="0F249A8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2</w:t>
                  </w:r>
                </w:p>
              </w:tc>
              <w:tc>
                <w:tcPr>
                  <w:tcW w:w="1364" w:type="pct"/>
                  <w:gridSpan w:val="2"/>
                  <w:tcBorders>
                    <w:tl2br w:val="nil"/>
                    <w:tr2bl w:val="nil"/>
                  </w:tcBorders>
                  <w:noWrap w:val="0"/>
                  <w:vAlign w:val="center"/>
                </w:tcPr>
                <w:p w14:paraId="7865F5F7">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废电机</w:t>
                  </w:r>
                </w:p>
              </w:tc>
              <w:tc>
                <w:tcPr>
                  <w:tcW w:w="698" w:type="pct"/>
                  <w:tcBorders>
                    <w:tl2br w:val="nil"/>
                    <w:tr2bl w:val="nil"/>
                  </w:tcBorders>
                  <w:noWrap w:val="0"/>
                  <w:vAlign w:val="center"/>
                </w:tcPr>
                <w:p w14:paraId="540380D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10000t</w:t>
                  </w:r>
                </w:p>
              </w:tc>
              <w:tc>
                <w:tcPr>
                  <w:tcW w:w="1082" w:type="pct"/>
                  <w:tcBorders>
                    <w:tl2br w:val="nil"/>
                    <w:tr2bl w:val="nil"/>
                  </w:tcBorders>
                  <w:noWrap w:val="0"/>
                  <w:vAlign w:val="center"/>
                </w:tcPr>
                <w:p w14:paraId="3E46E036">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国内回收，主要为正规工厂报废工程机械设备</w:t>
                  </w:r>
                </w:p>
              </w:tc>
              <w:tc>
                <w:tcPr>
                  <w:tcW w:w="575" w:type="pct"/>
                  <w:tcBorders>
                    <w:tl2br w:val="nil"/>
                    <w:tr2bl w:val="nil"/>
                  </w:tcBorders>
                  <w:noWrap w:val="0"/>
                  <w:vAlign w:val="center"/>
                </w:tcPr>
                <w:p w14:paraId="4C9D694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车辆托运</w:t>
                  </w:r>
                </w:p>
              </w:tc>
              <w:tc>
                <w:tcPr>
                  <w:tcW w:w="889" w:type="pct"/>
                  <w:tcBorders>
                    <w:tl2br w:val="nil"/>
                    <w:tr2bl w:val="nil"/>
                  </w:tcBorders>
                  <w:noWrap w:val="0"/>
                  <w:vAlign w:val="center"/>
                </w:tcPr>
                <w:p w14:paraId="44A80810">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w:t>
                  </w:r>
                </w:p>
              </w:tc>
            </w:tr>
            <w:tr w14:paraId="2B3F3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tcBorders>
                    <w:tl2br w:val="nil"/>
                    <w:tr2bl w:val="nil"/>
                  </w:tcBorders>
                  <w:noWrap w:val="0"/>
                  <w:vAlign w:val="center"/>
                </w:tcPr>
                <w:p w14:paraId="12715A0F">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3</w:t>
                  </w:r>
                </w:p>
              </w:tc>
              <w:tc>
                <w:tcPr>
                  <w:tcW w:w="1364" w:type="pct"/>
                  <w:gridSpan w:val="2"/>
                  <w:tcBorders>
                    <w:tl2br w:val="nil"/>
                    <w:tr2bl w:val="nil"/>
                  </w:tcBorders>
                  <w:noWrap w:val="0"/>
                  <w:vAlign w:val="center"/>
                </w:tcPr>
                <w:p w14:paraId="19970C3A">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废变压器</w:t>
                  </w:r>
                </w:p>
              </w:tc>
              <w:tc>
                <w:tcPr>
                  <w:tcW w:w="698" w:type="pct"/>
                  <w:tcBorders>
                    <w:tl2br w:val="nil"/>
                    <w:tr2bl w:val="nil"/>
                  </w:tcBorders>
                  <w:noWrap w:val="0"/>
                  <w:vAlign w:val="center"/>
                </w:tcPr>
                <w:p w14:paraId="515ABFA6">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10000t</w:t>
                  </w:r>
                </w:p>
              </w:tc>
              <w:tc>
                <w:tcPr>
                  <w:tcW w:w="1082" w:type="pct"/>
                  <w:tcBorders>
                    <w:tl2br w:val="nil"/>
                    <w:tr2bl w:val="nil"/>
                  </w:tcBorders>
                  <w:noWrap w:val="0"/>
                  <w:vAlign w:val="center"/>
                </w:tcPr>
                <w:p w14:paraId="2602721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国内回收，主要为各生产企业废旧变压器，不涉及含多氯联苯变压器等。</w:t>
                  </w:r>
                </w:p>
              </w:tc>
              <w:tc>
                <w:tcPr>
                  <w:tcW w:w="575" w:type="pct"/>
                  <w:tcBorders>
                    <w:tl2br w:val="nil"/>
                    <w:tr2bl w:val="nil"/>
                  </w:tcBorders>
                  <w:noWrap w:val="0"/>
                  <w:vAlign w:val="center"/>
                </w:tcPr>
                <w:p w14:paraId="4F6CD797">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车辆托运</w:t>
                  </w:r>
                </w:p>
              </w:tc>
              <w:tc>
                <w:tcPr>
                  <w:tcW w:w="889" w:type="pct"/>
                  <w:tcBorders>
                    <w:tl2br w:val="nil"/>
                    <w:tr2bl w:val="nil"/>
                  </w:tcBorders>
                  <w:noWrap w:val="0"/>
                  <w:vAlign w:val="center"/>
                </w:tcPr>
                <w:p w14:paraId="6320C15F">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w:t>
                  </w:r>
                </w:p>
              </w:tc>
            </w:tr>
            <w:tr w14:paraId="19723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tcBorders>
                    <w:tl2br w:val="nil"/>
                    <w:tr2bl w:val="nil"/>
                  </w:tcBorders>
                  <w:noWrap w:val="0"/>
                  <w:vAlign w:val="center"/>
                </w:tcPr>
                <w:p w14:paraId="0FBCFEB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4</w:t>
                  </w:r>
                </w:p>
              </w:tc>
              <w:tc>
                <w:tcPr>
                  <w:tcW w:w="1364" w:type="pct"/>
                  <w:gridSpan w:val="2"/>
                  <w:tcBorders>
                    <w:tl2br w:val="nil"/>
                    <w:tr2bl w:val="nil"/>
                  </w:tcBorders>
                  <w:noWrap w:val="0"/>
                  <w:vAlign w:val="center"/>
                </w:tcPr>
                <w:p w14:paraId="6D33D98E">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工业乙炔</w:t>
                  </w:r>
                </w:p>
              </w:tc>
              <w:tc>
                <w:tcPr>
                  <w:tcW w:w="698" w:type="pct"/>
                  <w:tcBorders>
                    <w:tl2br w:val="nil"/>
                    <w:tr2bl w:val="nil"/>
                  </w:tcBorders>
                  <w:noWrap w:val="0"/>
                  <w:vAlign w:val="center"/>
                </w:tcPr>
                <w:p w14:paraId="6C06B026">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8t</w:t>
                  </w:r>
                </w:p>
              </w:tc>
              <w:tc>
                <w:tcPr>
                  <w:tcW w:w="1082" w:type="pct"/>
                  <w:tcBorders>
                    <w:tl2br w:val="nil"/>
                    <w:tr2bl w:val="nil"/>
                  </w:tcBorders>
                  <w:noWrap w:val="0"/>
                  <w:vAlign w:val="center"/>
                </w:tcPr>
                <w:p w14:paraId="35011B2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外购，瓶装（40L/瓶）</w:t>
                  </w:r>
                </w:p>
              </w:tc>
              <w:tc>
                <w:tcPr>
                  <w:tcW w:w="575" w:type="pct"/>
                  <w:tcBorders>
                    <w:tl2br w:val="nil"/>
                    <w:tr2bl w:val="nil"/>
                  </w:tcBorders>
                  <w:noWrap w:val="0"/>
                  <w:vAlign w:val="center"/>
                </w:tcPr>
                <w:p w14:paraId="5C31521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车辆运输</w:t>
                  </w:r>
                </w:p>
              </w:tc>
              <w:tc>
                <w:tcPr>
                  <w:tcW w:w="889" w:type="pct"/>
                  <w:tcBorders>
                    <w:tl2br w:val="nil"/>
                    <w:tr2bl w:val="nil"/>
                  </w:tcBorders>
                  <w:noWrap w:val="0"/>
                  <w:vAlign w:val="center"/>
                </w:tcPr>
                <w:p w14:paraId="00551FA0">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最大储存3瓶(约0.021t)</w:t>
                  </w:r>
                </w:p>
              </w:tc>
            </w:tr>
            <w:tr w14:paraId="71CE6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tcBorders>
                    <w:tl2br w:val="nil"/>
                    <w:tr2bl w:val="nil"/>
                  </w:tcBorders>
                  <w:noWrap w:val="0"/>
                  <w:vAlign w:val="center"/>
                </w:tcPr>
                <w:p w14:paraId="26BE6DED">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5</w:t>
                  </w:r>
                </w:p>
              </w:tc>
              <w:tc>
                <w:tcPr>
                  <w:tcW w:w="1364" w:type="pct"/>
                  <w:gridSpan w:val="2"/>
                  <w:tcBorders>
                    <w:tl2br w:val="nil"/>
                    <w:tr2bl w:val="nil"/>
                  </w:tcBorders>
                  <w:noWrap w:val="0"/>
                  <w:vAlign w:val="center"/>
                </w:tcPr>
                <w:p w14:paraId="40B55FF8">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工业氧气</w:t>
                  </w:r>
                </w:p>
              </w:tc>
              <w:tc>
                <w:tcPr>
                  <w:tcW w:w="698" w:type="pct"/>
                  <w:tcBorders>
                    <w:tl2br w:val="nil"/>
                    <w:tr2bl w:val="nil"/>
                  </w:tcBorders>
                  <w:noWrap w:val="0"/>
                  <w:vAlign w:val="center"/>
                </w:tcPr>
                <w:p w14:paraId="5BC8BD70">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16t</w:t>
                  </w:r>
                </w:p>
              </w:tc>
              <w:tc>
                <w:tcPr>
                  <w:tcW w:w="1082" w:type="pct"/>
                  <w:tcBorders>
                    <w:tl2br w:val="nil"/>
                    <w:tr2bl w:val="nil"/>
                  </w:tcBorders>
                  <w:noWrap w:val="0"/>
                  <w:vAlign w:val="center"/>
                </w:tcPr>
                <w:p w14:paraId="490ADBFA">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外购，瓶装（40L/瓶）</w:t>
                  </w:r>
                </w:p>
              </w:tc>
              <w:tc>
                <w:tcPr>
                  <w:tcW w:w="575" w:type="pct"/>
                  <w:tcBorders>
                    <w:tl2br w:val="nil"/>
                    <w:tr2bl w:val="nil"/>
                  </w:tcBorders>
                  <w:noWrap w:val="0"/>
                  <w:vAlign w:val="center"/>
                </w:tcPr>
                <w:p w14:paraId="0F849C8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车辆运输</w:t>
                  </w:r>
                </w:p>
              </w:tc>
              <w:tc>
                <w:tcPr>
                  <w:tcW w:w="889" w:type="pct"/>
                  <w:tcBorders>
                    <w:tl2br w:val="nil"/>
                    <w:tr2bl w:val="nil"/>
                  </w:tcBorders>
                  <w:noWrap w:val="0"/>
                  <w:vAlign w:val="center"/>
                </w:tcPr>
                <w:p w14:paraId="1BD736F5">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最大储存6瓶(约0.042t)</w:t>
                  </w:r>
                </w:p>
              </w:tc>
            </w:tr>
            <w:tr w14:paraId="1EC5E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tcBorders>
                    <w:tl2br w:val="nil"/>
                    <w:tr2bl w:val="nil"/>
                  </w:tcBorders>
                  <w:noWrap w:val="0"/>
                  <w:vAlign w:val="center"/>
                </w:tcPr>
                <w:p w14:paraId="24B0843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6</w:t>
                  </w:r>
                </w:p>
              </w:tc>
              <w:tc>
                <w:tcPr>
                  <w:tcW w:w="1364" w:type="pct"/>
                  <w:gridSpan w:val="2"/>
                  <w:tcBorders>
                    <w:tl2br w:val="nil"/>
                    <w:tr2bl w:val="nil"/>
                  </w:tcBorders>
                  <w:noWrap w:val="0"/>
                  <w:vAlign w:val="center"/>
                </w:tcPr>
                <w:p w14:paraId="45D4E599">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水</w:t>
                  </w:r>
                </w:p>
              </w:tc>
              <w:tc>
                <w:tcPr>
                  <w:tcW w:w="698" w:type="pct"/>
                  <w:tcBorders>
                    <w:tl2br w:val="nil"/>
                    <w:tr2bl w:val="nil"/>
                  </w:tcBorders>
                  <w:noWrap w:val="0"/>
                  <w:vAlign w:val="center"/>
                </w:tcPr>
                <w:p w14:paraId="4FEC9A22">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933t</w:t>
                  </w:r>
                </w:p>
              </w:tc>
              <w:tc>
                <w:tcPr>
                  <w:tcW w:w="1082" w:type="pct"/>
                  <w:tcBorders>
                    <w:tl2br w:val="nil"/>
                    <w:tr2bl w:val="nil"/>
                  </w:tcBorders>
                  <w:noWrap w:val="0"/>
                  <w:vAlign w:val="center"/>
                </w:tcPr>
                <w:p w14:paraId="0C94217F">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市政供水</w:t>
                  </w:r>
                </w:p>
              </w:tc>
              <w:tc>
                <w:tcPr>
                  <w:tcW w:w="575" w:type="pct"/>
                  <w:tcBorders>
                    <w:tl2br w:val="nil"/>
                    <w:tr2bl w:val="nil"/>
                  </w:tcBorders>
                  <w:noWrap w:val="0"/>
                  <w:vAlign w:val="center"/>
                </w:tcPr>
                <w:p w14:paraId="6CFE226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市政管网</w:t>
                  </w:r>
                </w:p>
              </w:tc>
              <w:tc>
                <w:tcPr>
                  <w:tcW w:w="889" w:type="pct"/>
                  <w:tcBorders>
                    <w:tl2br w:val="nil"/>
                    <w:tr2bl w:val="nil"/>
                  </w:tcBorders>
                  <w:noWrap w:val="0"/>
                  <w:vAlign w:val="center"/>
                </w:tcPr>
                <w:p w14:paraId="0638EA3B">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w:t>
                  </w:r>
                </w:p>
              </w:tc>
            </w:tr>
            <w:tr w14:paraId="7AE69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pct"/>
                  <w:tcBorders>
                    <w:tl2br w:val="nil"/>
                    <w:tr2bl w:val="nil"/>
                  </w:tcBorders>
                  <w:noWrap w:val="0"/>
                  <w:vAlign w:val="center"/>
                </w:tcPr>
                <w:p w14:paraId="5A728105">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7</w:t>
                  </w:r>
                </w:p>
              </w:tc>
              <w:tc>
                <w:tcPr>
                  <w:tcW w:w="1364" w:type="pct"/>
                  <w:gridSpan w:val="2"/>
                  <w:tcBorders>
                    <w:tl2br w:val="nil"/>
                    <w:tr2bl w:val="nil"/>
                  </w:tcBorders>
                  <w:noWrap w:val="0"/>
                  <w:vAlign w:val="center"/>
                </w:tcPr>
                <w:p w14:paraId="1DAFE7E7">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电</w:t>
                  </w:r>
                </w:p>
              </w:tc>
              <w:tc>
                <w:tcPr>
                  <w:tcW w:w="698" w:type="pct"/>
                  <w:tcBorders>
                    <w:tl2br w:val="nil"/>
                    <w:tr2bl w:val="nil"/>
                  </w:tcBorders>
                  <w:noWrap w:val="0"/>
                  <w:vAlign w:val="center"/>
                </w:tcPr>
                <w:p w14:paraId="20AB4054">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50万kwh/a</w:t>
                  </w:r>
                </w:p>
              </w:tc>
              <w:tc>
                <w:tcPr>
                  <w:tcW w:w="1082" w:type="pct"/>
                  <w:tcBorders>
                    <w:tl2br w:val="nil"/>
                    <w:tr2bl w:val="nil"/>
                  </w:tcBorders>
                  <w:noWrap w:val="0"/>
                  <w:vAlign w:val="center"/>
                </w:tcPr>
                <w:p w14:paraId="381FCAB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市政供电</w:t>
                  </w:r>
                </w:p>
              </w:tc>
              <w:tc>
                <w:tcPr>
                  <w:tcW w:w="575" w:type="pct"/>
                  <w:tcBorders>
                    <w:tl2br w:val="nil"/>
                    <w:tr2bl w:val="nil"/>
                  </w:tcBorders>
                  <w:noWrap w:val="0"/>
                  <w:vAlign w:val="center"/>
                </w:tcPr>
                <w:p w14:paraId="73F1AB6F">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市政管网</w:t>
                  </w:r>
                </w:p>
              </w:tc>
              <w:tc>
                <w:tcPr>
                  <w:tcW w:w="889" w:type="pct"/>
                  <w:tcBorders>
                    <w:tl2br w:val="nil"/>
                    <w:tr2bl w:val="nil"/>
                  </w:tcBorders>
                  <w:noWrap w:val="0"/>
                  <w:vAlign w:val="center"/>
                </w:tcPr>
                <w:p w14:paraId="196B9A01">
                  <w:pPr>
                    <w:pStyle w:val="34"/>
                    <w:keepNext w:val="0"/>
                    <w:keepLines w:val="0"/>
                    <w:pageBreakBefore w:val="0"/>
                    <w:widowControl w:val="0"/>
                    <w:kinsoku/>
                    <w:wordWrap/>
                    <w:overflowPunct/>
                    <w:topLinePunct w:val="0"/>
                    <w:bidi w:val="0"/>
                    <w:adjustRightInd w:val="0"/>
                    <w:snapToGrid w:val="0"/>
                    <w:spacing w:after="0" w:line="340" w:lineRule="exact"/>
                    <w:ind w:left="0" w:lef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w:t>
                  </w:r>
                </w:p>
              </w:tc>
            </w:tr>
          </w:tbl>
          <w:p w14:paraId="657BB11F">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（1）原料进厂控制要求</w:t>
            </w:r>
          </w:p>
          <w:p w14:paraId="53771D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w:t>
            </w:r>
            <w:r>
              <w:rPr>
                <w:rFonts w:hint="eastAsia" w:ascii="Times New Roman" w:hAnsi="Times New Roman" w:eastAsia="宋体" w:cs="Times New Roman"/>
                <w:color w:val="auto"/>
                <w:kern w:val="0"/>
                <w:sz w:val="24"/>
                <w:lang w:val="en-US" w:eastAsia="zh-CN"/>
              </w:rPr>
              <w:t>项目处理对象主要为废旧机动车、废电机、废变压器，根据《报废机动车回收管理办法》《汽车产品回收利用技术政策》等相关政策，本项目拆解原料的来源和渠道必须合法合规，不得处置非法来源的废旧机动车、废电机、废变压器，不处置含多氯联苯类变压器等危险废物，</w:t>
            </w:r>
            <w:r>
              <w:rPr>
                <w:rFonts w:hint="default" w:ascii="Times New Roman" w:hAnsi="Times New Roman" w:eastAsia="宋体" w:cs="Times New Roman"/>
                <w:color w:val="auto"/>
                <w:kern w:val="0"/>
                <w:sz w:val="24"/>
                <w:lang w:val="en-US" w:eastAsia="zh-CN"/>
              </w:rPr>
              <w:t>不</w:t>
            </w:r>
            <w:r>
              <w:rPr>
                <w:rFonts w:hint="eastAsia" w:ascii="Times New Roman" w:hAnsi="Times New Roman" w:eastAsia="宋体" w:cs="Times New Roman"/>
                <w:color w:val="auto"/>
                <w:kern w:val="0"/>
                <w:sz w:val="24"/>
                <w:lang w:val="en-US" w:eastAsia="zh-CN"/>
              </w:rPr>
              <w:t>得进行与原料无关的拆解活动，不得从事废电池、废油等加工处理。项目营运中应做好废机动车、废电机、废变压器拆解的相关台账，以备相关部门核查。</w:t>
            </w:r>
          </w:p>
          <w:p w14:paraId="5679DF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（2）主要原辅材料理化性质一览表</w:t>
            </w:r>
          </w:p>
          <w:p w14:paraId="7E1759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根据前文可知，报废机动车内存有少量的柴油、汽油、制冷剂（含氟利昂）、铅酸蓄电池中硫酸，切割使用乙炔、氧气，以上原辅材料理化性质见下表2.2-6。</w:t>
            </w:r>
          </w:p>
          <w:p w14:paraId="213FE557">
            <w:pPr>
              <w:spacing w:before="120" w:beforeLines="50"/>
              <w:jc w:val="center"/>
              <w:rPr>
                <w:rFonts w:hint="eastAsia"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rPr>
              <w:t>2.</w:t>
            </w:r>
            <w:r>
              <w:rPr>
                <w:rFonts w:hint="eastAsia" w:ascii="Times New Roman" w:hAnsi="Times New Roman" w:eastAsia="黑体" w:cs="Times New Roman"/>
                <w:color w:val="auto"/>
                <w:sz w:val="24"/>
                <w:szCs w:val="24"/>
                <w:highlight w:val="none"/>
                <w:lang w:val="en-US" w:eastAsia="zh-CN"/>
              </w:rPr>
              <w:t>2</w:t>
            </w:r>
            <w:r>
              <w:rPr>
                <w:rFonts w:hint="eastAsia" w:ascii="Times New Roman" w:hAnsi="Times New Roman" w:eastAsia="黑体" w:cs="Times New Roman"/>
                <w:color w:val="auto"/>
                <w:sz w:val="24"/>
                <w:szCs w:val="24"/>
                <w:highlight w:val="none"/>
              </w:rPr>
              <w:t>-</w:t>
            </w:r>
            <w:r>
              <w:rPr>
                <w:rFonts w:hint="eastAsia" w:ascii="Times New Roman" w:hAnsi="Times New Roman" w:eastAsia="黑体" w:cs="Times New Roman"/>
                <w:color w:val="auto"/>
                <w:sz w:val="24"/>
                <w:szCs w:val="24"/>
                <w:highlight w:val="none"/>
                <w:lang w:val="en-US" w:eastAsia="zh-CN"/>
              </w:rPr>
              <w:t>6</w:t>
            </w:r>
            <w:r>
              <w:rPr>
                <w:rFonts w:hint="default" w:ascii="Times New Roman" w:hAnsi="Times New Roman" w:eastAsia="黑体" w:cs="Times New Roman"/>
                <w:color w:val="auto"/>
                <w:sz w:val="24"/>
                <w:szCs w:val="24"/>
                <w:highlight w:val="none"/>
              </w:rPr>
              <w:t xml:space="preserve">  主要原辅料</w:t>
            </w:r>
            <w:r>
              <w:rPr>
                <w:rFonts w:hint="eastAsia" w:ascii="Times New Roman" w:hAnsi="Times New Roman" w:eastAsia="黑体" w:cs="Times New Roman"/>
                <w:color w:val="auto"/>
                <w:sz w:val="24"/>
                <w:szCs w:val="24"/>
                <w:highlight w:val="none"/>
              </w:rPr>
              <w:t>及能源消耗情况一览表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260"/>
              <w:gridCol w:w="4332"/>
              <w:gridCol w:w="1673"/>
            </w:tblGrid>
            <w:tr w14:paraId="2C6A2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4" w:type="pct"/>
                  <w:noWrap w:val="0"/>
                  <w:vAlign w:val="center"/>
                </w:tcPr>
                <w:p w14:paraId="500374F7">
                  <w:pPr>
                    <w:pStyle w:val="35"/>
                    <w:rPr>
                      <w:rFonts w:ascii="Times New Roman" w:hAnsi="Times New Roman" w:eastAsia="宋体"/>
                      <w:b w:val="0"/>
                      <w:bCs w:val="0"/>
                      <w:color w:val="auto"/>
                      <w:highlight w:val="none"/>
                    </w:rPr>
                  </w:pPr>
                  <w:r>
                    <w:rPr>
                      <w:rFonts w:ascii="Times New Roman" w:hAnsi="Times New Roman" w:eastAsia="宋体"/>
                      <w:b w:val="0"/>
                      <w:bCs w:val="0"/>
                      <w:color w:val="auto"/>
                      <w:highlight w:val="none"/>
                    </w:rPr>
                    <w:t>化学品</w:t>
                  </w:r>
                </w:p>
              </w:tc>
              <w:tc>
                <w:tcPr>
                  <w:tcW w:w="784" w:type="pct"/>
                  <w:noWrap w:val="0"/>
                  <w:vAlign w:val="center"/>
                </w:tcPr>
                <w:p w14:paraId="777A1486">
                  <w:pPr>
                    <w:pStyle w:val="35"/>
                    <w:rPr>
                      <w:rFonts w:ascii="Times New Roman" w:hAnsi="Times New Roman" w:eastAsia="宋体"/>
                      <w:b w:val="0"/>
                      <w:bCs w:val="0"/>
                      <w:color w:val="auto"/>
                      <w:highlight w:val="none"/>
                    </w:rPr>
                  </w:pPr>
                  <w:r>
                    <w:rPr>
                      <w:rFonts w:ascii="Times New Roman" w:hAnsi="Times New Roman" w:eastAsia="宋体"/>
                      <w:b w:val="0"/>
                      <w:bCs w:val="0"/>
                      <w:color w:val="auto"/>
                      <w:highlight w:val="none"/>
                    </w:rPr>
                    <w:t>CAS号</w:t>
                  </w:r>
                </w:p>
              </w:tc>
              <w:tc>
                <w:tcPr>
                  <w:tcW w:w="2698" w:type="pct"/>
                  <w:noWrap w:val="0"/>
                  <w:vAlign w:val="center"/>
                </w:tcPr>
                <w:p w14:paraId="5DF75E47">
                  <w:pPr>
                    <w:pStyle w:val="35"/>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性状及物化性质</w:t>
                  </w:r>
                </w:p>
              </w:tc>
              <w:tc>
                <w:tcPr>
                  <w:tcW w:w="1042" w:type="pct"/>
                  <w:noWrap w:val="0"/>
                  <w:vAlign w:val="center"/>
                </w:tcPr>
                <w:p w14:paraId="23FBF904">
                  <w:pPr>
                    <w:pStyle w:val="35"/>
                    <w:rPr>
                      <w:rFonts w:ascii="Times New Roman" w:hAnsi="Times New Roman" w:eastAsia="宋体"/>
                      <w:b w:val="0"/>
                      <w:bCs w:val="0"/>
                      <w:color w:val="auto"/>
                      <w:highlight w:val="none"/>
                    </w:rPr>
                  </w:pPr>
                  <w:r>
                    <w:rPr>
                      <w:rFonts w:ascii="Times New Roman" w:hAnsi="Times New Roman" w:eastAsia="宋体"/>
                      <w:b w:val="0"/>
                      <w:bCs w:val="0"/>
                      <w:color w:val="auto"/>
                      <w:highlight w:val="none"/>
                    </w:rPr>
                    <w:t>（环境）毒性</w:t>
                  </w:r>
                </w:p>
              </w:tc>
            </w:tr>
            <w:tr w14:paraId="42212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4" w:type="pct"/>
                  <w:noWrap w:val="0"/>
                  <w:vAlign w:val="center"/>
                </w:tcPr>
                <w:p w14:paraId="04F690B4">
                  <w:pPr>
                    <w:pStyle w:val="35"/>
                    <w:rPr>
                      <w:rFonts w:ascii="Times New Roman" w:hAnsi="Times New Roman" w:eastAsia="宋体"/>
                      <w:color w:val="auto"/>
                      <w:highlight w:val="none"/>
                    </w:rPr>
                  </w:pPr>
                  <w:r>
                    <w:rPr>
                      <w:rFonts w:hint="eastAsia" w:ascii="Times New Roman" w:hAnsi="Times New Roman" w:eastAsia="宋体"/>
                      <w:color w:val="auto"/>
                      <w:highlight w:val="none"/>
                    </w:rPr>
                    <w:t>柴油</w:t>
                  </w:r>
                </w:p>
              </w:tc>
              <w:tc>
                <w:tcPr>
                  <w:tcW w:w="784" w:type="pct"/>
                  <w:noWrap w:val="0"/>
                  <w:vAlign w:val="center"/>
                </w:tcPr>
                <w:p w14:paraId="2C28FFA7">
                  <w:pPr>
                    <w:pStyle w:val="35"/>
                    <w:rPr>
                      <w:rFonts w:hint="eastAsia" w:ascii="Times New Roman" w:hAnsi="Times New Roman" w:eastAsia="宋体"/>
                      <w:color w:val="auto"/>
                      <w:highlight w:val="none"/>
                    </w:rPr>
                  </w:pPr>
                  <w:r>
                    <w:rPr>
                      <w:rFonts w:hint="eastAsia" w:ascii="Times New Roman" w:hAnsi="Times New Roman" w:eastAsia="宋体"/>
                      <w:color w:val="auto"/>
                      <w:highlight w:val="none"/>
                    </w:rPr>
                    <w:t>/</w:t>
                  </w:r>
                </w:p>
              </w:tc>
              <w:tc>
                <w:tcPr>
                  <w:tcW w:w="2698" w:type="pct"/>
                  <w:noWrap w:val="0"/>
                  <w:vAlign w:val="center"/>
                </w:tcPr>
                <w:p w14:paraId="65B7ED0A">
                  <w:pPr>
                    <w:pStyle w:val="35"/>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稍有粘性的棕色液体，易燃，遇明火、高热或与氧化剂接触，有引起燃烧爆炸的危险，沸点283~338℃，闪点≤45°C，引燃温度254°C，密度0.87~0.9(相对于水)，爆炸极限</w:t>
                  </w:r>
                  <w:r>
                    <w:rPr>
                      <w:rFonts w:ascii="Times New Roman" w:hAnsi="Times New Roman" w:eastAsia="宋体" w:cs="Times New Roman"/>
                      <w:color w:val="auto"/>
                      <w:highlight w:val="none"/>
                    </w:rPr>
                    <w:t>1.5-6.5%</w:t>
                  </w:r>
                  <w:r>
                    <w:rPr>
                      <w:rFonts w:hint="default" w:ascii="Times New Roman" w:hAnsi="Times New Roman" w:eastAsia="宋体" w:cs="Times New Roman"/>
                      <w:color w:val="auto"/>
                      <w:highlight w:val="none"/>
                    </w:rPr>
                    <w:t>，用作柴油机的燃料。</w:t>
                  </w:r>
                </w:p>
              </w:tc>
              <w:tc>
                <w:tcPr>
                  <w:tcW w:w="1042" w:type="pct"/>
                  <w:noWrap w:val="0"/>
                  <w:vAlign w:val="center"/>
                </w:tcPr>
                <w:p w14:paraId="41A5FBD9">
                  <w:pPr>
                    <w:pStyle w:val="35"/>
                    <w:rPr>
                      <w:rFonts w:ascii="Times New Roman" w:hAnsi="Times New Roman" w:eastAsia="宋体"/>
                      <w:color w:val="auto"/>
                      <w:highlight w:val="none"/>
                    </w:rPr>
                  </w:pPr>
                  <w:r>
                    <w:rPr>
                      <w:rFonts w:ascii="Times New Roman" w:hAnsi="Times New Roman" w:eastAsia="宋体"/>
                      <w:color w:val="auto"/>
                      <w:highlight w:val="none"/>
                    </w:rPr>
                    <w:t>属低毒类</w:t>
                  </w:r>
                </w:p>
              </w:tc>
            </w:tr>
            <w:tr w14:paraId="7C70D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4" w:type="pct"/>
                  <w:noWrap w:val="0"/>
                  <w:vAlign w:val="center"/>
                </w:tcPr>
                <w:p w14:paraId="12A202BC">
                  <w:pPr>
                    <w:pStyle w:val="35"/>
                    <w:rPr>
                      <w:rFonts w:ascii="Times New Roman" w:hAnsi="Times New Roman" w:eastAsia="宋体"/>
                      <w:color w:val="auto"/>
                      <w:highlight w:val="none"/>
                    </w:rPr>
                  </w:pPr>
                  <w:r>
                    <w:rPr>
                      <w:rFonts w:hint="eastAsia" w:ascii="Times New Roman" w:hAnsi="Times New Roman" w:eastAsia="宋体"/>
                      <w:color w:val="auto"/>
                      <w:highlight w:val="none"/>
                    </w:rPr>
                    <w:t>汽油</w:t>
                  </w:r>
                </w:p>
              </w:tc>
              <w:tc>
                <w:tcPr>
                  <w:tcW w:w="784" w:type="pct"/>
                  <w:noWrap w:val="0"/>
                  <w:vAlign w:val="center"/>
                </w:tcPr>
                <w:p w14:paraId="0AB085E7">
                  <w:pPr>
                    <w:pStyle w:val="35"/>
                    <w:rPr>
                      <w:rFonts w:ascii="Times New Roman" w:hAnsi="Times New Roman" w:eastAsia="宋体"/>
                      <w:color w:val="auto"/>
                      <w:highlight w:val="none"/>
                    </w:rPr>
                  </w:pPr>
                  <w:r>
                    <w:rPr>
                      <w:rFonts w:hint="eastAsia" w:ascii="Times New Roman" w:hAnsi="Times New Roman" w:eastAsia="宋体"/>
                      <w:color w:val="auto"/>
                      <w:highlight w:val="none"/>
                    </w:rPr>
                    <w:t>8006-61-9</w:t>
                  </w:r>
                </w:p>
              </w:tc>
              <w:tc>
                <w:tcPr>
                  <w:tcW w:w="2698" w:type="pct"/>
                  <w:noWrap w:val="0"/>
                  <w:vAlign w:val="center"/>
                </w:tcPr>
                <w:p w14:paraId="72AD55B3">
                  <w:pPr>
                    <w:pStyle w:val="35"/>
                    <w:jc w:val="left"/>
                    <w:rPr>
                      <w:rFonts w:ascii="Times New Roman" w:hAnsi="Times New Roman" w:eastAsia="宋体" w:cs="Times New Roman"/>
                      <w:color w:val="auto"/>
                      <w:spacing w:val="8"/>
                      <w:highlight w:val="none"/>
                    </w:rPr>
                  </w:pPr>
                  <w:r>
                    <w:rPr>
                      <w:rFonts w:hint="default" w:ascii="Times New Roman" w:hAnsi="Times New Roman" w:eastAsia="宋体" w:cs="Times New Roman"/>
                      <w:color w:val="auto"/>
                      <w:highlight w:val="none"/>
                    </w:rPr>
                    <w:t>无色或淡黄色易挥发液体，具有特殊臭味，易燃，其蒸气与空气可形成爆炸性混合物，遇明火、高热极易燃烧爆炸，沸点40~200℃，闪点＜-18°C，引燃温度415~530°C，密度0.7~0.79(相对于水)，爆炸极限</w:t>
                  </w:r>
                  <w:r>
                    <w:rPr>
                      <w:rFonts w:ascii="Times New Roman" w:hAnsi="Times New Roman" w:eastAsia="宋体" w:cs="Times New Roman"/>
                      <w:color w:val="auto"/>
                      <w:highlight w:val="none"/>
                    </w:rPr>
                    <w:t>1.58~6.48%</w:t>
                  </w:r>
                  <w:r>
                    <w:rPr>
                      <w:rFonts w:hint="default" w:ascii="Times New Roman" w:hAnsi="Times New Roman" w:eastAsia="宋体" w:cs="Times New Roman"/>
                      <w:color w:val="auto"/>
                      <w:highlight w:val="none"/>
                    </w:rPr>
                    <w:t>，用作汽油机的燃料。</w:t>
                  </w:r>
                </w:p>
              </w:tc>
              <w:tc>
                <w:tcPr>
                  <w:tcW w:w="1042" w:type="pct"/>
                  <w:noWrap w:val="0"/>
                  <w:vAlign w:val="center"/>
                </w:tcPr>
                <w:p w14:paraId="1948D204">
                  <w:pPr>
                    <w:pStyle w:val="35"/>
                    <w:rPr>
                      <w:rFonts w:hint="eastAsia" w:ascii="Times New Roman" w:hAnsi="Times New Roman" w:eastAsia="宋体"/>
                      <w:color w:val="auto"/>
                      <w:highlight w:val="none"/>
                    </w:rPr>
                  </w:pPr>
                  <w:r>
                    <w:rPr>
                      <w:rFonts w:ascii="Times New Roman" w:hAnsi="Times New Roman" w:eastAsia="宋体"/>
                      <w:color w:val="auto"/>
                      <w:highlight w:val="none"/>
                    </w:rPr>
                    <w:t>属低毒类</w:t>
                  </w:r>
                  <w:r>
                    <w:rPr>
                      <w:rFonts w:hint="eastAsia" w:ascii="Times New Roman" w:hAnsi="Times New Roman" w:eastAsia="宋体"/>
                      <w:color w:val="auto"/>
                      <w:highlight w:val="none"/>
                    </w:rPr>
                    <w:t>，LC</w:t>
                  </w:r>
                  <w:r>
                    <w:rPr>
                      <w:rFonts w:hint="eastAsia" w:ascii="Times New Roman" w:hAnsi="Times New Roman" w:eastAsia="宋体"/>
                      <w:color w:val="auto"/>
                      <w:highlight w:val="none"/>
                      <w:vertAlign w:val="subscript"/>
                    </w:rPr>
                    <w:t>50</w:t>
                  </w:r>
                  <w:r>
                    <w:rPr>
                      <w:rFonts w:hint="eastAsia" w:ascii="Times New Roman" w:hAnsi="Times New Roman" w:eastAsia="宋体"/>
                      <w:color w:val="auto"/>
                      <w:highlight w:val="none"/>
                    </w:rPr>
                    <w:t>:103000mg/m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14:paraId="3B0EFD08">
                  <w:pPr>
                    <w:pStyle w:val="35"/>
                    <w:rPr>
                      <w:rFonts w:hint="eastAsia" w:ascii="Times New Roman" w:hAnsi="Times New Roman" w:eastAsia="宋体"/>
                      <w:color w:val="auto"/>
                      <w:highlight w:val="none"/>
                    </w:rPr>
                  </w:pPr>
                  <w:r>
                    <w:rPr>
                      <w:rFonts w:hint="eastAsia" w:ascii="Times New Roman" w:hAnsi="Times New Roman" w:eastAsia="宋体"/>
                      <w:color w:val="auto"/>
                      <w:highlight w:val="none"/>
                    </w:rPr>
                    <w:t>2小时（小鼠吸入）（120溶剂汽油）</w:t>
                  </w:r>
                </w:p>
              </w:tc>
            </w:tr>
            <w:tr w14:paraId="0DD25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4" w:type="pct"/>
                  <w:noWrap w:val="0"/>
                  <w:vAlign w:val="center"/>
                </w:tcPr>
                <w:p w14:paraId="140030E0">
                  <w:pPr>
                    <w:pStyle w:val="35"/>
                    <w:rPr>
                      <w:rFonts w:hint="eastAsia" w:ascii="Times New Roman" w:hAnsi="Times New Roman" w:eastAsia="宋体"/>
                      <w:color w:val="auto"/>
                      <w:highlight w:val="none"/>
                    </w:rPr>
                  </w:pPr>
                  <w:r>
                    <w:rPr>
                      <w:rFonts w:hint="eastAsia" w:ascii="Times New Roman" w:hAnsi="Times New Roman" w:eastAsia="宋体"/>
                      <w:color w:val="auto"/>
                      <w:highlight w:val="none"/>
                    </w:rPr>
                    <w:t>氟利昂</w:t>
                  </w:r>
                </w:p>
              </w:tc>
              <w:tc>
                <w:tcPr>
                  <w:tcW w:w="784" w:type="pct"/>
                  <w:noWrap w:val="0"/>
                  <w:vAlign w:val="center"/>
                </w:tcPr>
                <w:p w14:paraId="43DA1ECE">
                  <w:pPr>
                    <w:pStyle w:val="35"/>
                    <w:rPr>
                      <w:rFonts w:ascii="Times New Roman" w:hAnsi="Times New Roman" w:eastAsia="宋体"/>
                      <w:color w:val="auto"/>
                      <w:highlight w:val="none"/>
                    </w:rPr>
                  </w:pPr>
                  <w:r>
                    <w:rPr>
                      <w:rFonts w:hint="eastAsia" w:ascii="Times New Roman" w:hAnsi="Times New Roman" w:eastAsia="宋体"/>
                      <w:color w:val="auto"/>
                      <w:highlight w:val="none"/>
                    </w:rPr>
                    <w:t>75-88-7</w:t>
                  </w:r>
                </w:p>
              </w:tc>
              <w:tc>
                <w:tcPr>
                  <w:tcW w:w="2698" w:type="pct"/>
                  <w:noWrap w:val="0"/>
                  <w:vAlign w:val="center"/>
                </w:tcPr>
                <w:p w14:paraId="42007FF9">
                  <w:pPr>
                    <w:pStyle w:val="35"/>
                    <w:jc w:val="left"/>
                    <w:rPr>
                      <w:rFonts w:ascii="Times New Roman" w:hAnsi="Times New Roman" w:eastAsia="宋体" w:cs="Times New Roman"/>
                      <w:color w:val="auto"/>
                      <w:spacing w:val="8"/>
                      <w:highlight w:val="none"/>
                    </w:rPr>
                  </w:pPr>
                  <w:r>
                    <w:rPr>
                      <w:rFonts w:hint="default" w:ascii="Times New Roman" w:hAnsi="Times New Roman" w:eastAsia="宋体" w:cs="Times New Roman"/>
                      <w:color w:val="auto"/>
                      <w:spacing w:val="8"/>
                      <w:highlight w:val="none"/>
                    </w:rPr>
                    <w:t>无色或淡黄色易挥发液体，具有特殊臭味，不燃，与明火接触时（400°C以上）分解出有毒的光气，熔点-158°C，密度1.486 g/cm</w:t>
                  </w:r>
                  <w:r>
                    <w:rPr>
                      <w:rFonts w:hint="default" w:ascii="Times New Roman" w:hAnsi="Times New Roman" w:eastAsia="宋体" w:cs="Times New Roman"/>
                      <w:color w:val="auto"/>
                      <w:spacing w:val="8"/>
                      <w:highlight w:val="none"/>
                      <w:vertAlign w:val="superscript"/>
                    </w:rPr>
                    <w:t>3</w:t>
                  </w:r>
                  <w:r>
                    <w:rPr>
                      <w:rFonts w:hint="default" w:ascii="Times New Roman" w:hAnsi="Times New Roman" w:eastAsia="宋体" w:cs="Times New Roman"/>
                      <w:color w:val="auto"/>
                      <w:spacing w:val="8"/>
                      <w:highlight w:val="none"/>
                    </w:rPr>
                    <w:t>（-30°C），蒸汽压0.13 kPa/145.8°C，主要以中、小食品库、家用电冰箱以及水路冷藏运输、车用空调等制冷装置中被广泛应用。</w:t>
                  </w:r>
                </w:p>
              </w:tc>
              <w:tc>
                <w:tcPr>
                  <w:tcW w:w="1042" w:type="pct"/>
                  <w:noWrap w:val="0"/>
                  <w:vAlign w:val="center"/>
                </w:tcPr>
                <w:p w14:paraId="32C55499">
                  <w:pPr>
                    <w:pStyle w:val="35"/>
                    <w:rPr>
                      <w:rFonts w:ascii="Times New Roman" w:hAnsi="Times New Roman" w:eastAsia="宋体"/>
                      <w:color w:val="auto"/>
                      <w:spacing w:val="8"/>
                      <w:highlight w:val="none"/>
                    </w:rPr>
                  </w:pPr>
                  <w:r>
                    <w:rPr>
                      <w:rFonts w:ascii="Times New Roman" w:hAnsi="Times New Roman" w:eastAsia="宋体"/>
                      <w:color w:val="auto"/>
                      <w:spacing w:val="8"/>
                      <w:highlight w:val="none"/>
                    </w:rPr>
                    <w:t>属低毒类</w:t>
                  </w:r>
                </w:p>
              </w:tc>
            </w:tr>
            <w:tr w14:paraId="61C0B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474" w:type="pct"/>
                  <w:noWrap w:val="0"/>
                  <w:vAlign w:val="center"/>
                </w:tcPr>
                <w:p w14:paraId="33C170B9">
                  <w:pPr>
                    <w:pStyle w:val="35"/>
                    <w:rPr>
                      <w:rFonts w:hint="eastAsia" w:ascii="Times New Roman" w:hAnsi="Times New Roman" w:eastAsia="宋体"/>
                      <w:color w:val="auto"/>
                      <w:highlight w:val="none"/>
                    </w:rPr>
                  </w:pPr>
                  <w:r>
                    <w:rPr>
                      <w:rFonts w:hint="eastAsia" w:ascii="Times New Roman" w:hAnsi="Times New Roman" w:eastAsia="宋体"/>
                      <w:color w:val="auto"/>
                      <w:highlight w:val="none"/>
                    </w:rPr>
                    <w:t>氧气</w:t>
                  </w:r>
                </w:p>
              </w:tc>
              <w:tc>
                <w:tcPr>
                  <w:tcW w:w="784" w:type="pct"/>
                  <w:noWrap w:val="0"/>
                  <w:vAlign w:val="center"/>
                </w:tcPr>
                <w:p w14:paraId="0E8E2AD3">
                  <w:pPr>
                    <w:pStyle w:val="35"/>
                    <w:rPr>
                      <w:rFonts w:ascii="Times New Roman" w:hAnsi="Times New Roman" w:eastAsia="宋体"/>
                      <w:color w:val="auto"/>
                      <w:highlight w:val="none"/>
                    </w:rPr>
                  </w:pPr>
                  <w:r>
                    <w:rPr>
                      <w:rFonts w:hint="eastAsia" w:ascii="Times New Roman" w:hAnsi="Times New Roman" w:eastAsia="宋体"/>
                      <w:color w:val="auto"/>
                      <w:highlight w:val="none"/>
                    </w:rPr>
                    <w:t>7782-44-7</w:t>
                  </w:r>
                </w:p>
              </w:tc>
              <w:tc>
                <w:tcPr>
                  <w:tcW w:w="2698" w:type="pct"/>
                  <w:noWrap w:val="0"/>
                  <w:vAlign w:val="center"/>
                </w:tcPr>
                <w:p w14:paraId="4231A57C">
                  <w:pPr>
                    <w:pStyle w:val="35"/>
                    <w:jc w:val="left"/>
                    <w:rPr>
                      <w:rFonts w:hint="default" w:ascii="Times New Roman" w:hAnsi="Times New Roman" w:eastAsia="宋体" w:cs="Times New Roman"/>
                      <w:color w:val="auto"/>
                      <w:spacing w:val="8"/>
                      <w:highlight w:val="none"/>
                    </w:rPr>
                  </w:pPr>
                  <w:r>
                    <w:rPr>
                      <w:rFonts w:hint="default" w:ascii="Times New Roman" w:hAnsi="Times New Roman" w:eastAsia="宋体" w:cs="Times New Roman"/>
                      <w:color w:val="auto"/>
                      <w:spacing w:val="8"/>
                      <w:highlight w:val="none"/>
                    </w:rPr>
                    <w:t>无色无臭气体，助燃，熔点-218.8°C，沸点-183.1°C，密度1.14（-183°C，相对于水），</w:t>
                  </w:r>
                  <w:r>
                    <w:rPr>
                      <w:rFonts w:hint="default" w:ascii="Times New Roman" w:hAnsi="Times New Roman" w:eastAsia="宋体" w:cs="Times New Roman"/>
                      <w:color w:val="auto"/>
                      <w:spacing w:val="8"/>
                      <w:highlight w:val="none"/>
                      <w:lang w:eastAsia="zh-CN"/>
                    </w:rPr>
                    <w:t>用</w:t>
                  </w:r>
                  <w:r>
                    <w:rPr>
                      <w:rFonts w:hint="default" w:ascii="Times New Roman" w:hAnsi="Times New Roman" w:eastAsia="宋体" w:cs="Times New Roman"/>
                      <w:color w:val="auto"/>
                      <w:spacing w:val="8"/>
                      <w:highlight w:val="none"/>
                    </w:rPr>
                    <w:t>于切割、焊接金属，制造医药、染料、炸药等。</w:t>
                  </w:r>
                </w:p>
              </w:tc>
              <w:tc>
                <w:tcPr>
                  <w:tcW w:w="1042" w:type="pct"/>
                  <w:noWrap w:val="0"/>
                  <w:vAlign w:val="center"/>
                </w:tcPr>
                <w:p w14:paraId="046AB039">
                  <w:pPr>
                    <w:pStyle w:val="35"/>
                    <w:rPr>
                      <w:rFonts w:hint="eastAsia" w:ascii="Times New Roman" w:hAnsi="Times New Roman" w:eastAsia="宋体"/>
                      <w:color w:val="auto"/>
                      <w:spacing w:val="8"/>
                      <w:highlight w:val="none"/>
                    </w:rPr>
                  </w:pPr>
                  <w:r>
                    <w:rPr>
                      <w:rFonts w:hint="eastAsia" w:ascii="Times New Roman" w:hAnsi="Times New Roman" w:eastAsia="宋体"/>
                      <w:color w:val="auto"/>
                      <w:spacing w:val="8"/>
                      <w:highlight w:val="none"/>
                    </w:rPr>
                    <w:t>无相关资料</w:t>
                  </w:r>
                </w:p>
              </w:tc>
            </w:tr>
            <w:tr w14:paraId="09BF1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4" w:type="pct"/>
                  <w:noWrap w:val="0"/>
                  <w:vAlign w:val="center"/>
                </w:tcPr>
                <w:p w14:paraId="67C12645">
                  <w:pPr>
                    <w:pStyle w:val="35"/>
                    <w:rPr>
                      <w:rFonts w:ascii="Times New Roman" w:hAnsi="Times New Roman" w:eastAsia="宋体"/>
                      <w:color w:val="auto"/>
                      <w:highlight w:val="none"/>
                    </w:rPr>
                  </w:pPr>
                  <w:r>
                    <w:rPr>
                      <w:rFonts w:hint="eastAsia" w:ascii="Times New Roman" w:hAnsi="Times New Roman" w:eastAsia="宋体"/>
                      <w:color w:val="auto"/>
                      <w:highlight w:val="none"/>
                    </w:rPr>
                    <w:t>硫酸</w:t>
                  </w:r>
                </w:p>
              </w:tc>
              <w:tc>
                <w:tcPr>
                  <w:tcW w:w="784" w:type="pct"/>
                  <w:noWrap w:val="0"/>
                  <w:vAlign w:val="center"/>
                </w:tcPr>
                <w:p w14:paraId="1735EDA9">
                  <w:pPr>
                    <w:pStyle w:val="35"/>
                    <w:rPr>
                      <w:rFonts w:ascii="Times New Roman" w:hAnsi="Times New Roman" w:eastAsia="宋体"/>
                      <w:color w:val="auto"/>
                      <w:highlight w:val="none"/>
                    </w:rPr>
                  </w:pPr>
                  <w:r>
                    <w:rPr>
                      <w:rFonts w:hint="eastAsia" w:ascii="Times New Roman" w:hAnsi="Times New Roman" w:eastAsia="宋体"/>
                      <w:color w:val="auto"/>
                      <w:highlight w:val="none"/>
                    </w:rPr>
                    <w:t>7664-93-9</w:t>
                  </w:r>
                </w:p>
              </w:tc>
              <w:tc>
                <w:tcPr>
                  <w:tcW w:w="2698" w:type="pct"/>
                  <w:noWrap w:val="0"/>
                  <w:vAlign w:val="center"/>
                </w:tcPr>
                <w:p w14:paraId="782AEF88">
                  <w:pPr>
                    <w:pStyle w:val="35"/>
                    <w:jc w:val="left"/>
                    <w:rPr>
                      <w:rFonts w:ascii="Times New Roman" w:hAnsi="Times New Roman" w:eastAsia="宋体" w:cs="Times New Roman"/>
                      <w:color w:val="auto"/>
                      <w:spacing w:val="8"/>
                      <w:highlight w:val="none"/>
                    </w:rPr>
                  </w:pPr>
                  <w:r>
                    <w:rPr>
                      <w:rFonts w:hint="default" w:ascii="Times New Roman" w:hAnsi="Times New Roman" w:eastAsia="宋体" w:cs="Times New Roman"/>
                      <w:color w:val="auto"/>
                      <w:spacing w:val="8"/>
                      <w:highlight w:val="none"/>
                    </w:rPr>
                    <w:t>纯品为无色透油状液体，无臭，助燃，具有强腐蚀性、强刺激性，可致人体灼伤，</w:t>
                  </w:r>
                  <w:r>
                    <w:rPr>
                      <w:rFonts w:hint="default" w:ascii="Times New Roman" w:hAnsi="Times New Roman" w:eastAsia="宋体" w:cs="Times New Roman"/>
                      <w:color w:val="auto"/>
                      <w:highlight w:val="none"/>
                    </w:rPr>
                    <w:t>沸点330℃，熔点10.5°C，密度1.83(相对于水)。</w:t>
                  </w:r>
                </w:p>
              </w:tc>
              <w:tc>
                <w:tcPr>
                  <w:tcW w:w="1042" w:type="pct"/>
                  <w:noWrap w:val="0"/>
                  <w:vAlign w:val="center"/>
                </w:tcPr>
                <w:p w14:paraId="1ABC042C">
                  <w:pPr>
                    <w:pStyle w:val="35"/>
                    <w:rPr>
                      <w:rFonts w:hint="eastAsia" w:ascii="Times New Roman" w:hAnsi="Times New Roman" w:eastAsia="宋体"/>
                      <w:color w:val="auto"/>
                      <w:highlight w:val="none"/>
                    </w:rPr>
                  </w:pPr>
                  <w:r>
                    <w:rPr>
                      <w:rFonts w:hint="eastAsia" w:ascii="Times New Roman" w:hAnsi="Times New Roman" w:eastAsia="宋体"/>
                      <w:color w:val="auto"/>
                      <w:highlight w:val="none"/>
                    </w:rPr>
                    <w:t>LD</w:t>
                  </w:r>
                  <w:r>
                    <w:rPr>
                      <w:rFonts w:hint="eastAsia" w:ascii="Times New Roman" w:hAnsi="Times New Roman" w:eastAsia="宋体"/>
                      <w:color w:val="auto"/>
                      <w:highlight w:val="none"/>
                      <w:vertAlign w:val="subscript"/>
                    </w:rPr>
                    <w:t>50</w:t>
                  </w:r>
                  <w:r>
                    <w:rPr>
                      <w:rFonts w:hint="eastAsia" w:ascii="Times New Roman" w:hAnsi="Times New Roman" w:eastAsia="宋体"/>
                      <w:color w:val="auto"/>
                      <w:highlight w:val="none"/>
                    </w:rPr>
                    <w:t>:214mg/kg（大鼠经口）</w:t>
                  </w:r>
                </w:p>
              </w:tc>
            </w:tr>
            <w:tr w14:paraId="26EA5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474" w:type="pct"/>
                  <w:noWrap w:val="0"/>
                  <w:vAlign w:val="center"/>
                </w:tcPr>
                <w:p w14:paraId="106D3BD1">
                  <w:pPr>
                    <w:pStyle w:val="35"/>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乙炔</w:t>
                  </w:r>
                </w:p>
              </w:tc>
              <w:tc>
                <w:tcPr>
                  <w:tcW w:w="784" w:type="pct"/>
                  <w:noWrap w:val="0"/>
                  <w:vAlign w:val="center"/>
                </w:tcPr>
                <w:p w14:paraId="32D4AE07">
                  <w:pPr>
                    <w:pStyle w:val="35"/>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74-86-2</w:t>
                  </w:r>
                </w:p>
              </w:tc>
              <w:tc>
                <w:tcPr>
                  <w:tcW w:w="2698" w:type="pct"/>
                  <w:noWrap w:val="0"/>
                  <w:vAlign w:val="center"/>
                </w:tcPr>
                <w:p w14:paraId="691B70F2">
                  <w:pPr>
                    <w:pStyle w:val="35"/>
                    <w:jc w:val="left"/>
                    <w:rPr>
                      <w:rFonts w:hint="default" w:ascii="Times New Roman" w:hAnsi="Times New Roman" w:eastAsia="宋体" w:cs="Times New Roman"/>
                      <w:color w:val="auto"/>
                      <w:spacing w:val="8"/>
                      <w:highlight w:val="none"/>
                      <w:lang w:val="en-US" w:eastAsia="zh-CN"/>
                    </w:rPr>
                  </w:pPr>
                  <w:r>
                    <w:rPr>
                      <w:rFonts w:hint="default" w:ascii="Times New Roman" w:hAnsi="Times New Roman" w:eastAsia="宋体" w:cs="Times New Roman"/>
                      <w:color w:val="auto"/>
                      <w:spacing w:val="8"/>
                      <w:highlight w:val="none"/>
                      <w:lang w:eastAsia="zh-CN"/>
                    </w:rPr>
                    <w:t>无色无臭气体，易</w:t>
                  </w:r>
                  <w:r>
                    <w:rPr>
                      <w:rFonts w:hint="default" w:ascii="Times New Roman" w:hAnsi="Times New Roman" w:eastAsia="宋体" w:cs="Times New Roman"/>
                      <w:color w:val="auto"/>
                      <w:spacing w:val="8"/>
                      <w:highlight w:val="none"/>
                    </w:rPr>
                    <w:t>燃，具有</w:t>
                  </w:r>
                  <w:r>
                    <w:rPr>
                      <w:rFonts w:hint="default" w:ascii="Times New Roman" w:hAnsi="Times New Roman" w:eastAsia="宋体" w:cs="Times New Roman"/>
                      <w:color w:val="auto"/>
                      <w:spacing w:val="8"/>
                      <w:highlight w:val="none"/>
                      <w:lang w:eastAsia="zh-CN"/>
                    </w:rPr>
                    <w:t>窒息性</w:t>
                  </w:r>
                  <w:r>
                    <w:rPr>
                      <w:rFonts w:hint="default" w:ascii="Times New Roman" w:hAnsi="Times New Roman" w:eastAsia="宋体" w:cs="Times New Roman"/>
                      <w:color w:val="auto"/>
                      <w:spacing w:val="8"/>
                      <w:highlight w:val="none"/>
                    </w:rPr>
                    <w:t>，</w:t>
                  </w:r>
                  <w:r>
                    <w:rPr>
                      <w:rFonts w:hint="default" w:ascii="Times New Roman" w:hAnsi="Times New Roman" w:eastAsia="宋体" w:cs="Times New Roman"/>
                      <w:color w:val="auto"/>
                      <w:highlight w:val="none"/>
                    </w:rPr>
                    <w:t>沸点</w:t>
                  </w:r>
                  <w:r>
                    <w:rPr>
                      <w:rFonts w:hint="default" w:ascii="Times New Roman" w:hAnsi="Times New Roman" w:eastAsia="宋体" w:cs="Times New Roman"/>
                      <w:color w:val="auto"/>
                      <w:highlight w:val="none"/>
                      <w:lang w:val="en-US" w:eastAsia="zh-CN"/>
                    </w:rPr>
                    <w:t>-83.8</w:t>
                  </w:r>
                  <w:r>
                    <w:rPr>
                      <w:rFonts w:hint="default" w:ascii="Times New Roman" w:hAnsi="Times New Roman" w:eastAsia="宋体" w:cs="Times New Roman"/>
                      <w:color w:val="auto"/>
                      <w:highlight w:val="none"/>
                    </w:rPr>
                    <w:t>℃，熔点</w:t>
                  </w:r>
                  <w:r>
                    <w:rPr>
                      <w:rFonts w:hint="default" w:ascii="Times New Roman" w:hAnsi="Times New Roman" w:eastAsia="宋体" w:cs="Times New Roman"/>
                      <w:color w:val="auto"/>
                      <w:highlight w:val="none"/>
                      <w:lang w:val="en-US" w:eastAsia="zh-CN"/>
                    </w:rPr>
                    <w:t>-81.8</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119kPA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，密度</w:t>
                  </w:r>
                  <w:r>
                    <w:rPr>
                      <w:rFonts w:hint="default" w:ascii="Times New Roman" w:hAnsi="Times New Roman" w:eastAsia="宋体" w:cs="Times New Roman"/>
                      <w:color w:val="auto"/>
                      <w:highlight w:val="none"/>
                      <w:lang w:val="en-US" w:eastAsia="zh-CN"/>
                    </w:rPr>
                    <w:t>0.62</w:t>
                  </w:r>
                  <w:r>
                    <w:rPr>
                      <w:rFonts w:hint="default" w:ascii="Times New Roman" w:hAnsi="Times New Roman" w:eastAsia="宋体" w:cs="Times New Roman"/>
                      <w:color w:val="auto"/>
                      <w:highlight w:val="none"/>
                    </w:rPr>
                    <w:t>(相对于水)</w:t>
                  </w:r>
                  <w:r>
                    <w:rPr>
                      <w:rFonts w:hint="default" w:ascii="Times New Roman" w:hAnsi="Times New Roman" w:eastAsia="宋体" w:cs="Times New Roman"/>
                      <w:color w:val="auto"/>
                      <w:highlight w:val="none"/>
                      <w:lang w:eastAsia="zh-CN"/>
                    </w:rPr>
                    <w:t>，饱和蒸汽压</w:t>
                  </w:r>
                  <w:r>
                    <w:rPr>
                      <w:rFonts w:hint="default" w:ascii="Times New Roman" w:hAnsi="Times New Roman" w:eastAsia="宋体" w:cs="Times New Roman"/>
                      <w:color w:val="auto"/>
                      <w:highlight w:val="none"/>
                      <w:lang w:val="en-US" w:eastAsia="zh-CN"/>
                    </w:rPr>
                    <w:t>4053（16.8</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w:t>
                  </w:r>
                </w:p>
              </w:tc>
              <w:tc>
                <w:tcPr>
                  <w:tcW w:w="1042" w:type="pct"/>
                  <w:noWrap w:val="0"/>
                  <w:vAlign w:val="center"/>
                </w:tcPr>
                <w:p w14:paraId="46561D08">
                  <w:pPr>
                    <w:pStyle w:val="35"/>
                    <w:rPr>
                      <w:rFonts w:hint="eastAsia" w:ascii="Times New Roman" w:hAnsi="Times New Roman" w:eastAsia="宋体"/>
                      <w:color w:val="auto"/>
                      <w:highlight w:val="none"/>
                    </w:rPr>
                  </w:pPr>
                  <w:r>
                    <w:rPr>
                      <w:rFonts w:hint="eastAsia" w:ascii="Times New Roman" w:hAnsi="Times New Roman" w:eastAsia="宋体"/>
                      <w:color w:val="auto"/>
                      <w:spacing w:val="8"/>
                      <w:highlight w:val="none"/>
                    </w:rPr>
                    <w:t>无相关资料</w:t>
                  </w:r>
                </w:p>
              </w:tc>
            </w:tr>
          </w:tbl>
          <w:p w14:paraId="187F4316">
            <w:pPr>
              <w:adjustRightInd w:val="0"/>
              <w:snapToGrid w:val="0"/>
              <w:spacing w:before="120" w:beforeLines="50"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 xml:space="preserve"> 主要生产设备</w:t>
            </w:r>
          </w:p>
          <w:p w14:paraId="40E95DDB">
            <w:pPr>
              <w:widowControl/>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本项目的主要生产设备详见表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14:paraId="1F93345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eastAsia" w:ascii="Times New Roman" w:hAnsi="Times New Roman" w:eastAsia="黑体" w:cs="Times New Roman"/>
                <w:color w:val="auto"/>
                <w:sz w:val="24"/>
                <w:szCs w:val="24"/>
                <w:highlight w:val="none"/>
                <w:lang w:val="en-US" w:eastAsia="zh-CN"/>
              </w:rPr>
              <w:t>7</w:t>
            </w:r>
            <w:r>
              <w:rPr>
                <w:rFonts w:hint="default" w:ascii="Times New Roman" w:hAnsi="Times New Roman" w:eastAsia="黑体" w:cs="Times New Roman"/>
                <w:color w:val="auto"/>
                <w:sz w:val="24"/>
                <w:szCs w:val="24"/>
                <w:highlight w:val="none"/>
              </w:rPr>
              <w:t xml:space="preserve"> </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rPr>
              <w:t>项目</w:t>
            </w:r>
            <w:r>
              <w:rPr>
                <w:rFonts w:hint="eastAsia" w:ascii="Times New Roman" w:hAnsi="Times New Roman" w:eastAsia="黑体" w:cs="Times New Roman"/>
                <w:color w:val="auto"/>
                <w:sz w:val="24"/>
                <w:szCs w:val="24"/>
                <w:highlight w:val="none"/>
              </w:rPr>
              <w:t>主要生产</w:t>
            </w:r>
            <w:r>
              <w:rPr>
                <w:rFonts w:hint="eastAsia" w:ascii="Times New Roman" w:hAnsi="Times New Roman" w:eastAsia="黑体" w:cs="Times New Roman"/>
                <w:color w:val="auto"/>
                <w:sz w:val="24"/>
                <w:szCs w:val="24"/>
                <w:highlight w:val="none"/>
                <w:lang w:eastAsia="zh-CN"/>
              </w:rPr>
              <w:t>设备</w:t>
            </w:r>
            <w:r>
              <w:rPr>
                <w:rFonts w:hint="eastAsia" w:ascii="Times New Roman" w:hAnsi="Times New Roman" w:eastAsia="黑体" w:cs="Times New Roman"/>
                <w:color w:val="auto"/>
                <w:sz w:val="24"/>
                <w:szCs w:val="24"/>
                <w:highlight w:val="none"/>
              </w:rPr>
              <w:t>一览表</w:t>
            </w:r>
          </w:p>
          <w:p w14:paraId="547A6F77">
            <w:pPr>
              <w:keepNext w:val="0"/>
              <w:keepLines w:val="0"/>
              <w:pageBreakBefore w:val="0"/>
              <w:widowControl w:val="0"/>
              <w:kinsoku/>
              <w:wordWrap/>
              <w:overflowPunct/>
              <w:topLinePunct w:val="0"/>
              <w:autoSpaceDE/>
              <w:autoSpaceDN/>
              <w:bidi w:val="0"/>
              <w:adjustRightInd/>
              <w:snapToGrid/>
              <w:spacing w:before="191" w:beforeLines="50" w:line="360" w:lineRule="auto"/>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2.2.6物料平衡</w:t>
            </w:r>
          </w:p>
          <w:p w14:paraId="70A963F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（1）废旧机动车</w:t>
            </w:r>
          </w:p>
          <w:p w14:paraId="1FF37B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报废</w:t>
            </w:r>
            <w:r>
              <w:rPr>
                <w:rFonts w:hint="eastAsia" w:ascii="Times New Roman" w:hAnsi="Times New Roman" w:eastAsia="宋体" w:cs="Times New Roman"/>
                <w:color w:val="auto"/>
                <w:kern w:val="0"/>
                <w:sz w:val="24"/>
                <w:lang w:val="en-US" w:eastAsia="zh-CN"/>
              </w:rPr>
              <w:t>机动车、废电机、废变压机</w:t>
            </w:r>
            <w:r>
              <w:rPr>
                <w:rFonts w:hint="default" w:ascii="Times New Roman" w:hAnsi="Times New Roman" w:eastAsia="宋体" w:cs="Times New Roman"/>
                <w:color w:val="auto"/>
                <w:kern w:val="0"/>
                <w:sz w:val="24"/>
                <w:lang w:val="en-US" w:eastAsia="zh-CN"/>
              </w:rPr>
              <w:t>拆解下来的各种可回收的物品和零部件，包括废钢铁、废有色金属、废塑料、废橡胶、废玻璃、废</w:t>
            </w:r>
            <w:r>
              <w:rPr>
                <w:rFonts w:hint="eastAsia" w:ascii="Times New Roman" w:hAnsi="Times New Roman" w:eastAsia="宋体" w:cs="Times New Roman"/>
                <w:color w:val="auto"/>
                <w:kern w:val="0"/>
                <w:sz w:val="24"/>
                <w:lang w:val="en-US" w:eastAsia="zh-CN"/>
              </w:rPr>
              <w:t>电子零部件</w:t>
            </w:r>
            <w:r>
              <w:rPr>
                <w:rFonts w:hint="default" w:ascii="Times New Roman" w:hAnsi="Times New Roman" w:eastAsia="宋体" w:cs="Times New Roman"/>
                <w:color w:val="auto"/>
                <w:kern w:val="0"/>
                <w:sz w:val="24"/>
                <w:lang w:val="en-US" w:eastAsia="zh-CN"/>
              </w:rPr>
              <w:t>及可回用零部件等</w:t>
            </w:r>
            <w:r>
              <w:rPr>
                <w:rFonts w:hint="eastAsia" w:ascii="Times New Roman" w:hAnsi="Times New Roman" w:eastAsia="宋体" w:cs="Times New Roman"/>
                <w:color w:val="auto"/>
                <w:kern w:val="0"/>
                <w:sz w:val="24"/>
                <w:lang w:val="en-US" w:eastAsia="zh-CN"/>
              </w:rPr>
              <w:t>，作为本项目的主要产品，同时也将产生一定量的不可利用固体废物。</w:t>
            </w:r>
          </w:p>
          <w:p w14:paraId="2C9308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项目严格按照《报废机动车回收拆解企业技术规范》（GB 22128-2019）和《报废机动车拆解环境保护技术规范》（HJ348-</w:t>
            </w:r>
            <w:r>
              <w:rPr>
                <w:rFonts w:hint="eastAsia" w:ascii="Times New Roman" w:hAnsi="Times New Roman" w:eastAsia="宋体" w:cs="Times New Roman"/>
                <w:color w:val="auto"/>
                <w:kern w:val="0"/>
                <w:sz w:val="24"/>
                <w:lang w:val="en-US" w:eastAsia="zh-CN"/>
              </w:rPr>
              <w:t>2022</w:t>
            </w:r>
            <w:r>
              <w:rPr>
                <w:rFonts w:hint="default" w:ascii="Times New Roman" w:hAnsi="Times New Roman" w:eastAsia="宋体" w:cs="Times New Roman"/>
                <w:color w:val="auto"/>
                <w:kern w:val="0"/>
                <w:sz w:val="24"/>
                <w:lang w:val="en-US" w:eastAsia="zh-CN"/>
              </w:rPr>
              <w:t>）等有关标准要求对报废</w:t>
            </w:r>
            <w:r>
              <w:rPr>
                <w:rFonts w:hint="eastAsia" w:ascii="Times New Roman" w:hAnsi="Times New Roman" w:eastAsia="宋体" w:cs="Times New Roman"/>
                <w:color w:val="auto"/>
                <w:kern w:val="0"/>
                <w:sz w:val="24"/>
                <w:lang w:val="en-US" w:eastAsia="zh-CN"/>
              </w:rPr>
              <w:t>机动车</w:t>
            </w:r>
            <w:r>
              <w:rPr>
                <w:rFonts w:hint="default" w:ascii="Times New Roman" w:hAnsi="Times New Roman" w:eastAsia="宋体" w:cs="Times New Roman"/>
                <w:color w:val="auto"/>
                <w:kern w:val="0"/>
                <w:sz w:val="24"/>
                <w:lang w:val="en-US" w:eastAsia="zh-CN"/>
              </w:rPr>
              <w:t>回收、拆解，不对发动机、变速器、电容器、蓄电池、各类小电器元件及尾气净化催化器等零部件进行深度拆解。</w:t>
            </w:r>
          </w:p>
          <w:p w14:paraId="280FEC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w:t>
            </w:r>
            <w:r>
              <w:rPr>
                <w:rFonts w:hint="default" w:ascii="Times New Roman" w:hAnsi="Times New Roman" w:eastAsia="宋体" w:cs="Times New Roman"/>
                <w:color w:val="auto"/>
                <w:kern w:val="0"/>
                <w:sz w:val="24"/>
                <w:lang w:val="en-US" w:eastAsia="zh-CN"/>
              </w:rPr>
              <w:t>次评价根据《汽车报废拆解和材料回收利用》中相关资料以及</w:t>
            </w:r>
            <w:r>
              <w:rPr>
                <w:rFonts w:hint="eastAsia" w:ascii="Times New Roman" w:hAnsi="Times New Roman" w:eastAsia="宋体" w:cs="Times New Roman"/>
                <w:color w:val="auto"/>
                <w:kern w:val="0"/>
                <w:sz w:val="24"/>
                <w:lang w:val="en-US" w:eastAsia="zh-CN"/>
              </w:rPr>
              <w:t>建设单位提供的</w:t>
            </w:r>
            <w:r>
              <w:rPr>
                <w:rFonts w:hint="default" w:ascii="Times New Roman" w:hAnsi="Times New Roman" w:eastAsia="宋体" w:cs="Times New Roman"/>
                <w:color w:val="auto"/>
                <w:kern w:val="0"/>
                <w:sz w:val="24"/>
                <w:lang w:val="en-US" w:eastAsia="zh-CN"/>
              </w:rPr>
              <w:t>各类型车辆的整备质量情况进行类比核算，得到本项目报废机动车各车型拆解物明细，见表2.2-</w:t>
            </w:r>
            <w:r>
              <w:rPr>
                <w:rFonts w:hint="eastAsia" w:ascii="Times New Roman" w:hAnsi="Times New Roman" w:eastAsia="宋体" w:cs="Times New Roman"/>
                <w:color w:val="auto"/>
                <w:kern w:val="0"/>
                <w:sz w:val="24"/>
                <w:lang w:val="en-US" w:eastAsia="zh-CN"/>
              </w:rPr>
              <w:t>8</w:t>
            </w:r>
            <w:r>
              <w:rPr>
                <w:rFonts w:hint="default" w:ascii="Times New Roman" w:hAnsi="Times New Roman" w:eastAsia="宋体" w:cs="Times New Roman"/>
                <w:color w:val="auto"/>
                <w:kern w:val="0"/>
                <w:sz w:val="24"/>
                <w:lang w:val="en-US" w:eastAsia="zh-CN"/>
              </w:rPr>
              <w:t>。</w:t>
            </w:r>
          </w:p>
          <w:p w14:paraId="02B701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2.2-8</w:t>
            </w:r>
            <w:r>
              <w:rPr>
                <w:rFonts w:hint="default" w:ascii="Times New Roman" w:hAnsi="Times New Roman" w:eastAsia="黑体" w:cs="Times New Roman"/>
                <w:color w:val="auto"/>
                <w:sz w:val="24"/>
                <w:szCs w:val="24"/>
                <w:highlight w:val="none"/>
              </w:rPr>
              <w:t>各类</w:t>
            </w:r>
            <w:r>
              <w:rPr>
                <w:rFonts w:hint="eastAsia" w:ascii="Times New Roman" w:hAnsi="Times New Roman" w:eastAsia="黑体" w:cs="Times New Roman"/>
                <w:color w:val="auto"/>
                <w:sz w:val="24"/>
                <w:szCs w:val="24"/>
                <w:highlight w:val="none"/>
              </w:rPr>
              <w:t>报废机动车材料明细表</w:t>
            </w:r>
          </w:p>
          <w:p w14:paraId="358FCF04">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highlight w:val="none"/>
              </w:rPr>
            </w:pPr>
          </w:p>
          <w:p w14:paraId="0F74363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黑体" w:cs="Times New Roman"/>
                <w:color w:val="auto"/>
                <w:sz w:val="24"/>
                <w:szCs w:val="24"/>
                <w:highlight w:val="none"/>
                <w:lang w:eastAsia="zh-CN"/>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2.2-9  报废</w:t>
            </w:r>
            <w:r>
              <w:rPr>
                <w:rFonts w:hint="eastAsia" w:ascii="Times New Roman" w:hAnsi="Times New Roman" w:eastAsia="黑体" w:cs="Times New Roman"/>
                <w:color w:val="auto"/>
                <w:sz w:val="24"/>
                <w:szCs w:val="24"/>
                <w:highlight w:val="none"/>
              </w:rPr>
              <w:t>机动车</w:t>
            </w:r>
            <w:r>
              <w:rPr>
                <w:rFonts w:hint="eastAsia" w:ascii="Times New Roman" w:hAnsi="Times New Roman" w:eastAsia="黑体" w:cs="Times New Roman"/>
                <w:color w:val="auto"/>
                <w:sz w:val="24"/>
                <w:szCs w:val="24"/>
                <w:highlight w:val="none"/>
                <w:lang w:eastAsia="zh-CN"/>
              </w:rPr>
              <w:t>拆解产出明细表</w:t>
            </w:r>
          </w:p>
          <w:p w14:paraId="166BFC71">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highlight w:val="none"/>
              </w:rPr>
            </w:pPr>
          </w:p>
          <w:p w14:paraId="3932C5F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w:t>
            </w:r>
            <w:r>
              <w:rPr>
                <w:rFonts w:hint="eastAsia" w:ascii="Times New Roman" w:hAnsi="Times New Roman" w:eastAsia="黑体" w:cs="Times New Roman"/>
                <w:color w:val="auto"/>
                <w:sz w:val="24"/>
                <w:szCs w:val="24"/>
                <w:highlight w:val="none"/>
                <w:lang w:val="en-US" w:eastAsia="zh-CN"/>
              </w:rPr>
              <w:t>10</w:t>
            </w:r>
            <w:r>
              <w:rPr>
                <w:rFonts w:hint="default" w:ascii="Times New Roman" w:hAnsi="Times New Roman" w:eastAsia="黑体" w:cs="Times New Roman"/>
                <w:color w:val="auto"/>
                <w:sz w:val="24"/>
                <w:szCs w:val="24"/>
                <w:highlight w:val="none"/>
              </w:rPr>
              <w:t xml:space="preserve"> </w:t>
            </w:r>
            <w:r>
              <w:rPr>
                <w:rFonts w:hint="eastAsia" w:ascii="Times New Roman" w:hAnsi="Times New Roman" w:eastAsia="黑体" w:cs="Times New Roman"/>
                <w:color w:val="auto"/>
                <w:sz w:val="24"/>
                <w:szCs w:val="24"/>
                <w:highlight w:val="none"/>
                <w:lang w:eastAsia="zh-CN"/>
              </w:rPr>
              <w:t>废机动车</w:t>
            </w:r>
            <w:r>
              <w:rPr>
                <w:rFonts w:hint="eastAsia" w:ascii="Times New Roman" w:hAnsi="Times New Roman" w:eastAsia="黑体" w:cs="Times New Roman"/>
                <w:color w:val="auto"/>
                <w:sz w:val="24"/>
                <w:szCs w:val="24"/>
                <w:highlight w:val="none"/>
                <w:lang w:val="en-US" w:eastAsia="zh-CN"/>
              </w:rPr>
              <w:t>拆解物料平衡</w:t>
            </w:r>
          </w:p>
          <w:p w14:paraId="0FC64612">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（2）废电机</w:t>
            </w:r>
          </w:p>
          <w:p w14:paraId="4BF54E2B">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根据建设单位提供资料，项目回收拆解的废电机主要组成比例及物料平衡见下表2.2-11。</w:t>
            </w:r>
          </w:p>
          <w:p w14:paraId="28B858C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表2.</w:t>
            </w:r>
            <w:r>
              <w:rPr>
                <w:rFonts w:hint="eastAsia" w:ascii="Times New Roman" w:hAnsi="Times New Roman" w:eastAsia="黑体" w:cs="Times New Roman"/>
                <w:color w:val="auto"/>
                <w:sz w:val="24"/>
                <w:szCs w:val="24"/>
                <w:highlight w:val="none"/>
                <w:lang w:val="en-US" w:eastAsia="zh-CN"/>
              </w:rPr>
              <w:t>2-11</w:t>
            </w:r>
            <w:r>
              <w:rPr>
                <w:rFonts w:hint="default" w:ascii="Times New Roman" w:hAnsi="Times New Roman" w:eastAsia="黑体" w:cs="Times New Roman"/>
                <w:color w:val="auto"/>
                <w:sz w:val="24"/>
                <w:szCs w:val="24"/>
                <w:highlight w:val="none"/>
                <w:lang w:val="en-US" w:eastAsia="zh-CN"/>
              </w:rPr>
              <w:t xml:space="preserve">  </w:t>
            </w:r>
            <w:r>
              <w:rPr>
                <w:rFonts w:hint="eastAsia" w:ascii="Times New Roman" w:hAnsi="Times New Roman" w:eastAsia="黑体" w:cs="Times New Roman"/>
                <w:color w:val="auto"/>
                <w:sz w:val="24"/>
                <w:szCs w:val="24"/>
                <w:highlight w:val="none"/>
                <w:lang w:val="en-US" w:eastAsia="zh-CN"/>
              </w:rPr>
              <w:t>废电机组成成分及物料平衡</w:t>
            </w:r>
          </w:p>
          <w:p w14:paraId="230AA3D3">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（3）废变压器</w:t>
            </w:r>
          </w:p>
          <w:p w14:paraId="09A9DCB8">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根据建设单位已提供资料，项目回收拆解的废变压器组成比例见下表2.2-12。</w:t>
            </w:r>
          </w:p>
          <w:p w14:paraId="4CC7A7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表2.2-</w:t>
            </w:r>
            <w:r>
              <w:rPr>
                <w:rFonts w:hint="eastAsia" w:ascii="Times New Roman" w:hAnsi="Times New Roman" w:eastAsia="黑体" w:cs="Times New Roman"/>
                <w:color w:val="auto"/>
                <w:sz w:val="24"/>
                <w:szCs w:val="24"/>
                <w:highlight w:val="none"/>
                <w:lang w:val="en-US" w:eastAsia="zh-CN"/>
              </w:rPr>
              <w:t>12</w:t>
            </w:r>
            <w:r>
              <w:rPr>
                <w:rFonts w:hint="default" w:ascii="Times New Roman" w:hAnsi="Times New Roman" w:eastAsia="黑体" w:cs="Times New Roman"/>
                <w:color w:val="auto"/>
                <w:sz w:val="24"/>
                <w:szCs w:val="24"/>
                <w:highlight w:val="none"/>
                <w:lang w:val="en-US" w:eastAsia="zh-CN"/>
              </w:rPr>
              <w:t xml:space="preserve">  </w:t>
            </w:r>
            <w:r>
              <w:rPr>
                <w:rFonts w:hint="eastAsia" w:ascii="Times New Roman" w:hAnsi="Times New Roman" w:eastAsia="黑体" w:cs="Times New Roman"/>
                <w:color w:val="auto"/>
                <w:sz w:val="24"/>
                <w:szCs w:val="24"/>
                <w:highlight w:val="none"/>
                <w:lang w:val="en-US" w:eastAsia="zh-CN"/>
              </w:rPr>
              <w:t>废变压器组成成分占比</w:t>
            </w:r>
          </w:p>
          <w:p w14:paraId="04C8F3A1">
            <w:pPr>
              <w:adjustRightInd w:val="0"/>
              <w:snapToGrid w:val="0"/>
              <w:spacing w:before="120" w:beforeLines="50" w:line="360" w:lineRule="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2.2.</w:t>
            </w:r>
            <w:r>
              <w:rPr>
                <w:rFonts w:hint="eastAsia" w:ascii="Times New Roman" w:hAnsi="Times New Roman" w:eastAsia="宋体"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lang w:val="en-US" w:eastAsia="zh-CN"/>
              </w:rPr>
              <w:t xml:space="preserve"> 水平衡</w:t>
            </w:r>
          </w:p>
          <w:p w14:paraId="2834D128">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生产用</w:t>
            </w:r>
            <w:r>
              <w:rPr>
                <w:rFonts w:hint="eastAsia" w:ascii="Times New Roman" w:hAnsi="Times New Roman" w:cs="Times New Roman"/>
                <w:color w:val="auto"/>
                <w:sz w:val="24"/>
                <w:lang w:val="en-US" w:eastAsia="zh-CN"/>
              </w:rPr>
              <w:t>排</w:t>
            </w:r>
            <w:r>
              <w:rPr>
                <w:rFonts w:hint="default" w:ascii="Times New Roman" w:hAnsi="Times New Roman" w:cs="Times New Roman"/>
                <w:color w:val="auto"/>
                <w:sz w:val="24"/>
                <w:lang w:val="en-US" w:eastAsia="zh-CN"/>
              </w:rPr>
              <w:t>水</w:t>
            </w:r>
          </w:p>
          <w:p w14:paraId="43F1CAF3">
            <w:pPr>
              <w:keepNext w:val="0"/>
              <w:keepLines w:val="0"/>
              <w:pageBreakBefore w:val="0"/>
              <w:widowControl w:val="0"/>
              <w:kinsoku/>
              <w:wordWrap/>
              <w:overflowPunct/>
              <w:topLinePunct w:val="0"/>
              <w:bidi w:val="0"/>
              <w:adjustRightInd w:val="0"/>
              <w:snapToGrid w:val="0"/>
              <w:spacing w:line="360" w:lineRule="auto"/>
              <w:ind w:left="0" w:right="0" w:firstLine="481"/>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kern w:val="0"/>
                <w:sz w:val="24"/>
                <w:szCs w:val="20"/>
                <w:highlight w:val="none"/>
                <w:lang w:val="en-US" w:eastAsia="zh-CN" w:bidi="ar-SA"/>
              </w:rPr>
              <w:t>根据建设单位提供资料，</w:t>
            </w:r>
            <w:r>
              <w:rPr>
                <w:rFonts w:hint="default" w:ascii="Times New Roman" w:hAnsi="Times New Roman" w:eastAsia="宋体" w:cs="Times New Roman"/>
                <w:color w:val="auto"/>
                <w:kern w:val="0"/>
                <w:sz w:val="24"/>
                <w:szCs w:val="20"/>
                <w:highlight w:val="none"/>
                <w:lang w:val="en-US" w:eastAsia="zh-CN" w:bidi="ar-SA"/>
              </w:rPr>
              <w:t>项目</w:t>
            </w:r>
            <w:r>
              <w:rPr>
                <w:rFonts w:hint="eastAsia" w:ascii="Times New Roman" w:hAnsi="Times New Roman" w:eastAsia="宋体" w:cs="Times New Roman"/>
                <w:color w:val="auto"/>
                <w:kern w:val="0"/>
                <w:sz w:val="24"/>
                <w:szCs w:val="20"/>
                <w:highlight w:val="none"/>
                <w:lang w:val="en-US" w:eastAsia="zh-CN" w:bidi="ar-SA"/>
              </w:rPr>
              <w:t>废旧机动车、</w:t>
            </w:r>
            <w:r>
              <w:rPr>
                <w:rFonts w:hint="eastAsia" w:ascii="Times New Roman" w:hAnsi="Times New Roman" w:eastAsia="宋体" w:cs="Times New Roman"/>
                <w:color w:val="auto"/>
                <w:sz w:val="24"/>
                <w:szCs w:val="24"/>
                <w:lang w:eastAsia="zh-CN"/>
              </w:rPr>
              <w:t>废电机、废旧变压器不</w:t>
            </w:r>
            <w:r>
              <w:rPr>
                <w:rFonts w:hint="eastAsia" w:ascii="Times New Roman" w:hAnsi="Times New Roman" w:eastAsia="宋体" w:cs="Times New Roman"/>
                <w:color w:val="auto"/>
                <w:sz w:val="24"/>
                <w:szCs w:val="24"/>
                <w:lang w:val="en-US" w:eastAsia="zh-CN"/>
              </w:rPr>
              <w:t>进行</w:t>
            </w:r>
            <w:r>
              <w:rPr>
                <w:rFonts w:hint="eastAsia" w:ascii="Times New Roman" w:hAnsi="Times New Roman" w:eastAsia="宋体" w:cs="Times New Roman"/>
                <w:color w:val="auto"/>
                <w:sz w:val="24"/>
                <w:szCs w:val="24"/>
                <w:lang w:eastAsia="zh-CN"/>
              </w:rPr>
              <w:t>清洗，仅根据需要采用抹布做</w:t>
            </w:r>
            <w:r>
              <w:rPr>
                <w:rFonts w:hint="eastAsia" w:ascii="Times New Roman" w:hAnsi="Times New Roman" w:eastAsia="宋体" w:cs="Times New Roman"/>
                <w:color w:val="auto"/>
                <w:sz w:val="24"/>
                <w:szCs w:val="24"/>
                <w:lang w:val="en-US" w:eastAsia="zh-CN"/>
              </w:rPr>
              <w:t>简单</w:t>
            </w:r>
            <w:r>
              <w:rPr>
                <w:rFonts w:hint="eastAsia" w:ascii="Times New Roman" w:hAnsi="Times New Roman" w:eastAsia="宋体" w:cs="Times New Roman"/>
                <w:color w:val="auto"/>
                <w:sz w:val="24"/>
                <w:szCs w:val="24"/>
                <w:lang w:eastAsia="zh-CN"/>
              </w:rPr>
              <w:t>擦拭，</w:t>
            </w:r>
            <w:r>
              <w:rPr>
                <w:rFonts w:hint="eastAsia" w:ascii="Times New Roman" w:hAnsi="Times New Roman" w:eastAsia="宋体" w:cs="Times New Roman"/>
                <w:color w:val="auto"/>
                <w:sz w:val="24"/>
                <w:szCs w:val="24"/>
                <w:lang w:val="en-US" w:eastAsia="zh-CN"/>
              </w:rPr>
              <w:t>不产生原料</w:t>
            </w:r>
            <w:r>
              <w:rPr>
                <w:rFonts w:hint="eastAsia" w:ascii="Times New Roman" w:hAnsi="Times New Roman" w:eastAsia="宋体" w:cs="Times New Roman"/>
                <w:color w:val="auto"/>
                <w:sz w:val="24"/>
                <w:szCs w:val="24"/>
                <w:lang w:eastAsia="zh-CN"/>
              </w:rPr>
              <w:t>清洁用水。</w:t>
            </w:r>
          </w:p>
          <w:p w14:paraId="4EB54A2B">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项目生产用水主要为场地清洁环节，包括</w:t>
            </w:r>
            <w:r>
              <w:rPr>
                <w:rFonts w:hint="eastAsia" w:ascii="Times New Roman" w:hAnsi="Times New Roman" w:eastAsia="宋体" w:cs="Times New Roman"/>
                <w:color w:val="auto"/>
                <w:sz w:val="24"/>
                <w:szCs w:val="24"/>
                <w:lang w:val="en-US" w:eastAsia="zh-CN"/>
              </w:rPr>
              <w:t>废旧机动车</w:t>
            </w:r>
            <w:r>
              <w:rPr>
                <w:rFonts w:hint="eastAsia" w:ascii="Times New Roman" w:hAnsi="Times New Roman" w:eastAsia="宋体" w:cs="Times New Roman"/>
                <w:color w:val="auto"/>
                <w:sz w:val="24"/>
                <w:szCs w:val="24"/>
                <w:lang w:eastAsia="zh-CN"/>
              </w:rPr>
              <w:t>停</w:t>
            </w:r>
            <w:r>
              <w:rPr>
                <w:rFonts w:hint="eastAsia" w:ascii="Times New Roman" w:hAnsi="Times New Roman" w:eastAsia="宋体" w:cs="Times New Roman"/>
                <w:color w:val="auto"/>
                <w:sz w:val="24"/>
                <w:szCs w:val="24"/>
                <w:lang w:val="en-US" w:eastAsia="zh-CN"/>
              </w:rPr>
              <w:t>放</w:t>
            </w:r>
            <w:r>
              <w:rPr>
                <w:rFonts w:hint="eastAsia" w:ascii="Times New Roman" w:hAnsi="Times New Roman" w:eastAsia="宋体" w:cs="Times New Roman"/>
                <w:color w:val="auto"/>
                <w:sz w:val="24"/>
                <w:szCs w:val="24"/>
                <w:lang w:eastAsia="zh-CN"/>
              </w:rPr>
              <w:t>区冲洗、作业</w:t>
            </w:r>
            <w:r>
              <w:rPr>
                <w:rFonts w:hint="eastAsia" w:ascii="Times New Roman" w:hAnsi="Times New Roman" w:eastAsia="宋体" w:cs="Times New Roman"/>
                <w:color w:val="auto"/>
                <w:sz w:val="24"/>
                <w:szCs w:val="24"/>
                <w:lang w:val="en-US" w:eastAsia="zh-CN"/>
              </w:rPr>
              <w:t>车间</w:t>
            </w:r>
            <w:r>
              <w:rPr>
                <w:rFonts w:hint="eastAsia" w:ascii="Times New Roman" w:hAnsi="Times New Roman" w:eastAsia="宋体" w:cs="Times New Roman"/>
                <w:color w:val="auto"/>
                <w:sz w:val="24"/>
                <w:szCs w:val="24"/>
                <w:lang w:eastAsia="zh-CN"/>
              </w:rPr>
              <w:t>清洁、场地洒水清扫。</w:t>
            </w:r>
          </w:p>
          <w:p w14:paraId="260E61BB">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①作业</w:t>
            </w:r>
            <w:r>
              <w:rPr>
                <w:rFonts w:hint="eastAsia" w:ascii="Times New Roman" w:hAnsi="Times New Roman" w:eastAsia="宋体" w:cs="Times New Roman"/>
                <w:color w:val="auto"/>
                <w:sz w:val="24"/>
                <w:szCs w:val="24"/>
                <w:lang w:val="en-US" w:eastAsia="zh-CN"/>
              </w:rPr>
              <w:t>车间</w:t>
            </w:r>
            <w:r>
              <w:rPr>
                <w:rFonts w:hint="eastAsia" w:ascii="Times New Roman" w:hAnsi="Times New Roman" w:eastAsia="宋体" w:cs="Times New Roman"/>
                <w:color w:val="auto"/>
                <w:sz w:val="24"/>
                <w:szCs w:val="24"/>
                <w:lang w:eastAsia="zh-CN"/>
              </w:rPr>
              <w:t>清洁用水</w:t>
            </w:r>
          </w:p>
          <w:p w14:paraId="49C93E7E">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z w:val="24"/>
                <w:szCs w:val="24"/>
              </w:rPr>
              <w:t>在</w:t>
            </w:r>
            <w:r>
              <w:rPr>
                <w:rFonts w:hint="eastAsia" w:ascii="Times New Roman" w:hAnsi="Times New Roman" w:eastAsia="宋体" w:cs="Times New Roman"/>
                <w:color w:val="auto"/>
                <w:sz w:val="24"/>
                <w:szCs w:val="24"/>
                <w:lang w:eastAsia="zh-CN"/>
              </w:rPr>
              <w:t>废机动车、</w:t>
            </w:r>
            <w:r>
              <w:rPr>
                <w:rFonts w:hint="default" w:ascii="Times New Roman" w:hAnsi="Times New Roman" w:eastAsia="宋体" w:cs="Times New Roman"/>
                <w:color w:val="auto"/>
                <w:sz w:val="24"/>
                <w:szCs w:val="24"/>
              </w:rPr>
              <w:t>废变压器废油及废液抽取过</w:t>
            </w:r>
            <w:r>
              <w:rPr>
                <w:rFonts w:hint="default" w:ascii="Times New Roman" w:hAnsi="Times New Roman" w:eastAsia="宋体" w:cs="Times New Roman"/>
                <w:color w:val="auto"/>
                <w:sz w:val="24"/>
                <w:szCs w:val="24"/>
                <w:highlight w:val="none"/>
              </w:rPr>
              <w:t>程</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采用较为先进的气动抽</w:t>
            </w:r>
            <w:r>
              <w:rPr>
                <w:rFonts w:hint="eastAsia" w:ascii="Times New Roman" w:hAnsi="Times New Roman" w:eastAsia="宋体" w:cs="Times New Roman"/>
                <w:color w:val="auto"/>
                <w:sz w:val="24"/>
                <w:szCs w:val="24"/>
                <w:highlight w:val="none"/>
                <w:lang w:eastAsia="zh-CN"/>
              </w:rPr>
              <w:t>取</w:t>
            </w:r>
            <w:r>
              <w:rPr>
                <w:rFonts w:hint="default" w:ascii="Times New Roman" w:hAnsi="Times New Roman" w:eastAsia="宋体" w:cs="Times New Roman"/>
                <w:color w:val="auto"/>
                <w:sz w:val="24"/>
                <w:szCs w:val="24"/>
                <w:highlight w:val="none"/>
              </w:rPr>
              <w:t>机设备，</w:t>
            </w:r>
            <w:r>
              <w:rPr>
                <w:rFonts w:hint="eastAsia" w:ascii="Times New Roman" w:hAnsi="Times New Roman" w:eastAsia="宋体" w:cs="Times New Roman"/>
                <w:color w:val="auto"/>
                <w:sz w:val="24"/>
                <w:szCs w:val="24"/>
                <w:highlight w:val="none"/>
                <w:lang w:val="en-US" w:eastAsia="zh-CN"/>
              </w:rPr>
              <w:t>抽取废油废液通过</w:t>
            </w:r>
            <w:r>
              <w:rPr>
                <w:rFonts w:hint="eastAsia" w:ascii="Times New Roman" w:hAnsi="Times New Roman" w:eastAsia="宋体" w:cs="Times New Roman"/>
                <w:color w:val="auto"/>
                <w:sz w:val="24"/>
                <w:szCs w:val="24"/>
                <w:highlight w:val="none"/>
                <w:lang w:eastAsia="zh-CN"/>
              </w:rPr>
              <w:t>管道直接泵入废液收集</w:t>
            </w:r>
            <w:r>
              <w:rPr>
                <w:rFonts w:hint="eastAsia" w:ascii="Times New Roman" w:hAnsi="Times New Roman" w:eastAsia="宋体" w:cs="Times New Roman"/>
                <w:color w:val="auto"/>
                <w:sz w:val="24"/>
                <w:szCs w:val="24"/>
                <w:highlight w:val="none"/>
                <w:lang w:val="en-US" w:eastAsia="zh-CN"/>
              </w:rPr>
              <w:t>容器</w:t>
            </w:r>
            <w:r>
              <w:rPr>
                <w:rFonts w:hint="eastAsia"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可有效</w:t>
            </w:r>
            <w:r>
              <w:rPr>
                <w:rFonts w:hint="default" w:ascii="Times New Roman" w:hAnsi="Times New Roman" w:eastAsia="宋体" w:cs="Times New Roman"/>
                <w:color w:val="auto"/>
                <w:sz w:val="24"/>
                <w:szCs w:val="24"/>
              </w:rPr>
              <w:t>防止废油、废液落地</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因此</w:t>
            </w:r>
            <w:r>
              <w:rPr>
                <w:rFonts w:hint="eastAsia"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val="en-US" w:eastAsia="zh-CN"/>
              </w:rPr>
              <w:t>作业</w:t>
            </w:r>
            <w:r>
              <w:rPr>
                <w:rFonts w:hint="eastAsia" w:ascii="Times New Roman" w:hAnsi="Times New Roman" w:eastAsia="宋体" w:cs="Times New Roman"/>
                <w:color w:val="auto"/>
                <w:sz w:val="24"/>
                <w:szCs w:val="24"/>
                <w:lang w:eastAsia="zh-CN"/>
              </w:rPr>
              <w:t>车间地面硬化，地面及作业平台不采取冲洗方式，采</w:t>
            </w:r>
            <w:r>
              <w:rPr>
                <w:rFonts w:hint="eastAsia" w:ascii="Times New Roman" w:hAnsi="Times New Roman" w:eastAsia="宋体" w:cs="Times New Roman"/>
                <w:color w:val="auto"/>
                <w:sz w:val="24"/>
                <w:szCs w:val="24"/>
                <w:lang w:val="en-US" w:eastAsia="zh-CN"/>
              </w:rPr>
              <w:t>用拖把、抹布湿拖湿擦的清洁方式，每天清拖一次，地面水基本全蒸发损耗，拖把、抹布在车间</w:t>
            </w:r>
            <w:bookmarkStart w:id="11" w:name="OLE_LINK1"/>
            <w:r>
              <w:rPr>
                <w:rFonts w:hint="eastAsia" w:ascii="Times New Roman" w:hAnsi="Times New Roman" w:eastAsia="宋体" w:cs="Times New Roman"/>
                <w:color w:val="auto"/>
                <w:sz w:val="24"/>
                <w:szCs w:val="24"/>
                <w:lang w:val="en-US" w:eastAsia="zh-CN"/>
              </w:rPr>
              <w:t>内清洗池</w:t>
            </w:r>
            <w:bookmarkEnd w:id="11"/>
            <w:r>
              <w:rPr>
                <w:rFonts w:hint="eastAsia" w:ascii="Times New Roman" w:hAnsi="Times New Roman" w:eastAsia="宋体" w:cs="Times New Roman"/>
                <w:color w:val="auto"/>
                <w:sz w:val="24"/>
                <w:szCs w:val="24"/>
                <w:lang w:val="en-US" w:eastAsia="zh-CN"/>
              </w:rPr>
              <w:t>中清洗。项目车间作业人员平时戴手套作业，因操作不当手部沾染油污则需要在车间内清洗池中洗手，拖把抹布清洗以及人员洗手将产生清洁废水。参考《建筑给水排水设计标准》（GB50015-2019），清洗池单阀水嘴额定流量按0.2L/s计，根据建设单位提供资料，每次清洁抹布及拖把清洗有效时长约20min，每人每次洗手时长约1min，项目职工一共50人，按每人在车间进行2次计，则计算得项目作业车间清洁用水量约为1.44t/d（432t/a），考虑抹布和拖把带走等损耗量较大，折污系数按0.8计，则项目作业区清洁废水产生量约为1.15t/d（345.6t/a），通过车间清洗池管道收集进入收集池后，引入新建废水处理设施（油水分离+混凝沉淀+过滤）处理，回用于场地洒水清扫、停车区冲洗，不外排。</w:t>
            </w:r>
          </w:p>
          <w:p w14:paraId="460FF57F">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②废旧机动车停车区冲洗用水</w:t>
            </w:r>
          </w:p>
          <w:p w14:paraId="25951CC0">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z w:val="24"/>
                <w:szCs w:val="24"/>
                <w:lang w:val="en-US" w:eastAsia="zh-CN"/>
              </w:rPr>
              <w:t>项目废旧机动车车辆停车区（大小车停车场、新能源车停车区）采用冲洗的方式，约每3天冲洗一次。项目废旧机动车停放区总占地面积约为2610m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，参考《建筑给水排水设计标准》（GB50015-2019）中停车库地面冲洗水用量，按3L/m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次计，则项目车辆停放区地面冲洗用水量约为7.83t/次（783t/a），地面冲洗蒸发损耗量较大，折污系数按0.8计，则项目废旧机动车停车区冲洗废水产生量约为6.26t/次（626.4t/a），通过废旧机动车车辆停车区（大小车停车场、新能源车停车区）四周导流沟槽收集进入收集池后，引入新建废水处理设施（油水分离+混凝沉淀+过滤）处理，回用于场地洒水清扫、停车区冲洗，不外排。</w:t>
            </w:r>
          </w:p>
          <w:p w14:paraId="53122DF3">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③场地洒水清扫用水</w:t>
            </w:r>
          </w:p>
          <w:p w14:paraId="2412C634">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项目对作业区露天场地在除雨天（约120d/a）外的每天午、晚进行2次洒水清扫，对二期闲置用地（用地已硬化）、厂内非作业区地面每5天洒水清扫1次。根据建设单位提供资料，项目生产区露天场地面积约为1600m</w:t>
            </w:r>
            <w:r>
              <w:rPr>
                <w:rFonts w:hint="eastAsia" w:ascii="Times New Roman" w:hAnsi="Times New Roman" w:eastAsia="宋体" w:cs="Times New Roman"/>
                <w:color w:val="auto"/>
                <w:spacing w:val="0"/>
                <w:sz w:val="24"/>
                <w:szCs w:val="24"/>
                <w:vertAlign w:val="superscript"/>
                <w:lang w:val="en-US" w:eastAsia="zh-CN"/>
              </w:rPr>
              <w:t>2</w:t>
            </w:r>
            <w:r>
              <w:rPr>
                <w:rFonts w:hint="eastAsia" w:ascii="Times New Roman" w:hAnsi="Times New Roman" w:eastAsia="宋体" w:cs="Times New Roman"/>
                <w:color w:val="auto"/>
                <w:spacing w:val="0"/>
                <w:sz w:val="24"/>
                <w:szCs w:val="24"/>
                <w:lang w:val="en-US" w:eastAsia="zh-CN"/>
              </w:rPr>
              <w:t>，二期闲置用地、非作业区占地面积约为15600m</w:t>
            </w:r>
            <w:r>
              <w:rPr>
                <w:rFonts w:hint="eastAsia" w:ascii="Times New Roman" w:hAnsi="Times New Roman" w:eastAsia="宋体" w:cs="Times New Roman"/>
                <w:color w:val="auto"/>
                <w:spacing w:val="0"/>
                <w:sz w:val="24"/>
                <w:szCs w:val="24"/>
                <w:vertAlign w:val="superscript"/>
                <w:lang w:val="en-US" w:eastAsia="zh-CN"/>
              </w:rPr>
              <w:t>2</w:t>
            </w:r>
            <w:r>
              <w:rPr>
                <w:rFonts w:hint="eastAsia" w:ascii="Times New Roman" w:hAnsi="Times New Roman" w:eastAsia="宋体" w:cs="Times New Roman"/>
                <w:color w:val="auto"/>
                <w:spacing w:val="0"/>
                <w:sz w:val="24"/>
                <w:szCs w:val="24"/>
                <w:lang w:val="en-US" w:eastAsia="zh-CN"/>
              </w:rPr>
              <w:t>，参考《行业用水定额》（DB35/T 772-2023），浇洒道路和场地用水量按2.0L/m</w:t>
            </w:r>
            <w:r>
              <w:rPr>
                <w:rFonts w:hint="eastAsia" w:ascii="Times New Roman" w:hAnsi="Times New Roman" w:eastAsia="宋体" w:cs="Times New Roman"/>
                <w:color w:val="auto"/>
                <w:spacing w:val="0"/>
                <w:sz w:val="24"/>
                <w:szCs w:val="24"/>
                <w:vertAlign w:val="superscript"/>
                <w:lang w:val="en-US" w:eastAsia="zh-CN"/>
              </w:rPr>
              <w:t>2</w:t>
            </w:r>
            <w:r>
              <w:rPr>
                <w:rFonts w:hint="eastAsia" w:ascii="Times New Roman" w:hAnsi="Times New Roman" w:eastAsia="宋体" w:cs="Times New Roman"/>
                <w:color w:val="auto"/>
                <w:spacing w:val="0"/>
                <w:sz w:val="24"/>
                <w:szCs w:val="24"/>
                <w:lang w:val="en-US" w:eastAsia="zh-CN"/>
              </w:rPr>
              <w:t>计，则项目作业区露天场地洒水清扫用水量约为6.4t/d（1152t/a），二期闲置用地（用地已硬化）、厂内非作业区的地面洒水清扫用水量约为31.2t/次（1872t/a），洒水清扫用水在地面全部蒸发损耗。</w:t>
            </w:r>
          </w:p>
          <w:p w14:paraId="1537D837">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生活用</w:t>
            </w:r>
            <w:r>
              <w:rPr>
                <w:rFonts w:hint="eastAsia" w:ascii="Times New Roman" w:hAnsi="Times New Roman" w:eastAsia="宋体" w:cs="Times New Roman"/>
                <w:color w:val="auto"/>
                <w:sz w:val="24"/>
                <w:lang w:val="en-US" w:eastAsia="zh-CN"/>
              </w:rPr>
              <w:t>排</w:t>
            </w:r>
            <w:r>
              <w:rPr>
                <w:rFonts w:hint="default" w:ascii="Times New Roman" w:hAnsi="Times New Roman" w:eastAsia="宋体" w:cs="Times New Roman"/>
                <w:color w:val="auto"/>
                <w:sz w:val="24"/>
                <w:lang w:val="en-US" w:eastAsia="zh-CN"/>
              </w:rPr>
              <w:t>水</w:t>
            </w:r>
          </w:p>
          <w:p w14:paraId="63EB640E">
            <w:pPr>
              <w:keepNext w:val="0"/>
              <w:keepLines w:val="0"/>
              <w:pageBreakBefore w:val="0"/>
              <w:widowControl w:val="0"/>
              <w:kinsoku/>
              <w:wordWrap/>
              <w:overflowPunct/>
              <w:topLinePunct w:val="0"/>
              <w:bidi w:val="0"/>
              <w:adjustRightInd w:val="0"/>
              <w:snapToGrid w:val="0"/>
              <w:spacing w:line="360" w:lineRule="auto"/>
              <w:ind w:left="0" w:right="0" w:firstLine="481"/>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lang w:val="en-US" w:eastAsia="zh-CN"/>
              </w:rPr>
              <w:t>根据业主介绍，</w:t>
            </w:r>
            <w:r>
              <w:rPr>
                <w:rFonts w:hint="default"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lang w:val="en-US" w:eastAsia="zh-CN"/>
              </w:rPr>
              <w:t>拟聘</w:t>
            </w:r>
            <w:r>
              <w:rPr>
                <w:rFonts w:hint="default" w:ascii="Times New Roman" w:hAnsi="Times New Roman" w:eastAsia="宋体" w:cs="Times New Roman"/>
                <w:color w:val="auto"/>
                <w:sz w:val="24"/>
                <w:lang w:val="en-US" w:eastAsia="zh-CN"/>
              </w:rPr>
              <w:t>职工人数</w:t>
            </w:r>
            <w:r>
              <w:rPr>
                <w:rFonts w:hint="eastAsia"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lang w:val="en-US" w:eastAsia="zh-CN"/>
              </w:rPr>
              <w:t>人，均不住在厂内，根据《建筑给水排水设计规范》(GB50015-2019)车间工人的生活用水定额应根据车间性质确定，不住厂员工生活用水一般宜采用30～50L/人·班，</w:t>
            </w:r>
            <w:r>
              <w:rPr>
                <w:rFonts w:hint="eastAsia" w:ascii="Times New Roman" w:hAnsi="Times New Roman" w:eastAsia="宋体" w:cs="Times New Roman"/>
                <w:color w:val="auto"/>
                <w:sz w:val="24"/>
                <w:lang w:val="en-US" w:eastAsia="zh-CN"/>
              </w:rPr>
              <w:t>本评价</w:t>
            </w:r>
            <w:r>
              <w:rPr>
                <w:rFonts w:hint="default" w:ascii="Times New Roman" w:hAnsi="Times New Roman" w:eastAsia="宋体" w:cs="Times New Roman"/>
                <w:color w:val="auto"/>
                <w:sz w:val="24"/>
                <w:lang w:val="en-US" w:eastAsia="zh-CN"/>
              </w:rPr>
              <w:t>按50L/人·班计，年工作日按全年营业</w:t>
            </w:r>
            <w:r>
              <w:rPr>
                <w:rFonts w:hint="eastAsia" w:ascii="Times New Roman" w:hAnsi="Times New Roman" w:eastAsia="宋体" w:cs="Times New Roman"/>
                <w:color w:val="auto"/>
                <w:sz w:val="24"/>
                <w:lang w:val="en-US" w:eastAsia="zh-CN"/>
              </w:rPr>
              <w:t>300</w:t>
            </w:r>
            <w:r>
              <w:rPr>
                <w:rFonts w:hint="default" w:ascii="Times New Roman" w:hAnsi="Times New Roman" w:eastAsia="宋体" w:cs="Times New Roman"/>
                <w:color w:val="auto"/>
                <w:sz w:val="24"/>
                <w:lang w:val="en-US" w:eastAsia="zh-CN"/>
              </w:rPr>
              <w:t>天计，则本项目职工生活用水量约为</w:t>
            </w:r>
            <w:r>
              <w:rPr>
                <w:rFonts w:hint="eastAsia"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lang w:val="en-US" w:eastAsia="zh-CN"/>
              </w:rPr>
              <w:t>t/d(</w:t>
            </w:r>
            <w:r>
              <w:rPr>
                <w:rFonts w:hint="eastAsia" w:ascii="Times New Roman" w:hAnsi="Times New Roman" w:eastAsia="宋体" w:cs="Times New Roman"/>
                <w:color w:val="auto"/>
                <w:sz w:val="24"/>
                <w:lang w:val="en-US" w:eastAsia="zh-CN"/>
              </w:rPr>
              <w:t>750</w:t>
            </w:r>
            <w:r>
              <w:rPr>
                <w:rFonts w:hint="default" w:ascii="Times New Roman" w:hAnsi="Times New Roman" w:eastAsia="宋体" w:cs="Times New Roman"/>
                <w:color w:val="auto"/>
                <w:sz w:val="24"/>
                <w:lang w:val="en-US" w:eastAsia="zh-CN"/>
              </w:rPr>
              <w:t>t/a)，根据《室外排水设计规范》(GB 50014-20</w:t>
            </w:r>
            <w:r>
              <w:rPr>
                <w:rFonts w:hint="eastAsia"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lang w:val="en-US" w:eastAsia="zh-CN"/>
              </w:rPr>
              <w:t>)，居民生活污水定额可按用水定额的</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lang w:val="en-US" w:eastAsia="zh-CN"/>
              </w:rPr>
              <w:t>0%计算(其余</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0%蒸发损耗等)，则生活污水量为</w:t>
            </w:r>
            <w:r>
              <w:rPr>
                <w:rFonts w:hint="eastAsia" w:ascii="Times New Roman" w:hAnsi="Times New Roman" w:eastAsia="宋体" w:cs="Times New Roman"/>
                <w:color w:val="auto"/>
                <w:sz w:val="24"/>
                <w:lang w:val="en-US" w:eastAsia="zh-CN"/>
              </w:rPr>
              <w:t>2.25</w:t>
            </w:r>
            <w:r>
              <w:rPr>
                <w:rFonts w:hint="default" w:ascii="Times New Roman" w:hAnsi="Times New Roman" w:eastAsia="宋体" w:cs="Times New Roman"/>
                <w:color w:val="auto"/>
                <w:sz w:val="24"/>
                <w:lang w:val="en-US" w:eastAsia="zh-CN"/>
              </w:rPr>
              <w:t>t/d(</w:t>
            </w:r>
            <w:r>
              <w:rPr>
                <w:rFonts w:hint="eastAsia" w:ascii="Times New Roman" w:hAnsi="Times New Roman" w:eastAsia="宋体" w:cs="Times New Roman"/>
                <w:color w:val="auto"/>
                <w:sz w:val="24"/>
                <w:lang w:val="en-US" w:eastAsia="zh-CN"/>
              </w:rPr>
              <w:t>675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，经厂区出租方已建化粪池预处理后</w:t>
            </w:r>
            <w:r>
              <w:rPr>
                <w:rFonts w:hint="eastAsia" w:ascii="Times New Roman" w:hAnsi="Times New Roman" w:eastAsia="宋体" w:cs="Times New Roman"/>
                <w:color w:val="auto"/>
                <w:sz w:val="24"/>
                <w:szCs w:val="24"/>
                <w:lang w:val="en-US" w:eastAsia="zh-CN"/>
              </w:rPr>
              <w:t>排入松下镇山前村污水管网，纳入福州市长乐区松下镇山前村污水处理站集中处理。</w:t>
            </w:r>
          </w:p>
          <w:p w14:paraId="778D8187">
            <w:pPr>
              <w:pStyle w:val="17"/>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eastAsia="zh-CN"/>
              </w:rPr>
              <w:t>）初期雨水</w:t>
            </w:r>
          </w:p>
          <w:p w14:paraId="2AD005DE">
            <w:pPr>
              <w:keepNext w:val="0"/>
              <w:keepLines w:val="0"/>
              <w:pageBreakBefore w:val="0"/>
              <w:widowControl w:val="0"/>
              <w:kinsoku/>
              <w:wordWrap/>
              <w:overflowPunct/>
              <w:topLinePunct w:val="0"/>
              <w:bidi w:val="0"/>
              <w:adjustRightInd w:val="0"/>
              <w:snapToGrid w:val="0"/>
              <w:spacing w:line="360" w:lineRule="auto"/>
              <w:ind w:left="0" w:right="0" w:firstLine="481"/>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按照《报废机动车拆解</w:t>
            </w:r>
            <w:r>
              <w:rPr>
                <w:rFonts w:hint="eastAsia" w:ascii="Times New Roman" w:hAnsi="Times New Roman" w:eastAsia="宋体" w:cs="Times New Roman"/>
                <w:color w:val="auto"/>
                <w:sz w:val="24"/>
                <w:szCs w:val="24"/>
                <w:lang w:val="en-US" w:eastAsia="zh-CN"/>
              </w:rPr>
              <w:t>企业污染控制技术规范</w:t>
            </w:r>
            <w:r>
              <w:rPr>
                <w:rFonts w:hint="default" w:ascii="Times New Roman" w:hAnsi="Times New Roman" w:eastAsia="宋体" w:cs="Times New Roman"/>
                <w:color w:val="auto"/>
                <w:sz w:val="24"/>
                <w:szCs w:val="24"/>
                <w:lang w:val="en-US" w:eastAsia="zh-CN"/>
              </w:rPr>
              <w:t>》(HJ348</w:t>
            </w: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)要求，</w:t>
            </w:r>
            <w:r>
              <w:rPr>
                <w:rFonts w:hint="eastAsia" w:ascii="Times New Roman" w:hAnsi="Times New Roman" w:eastAsia="宋体" w:cs="Times New Roman"/>
                <w:color w:val="auto"/>
                <w:sz w:val="24"/>
                <w:szCs w:val="24"/>
                <w:lang w:val="en-US" w:eastAsia="zh-CN"/>
              </w:rPr>
              <w:t>报废机动车回收拆解企业应做到雨污分流，在作业区内产生的初期雨水、清洗水和其他非生活废水应设置专门的收集设施和</w:t>
            </w:r>
            <w:r>
              <w:rPr>
                <w:rFonts w:hint="default" w:ascii="Times New Roman" w:hAnsi="Times New Roman" w:eastAsia="宋体" w:cs="Times New Roman"/>
                <w:color w:val="auto"/>
                <w:sz w:val="24"/>
                <w:szCs w:val="24"/>
                <w:lang w:val="en-US" w:eastAsia="zh-CN"/>
              </w:rPr>
              <w:t>污水处理设施</w:t>
            </w:r>
            <w:r>
              <w:rPr>
                <w:rFonts w:hint="eastAsia" w:ascii="Times New Roman" w:hAnsi="Times New Roman" w:eastAsia="宋体" w:cs="Times New Roman"/>
                <w:color w:val="auto"/>
                <w:sz w:val="24"/>
                <w:szCs w:val="24"/>
                <w:lang w:val="en-US" w:eastAsia="zh-CN"/>
              </w:rPr>
              <w:t>。</w:t>
            </w:r>
          </w:p>
          <w:p w14:paraId="3F229283">
            <w:pPr>
              <w:keepNext w:val="0"/>
              <w:keepLines w:val="0"/>
              <w:pageBreakBefore w:val="0"/>
              <w:widowControl w:val="0"/>
              <w:kinsoku/>
              <w:wordWrap/>
              <w:overflowPunct/>
              <w:topLinePunct w:val="0"/>
              <w:bidi w:val="0"/>
              <w:adjustRightInd w:val="0"/>
              <w:snapToGrid w:val="0"/>
              <w:spacing w:line="360" w:lineRule="auto"/>
              <w:ind w:left="0" w:right="0" w:firstLine="481"/>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建设单位提供资料，厂区厂房、遮雨棚设置独立雨水收集管，形成屋棚面雨水独立排水系统，通过厂区雨水管直接收集排入市政雨水管网，形成与作业区露天区域地面雨水分流，作业区露天区域初期雨水通过厂区作业区四周依据地势设置的导流沟收集进入收集池暂存后进入新建废水处理设施（油水分离+混凝沉淀+过滤）处理后，回用于场地洒水清扫、停车区冲洗，不外排。</w:t>
            </w:r>
          </w:p>
          <w:p w14:paraId="287DAAD2">
            <w:pPr>
              <w:keepNext w:val="0"/>
              <w:keepLines w:val="0"/>
              <w:pageBreakBefore w:val="0"/>
              <w:widowControl w:val="0"/>
              <w:kinsoku/>
              <w:wordWrap/>
              <w:overflowPunct/>
              <w:topLinePunct w:val="0"/>
              <w:bidi w:val="0"/>
              <w:adjustRightInd w:val="0"/>
              <w:snapToGrid w:val="0"/>
              <w:spacing w:line="360" w:lineRule="auto"/>
              <w:ind w:left="0" w:right="0" w:firstLine="48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初期雨水按《室外排水设计规范》中公式计算：</w:t>
            </w:r>
          </w:p>
          <w:p w14:paraId="1B58A09B">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center"/>
              <w:textAlignment w:val="bottom"/>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Q=Ψ×F×q×t/1000</w:t>
            </w:r>
          </w:p>
          <w:p w14:paraId="665FC2BA">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textAlignment w:val="bottom"/>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其中：Q为初期雨水排放量，m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/次；</w:t>
            </w:r>
          </w:p>
          <w:p w14:paraId="47E8B4E6">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1200" w:firstLineChars="500"/>
              <w:textAlignment w:val="bottom"/>
              <w:rPr>
                <w:rFonts w:hint="default" w:ascii="Times New Roman" w:hAnsi="Times New Roman" w:cs="Times New Roman"/>
                <w:color w:val="auto"/>
                <w:sz w:val="24"/>
                <w:szCs w:val="24"/>
              </w:rPr>
            </w:pPr>
            <w:r>
              <w:rPr>
                <w:rFonts w:hint="default" w:ascii="Times New Roman" w:hAnsi="Times New Roman" w:cs="Times New Roman"/>
                <w:color w:val="auto"/>
                <w:sz w:val="24"/>
                <w:szCs w:val="24"/>
              </w:rPr>
              <w:t>Ψ为径流系数，</w:t>
            </w:r>
            <w:r>
              <w:rPr>
                <w:rFonts w:hint="eastAsia" w:ascii="Times New Roman" w:hAnsi="Times New Roman" w:cs="Times New Roman"/>
                <w:color w:val="auto"/>
                <w:sz w:val="24"/>
                <w:szCs w:val="24"/>
                <w:lang w:eastAsia="zh-CN"/>
              </w:rPr>
              <w:t>项目厂区拟硬化，根据《室外排水设计标准》（GB50014-2021）表4.1.8-1径流系数表，各类屋面、混凝土或沥青路面径流系数为0.85~0.95，本评价取0.95</w:t>
            </w:r>
            <w:r>
              <w:rPr>
                <w:rFonts w:hint="default" w:ascii="Times New Roman" w:hAnsi="Times New Roman" w:cs="Times New Roman"/>
                <w:color w:val="auto"/>
                <w:sz w:val="24"/>
                <w:szCs w:val="24"/>
              </w:rPr>
              <w:t>；</w:t>
            </w:r>
          </w:p>
          <w:p w14:paraId="16744B3F">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1200" w:firstLineChars="500"/>
              <w:textAlignment w:val="bottom"/>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F为汇水面积，</w:t>
            </w:r>
            <w:r>
              <w:rPr>
                <w:rFonts w:hint="eastAsia" w:ascii="Times New Roman" w:hAnsi="Times New Roman" w:cs="Times New Roman"/>
                <w:color w:val="auto"/>
                <w:sz w:val="24"/>
                <w:szCs w:val="24"/>
                <w:lang w:eastAsia="zh-CN"/>
              </w:rPr>
              <w:t>项目</w:t>
            </w:r>
            <w:r>
              <w:rPr>
                <w:rFonts w:hint="eastAsia" w:ascii="Times New Roman" w:hAnsi="Times New Roman" w:cs="Times New Roman"/>
                <w:color w:val="auto"/>
                <w:sz w:val="24"/>
                <w:szCs w:val="24"/>
                <w:lang w:val="en-US" w:eastAsia="zh-CN"/>
              </w:rPr>
              <w:t>作业区（扣除生活区、非生产运输通道）约1.23</w:t>
            </w:r>
            <w:r>
              <w:rPr>
                <w:rFonts w:hint="default" w:ascii="Times New Roman" w:hAnsi="Times New Roman" w:cs="Times New Roman"/>
                <w:color w:val="auto"/>
                <w:sz w:val="24"/>
                <w:szCs w:val="24"/>
              </w:rPr>
              <w:t>hm</w:t>
            </w:r>
            <w:r>
              <w:rPr>
                <w:rFonts w:hint="default" w:ascii="Times New Roman" w:hAnsi="Times New Roman" w:cs="Times New Roman"/>
                <w:color w:val="auto"/>
                <w:sz w:val="24"/>
                <w:szCs w:val="24"/>
                <w:vertAlign w:val="superscript"/>
              </w:rPr>
              <w:t>2</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eastAsia="zh-CN"/>
              </w:rPr>
              <w:t>拟对</w:t>
            </w:r>
            <w:r>
              <w:rPr>
                <w:rFonts w:hint="eastAsia" w:ascii="Times New Roman" w:hAnsi="Times New Roman" w:cs="Times New Roman"/>
                <w:color w:val="auto"/>
                <w:sz w:val="24"/>
                <w:szCs w:val="24"/>
                <w:lang w:val="en-US" w:eastAsia="zh-CN"/>
              </w:rPr>
              <w:t>作业区厂房、遮雨棚配套雨水收集系统进行雨水收集，直接连入雨水管网，与地面污染雨水分流。因此受污染的初期雨水汇水面积扣除作业区厂房、遮雨棚面积（约1.08</w:t>
            </w:r>
            <w:r>
              <w:rPr>
                <w:rFonts w:hint="default" w:ascii="Times New Roman" w:hAnsi="Times New Roman" w:cs="Times New Roman"/>
                <w:color w:val="auto"/>
                <w:sz w:val="24"/>
                <w:szCs w:val="24"/>
              </w:rPr>
              <w:t>hm</w:t>
            </w:r>
            <w:r>
              <w:rPr>
                <w:rFonts w:hint="default" w:ascii="Times New Roman" w:hAnsi="Times New Roman" w:cs="Times New Roman"/>
                <w:color w:val="auto"/>
                <w:sz w:val="24"/>
                <w:szCs w:val="24"/>
                <w:vertAlign w:val="superscript"/>
              </w:rPr>
              <w:t>2</w:t>
            </w:r>
            <w:r>
              <w:rPr>
                <w:rFonts w:hint="eastAsia" w:ascii="Times New Roman" w:hAnsi="Times New Roman" w:cs="Times New Roman"/>
                <w:color w:val="auto"/>
                <w:sz w:val="24"/>
                <w:szCs w:val="24"/>
                <w:lang w:val="en-US" w:eastAsia="zh-CN"/>
              </w:rPr>
              <w:t>），按作业区露天区域面积计，取0.15</w:t>
            </w:r>
            <w:r>
              <w:rPr>
                <w:rFonts w:hint="default" w:ascii="Times New Roman" w:hAnsi="Times New Roman" w:cs="Times New Roman"/>
                <w:color w:val="auto"/>
                <w:sz w:val="24"/>
                <w:szCs w:val="24"/>
              </w:rPr>
              <w:t>hm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4238176C">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1200" w:firstLineChars="500"/>
              <w:textAlignment w:val="bottom"/>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q</w:t>
            </w:r>
            <w:r>
              <w:rPr>
                <w:rFonts w:hint="default" w:ascii="Times New Roman" w:hAnsi="Times New Roman" w:cs="Times New Roman"/>
                <w:color w:val="auto"/>
                <w:sz w:val="24"/>
                <w:szCs w:val="24"/>
              </w:rPr>
              <w:t>为设计暴雨强度L/(s.hm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)/次，</w:t>
            </w:r>
            <w:r>
              <w:rPr>
                <w:rFonts w:hint="eastAsia" w:ascii="Times New Roman" w:hAnsi="Times New Roman" w:cs="Times New Roman"/>
                <w:color w:val="auto"/>
                <w:sz w:val="24"/>
                <w:szCs w:val="24"/>
                <w:lang w:eastAsia="zh-CN"/>
              </w:rPr>
              <w:t>参照</w:t>
            </w:r>
            <w:r>
              <w:rPr>
                <w:rFonts w:hint="default" w:ascii="Times New Roman" w:hAnsi="Times New Roman" w:cs="Times New Roman"/>
                <w:color w:val="auto"/>
                <w:sz w:val="24"/>
                <w:szCs w:val="24"/>
              </w:rPr>
              <w:t>《福建省城市及部分县城暴雨强度</w:t>
            </w:r>
            <w:r>
              <w:rPr>
                <w:rFonts w:hint="eastAsia" w:ascii="Times New Roman" w:hAnsi="Times New Roman" w:cs="Times New Roman"/>
                <w:color w:val="auto"/>
                <w:sz w:val="24"/>
                <w:szCs w:val="24"/>
                <w:lang w:eastAsia="zh-CN"/>
              </w:rPr>
              <w:t>公式</w:t>
            </w:r>
            <w:r>
              <w:rPr>
                <w:rFonts w:hint="default" w:ascii="Times New Roman" w:hAnsi="Times New Roman" w:eastAsia="宋体" w:cs="Times New Roman"/>
                <w:color w:val="auto"/>
                <w:sz w:val="24"/>
                <w:szCs w:val="24"/>
                <w:lang w:val="en-US" w:eastAsia="zh-CN"/>
              </w:rPr>
              <w:t>》(2003)，取q值为</w:t>
            </w:r>
            <w:r>
              <w:rPr>
                <w:rFonts w:hint="eastAsia" w:ascii="Times New Roman" w:hAnsi="Times New Roman" w:eastAsia="宋体" w:cs="Times New Roman"/>
                <w:color w:val="auto"/>
                <w:sz w:val="24"/>
                <w:szCs w:val="24"/>
                <w:lang w:val="en-US" w:eastAsia="zh-CN"/>
              </w:rPr>
              <w:t>180.663</w:t>
            </w:r>
            <w:r>
              <w:rPr>
                <w:rFonts w:hint="default" w:ascii="Times New Roman" w:hAnsi="Times New Roman" w:eastAsia="宋体" w:cs="Times New Roman"/>
                <w:color w:val="auto"/>
                <w:sz w:val="24"/>
                <w:szCs w:val="24"/>
                <w:lang w:val="en-US" w:eastAsia="zh-CN"/>
              </w:rPr>
              <w:t>；</w:t>
            </w:r>
          </w:p>
          <w:p w14:paraId="513B41B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1200" w:firstLineChars="500"/>
              <w:textAlignment w:val="bottom"/>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T为时间s，按15分钟计算，900s。</w:t>
            </w:r>
          </w:p>
          <w:p w14:paraId="43893D57">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color w:val="auto"/>
                <w:lang w:val="en-US" w:eastAsia="zh-CN"/>
              </w:rPr>
            </w:pPr>
            <w:r>
              <w:rPr>
                <w:rFonts w:hint="default" w:ascii="Times New Roman" w:hAnsi="Times New Roman" w:eastAsia="宋体" w:cs="Times New Roman"/>
                <w:color w:val="auto"/>
                <w:sz w:val="24"/>
                <w:szCs w:val="24"/>
              </w:rPr>
              <w:t>经计算</w:t>
            </w:r>
            <w:r>
              <w:rPr>
                <w:rFonts w:hint="eastAsia" w:ascii="Times New Roman" w:hAnsi="Times New Roman" w:eastAsia="宋体" w:cs="Times New Roman"/>
                <w:color w:val="auto"/>
                <w:sz w:val="24"/>
                <w:szCs w:val="24"/>
                <w:lang w:eastAsia="zh-CN"/>
              </w:rPr>
              <w:t>厂区</w:t>
            </w:r>
            <w:r>
              <w:rPr>
                <w:rFonts w:hint="eastAsia" w:ascii="Times New Roman" w:hAnsi="Times New Roman" w:eastAsia="宋体" w:cs="Times New Roman"/>
                <w:color w:val="auto"/>
                <w:sz w:val="24"/>
                <w:szCs w:val="24"/>
                <w:lang w:val="en-US" w:eastAsia="zh-CN"/>
              </w:rPr>
              <w:t>露天区域</w:t>
            </w:r>
            <w:r>
              <w:rPr>
                <w:rFonts w:hint="eastAsia" w:ascii="Times New Roman" w:hAnsi="Times New Roman" w:eastAsia="宋体" w:cs="Times New Roman"/>
                <w:color w:val="auto"/>
                <w:sz w:val="24"/>
                <w:szCs w:val="24"/>
                <w:lang w:eastAsia="zh-CN"/>
              </w:rPr>
              <w:t>收集</w:t>
            </w:r>
            <w:r>
              <w:rPr>
                <w:rFonts w:hint="eastAsia" w:ascii="Times New Roman" w:hAnsi="Times New Roman" w:eastAsia="宋体" w:cs="Times New Roman"/>
                <w:color w:val="auto"/>
                <w:sz w:val="24"/>
                <w:szCs w:val="24"/>
                <w:lang w:val="en-US" w:eastAsia="zh-CN"/>
              </w:rPr>
              <w:t>15min</w:t>
            </w:r>
            <w:r>
              <w:rPr>
                <w:rFonts w:hint="default" w:ascii="Times New Roman" w:hAnsi="Times New Roman" w:eastAsia="宋体" w:cs="Times New Roman"/>
                <w:color w:val="auto"/>
                <w:sz w:val="24"/>
                <w:szCs w:val="24"/>
              </w:rPr>
              <w:t>初期雨水量</w:t>
            </w:r>
            <w:r>
              <w:rPr>
                <w:rFonts w:hint="eastAsia" w:ascii="Times New Roman" w:hAnsi="Times New Roman" w:eastAsia="宋体" w:cs="Times New Roman"/>
                <w:color w:val="auto"/>
                <w:sz w:val="24"/>
                <w:szCs w:val="24"/>
                <w:lang w:val="en-US" w:eastAsia="zh-CN"/>
              </w:rPr>
              <w:t>约</w:t>
            </w:r>
            <w:r>
              <w:rPr>
                <w:rFonts w:hint="default"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23.2</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/次。</w:t>
            </w:r>
            <w:r>
              <w:rPr>
                <w:rFonts w:hint="default" w:ascii="Times New Roman" w:hAnsi="Times New Roman" w:eastAsia="宋体" w:cs="Times New Roman"/>
                <w:color w:val="auto"/>
                <w:sz w:val="24"/>
                <w:szCs w:val="24"/>
              </w:rPr>
              <w:t>建设单位拟在</w:t>
            </w:r>
            <w:r>
              <w:rPr>
                <w:rFonts w:hint="eastAsia" w:ascii="Times New Roman" w:hAnsi="Times New Roman" w:eastAsia="宋体" w:cs="Times New Roman"/>
                <w:color w:val="auto"/>
                <w:sz w:val="24"/>
                <w:szCs w:val="24"/>
                <w:lang w:val="en-US" w:eastAsia="zh-CN"/>
              </w:rPr>
              <w:t>厂区</w:t>
            </w:r>
            <w:r>
              <w:rPr>
                <w:rFonts w:hint="eastAsia" w:ascii="Times New Roman" w:hAnsi="Times New Roman" w:eastAsia="宋体" w:cs="Times New Roman"/>
                <w:color w:val="auto"/>
                <w:sz w:val="24"/>
                <w:szCs w:val="24"/>
                <w:lang w:eastAsia="zh-CN"/>
              </w:rPr>
              <w:t>北侧设置一座</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的收集池，厂区作业区四周导流沟与收集池相连通，并设置阀门控制，</w:t>
            </w:r>
            <w:r>
              <w:rPr>
                <w:rFonts w:hint="default" w:ascii="Times New Roman" w:hAnsi="Times New Roman" w:eastAsia="宋体" w:cs="Times New Roman"/>
                <w:color w:val="auto"/>
                <w:spacing w:val="0"/>
                <w:sz w:val="24"/>
                <w:szCs w:val="24"/>
              </w:rPr>
              <w:t>当遇雨水天气，通过控制阀门收集厂区污染物含量较高的</w:t>
            </w:r>
            <w:r>
              <w:rPr>
                <w:rFonts w:hint="eastAsia" w:ascii="Times New Roman" w:hAnsi="Times New Roman" w:eastAsia="宋体" w:cs="Times New Roman"/>
                <w:color w:val="auto"/>
                <w:spacing w:val="0"/>
                <w:sz w:val="24"/>
                <w:szCs w:val="24"/>
                <w:lang w:val="en-US" w:eastAsia="zh-CN"/>
              </w:rPr>
              <w:t>作业区露天区域</w:t>
            </w:r>
            <w:r>
              <w:rPr>
                <w:rFonts w:hint="default" w:ascii="Times New Roman" w:hAnsi="Times New Roman" w:eastAsia="宋体" w:cs="Times New Roman"/>
                <w:color w:val="auto"/>
                <w:spacing w:val="0"/>
                <w:sz w:val="24"/>
                <w:szCs w:val="24"/>
              </w:rPr>
              <w:t>初期雨水进入</w:t>
            </w:r>
            <w:r>
              <w:rPr>
                <w:rFonts w:hint="eastAsia" w:ascii="Times New Roman" w:hAnsi="Times New Roman" w:eastAsia="宋体" w:cs="Times New Roman"/>
                <w:color w:val="auto"/>
                <w:spacing w:val="0"/>
                <w:sz w:val="24"/>
                <w:szCs w:val="24"/>
                <w:lang w:val="en-US" w:eastAsia="zh-CN"/>
              </w:rPr>
              <w:t>收集池</w:t>
            </w:r>
            <w:r>
              <w:rPr>
                <w:rFonts w:hint="default" w:ascii="Times New Roman" w:hAnsi="Times New Roman" w:eastAsia="宋体" w:cs="Times New Roman"/>
                <w:color w:val="auto"/>
                <w:spacing w:val="0"/>
                <w:sz w:val="24"/>
                <w:szCs w:val="24"/>
              </w:rPr>
              <w:t>，</w:t>
            </w:r>
            <w:r>
              <w:rPr>
                <w:rFonts w:hint="eastAsia" w:ascii="Times New Roman" w:hAnsi="Times New Roman" w:eastAsia="宋体" w:cs="Times New Roman"/>
                <w:color w:val="auto"/>
                <w:spacing w:val="0"/>
                <w:sz w:val="24"/>
                <w:szCs w:val="24"/>
                <w:lang w:val="en-US" w:eastAsia="zh-CN"/>
              </w:rPr>
              <w:t>经废水处理设施（油水分离+混凝沉淀+过滤）预处理后，全部</w:t>
            </w:r>
            <w:r>
              <w:rPr>
                <w:rFonts w:hint="eastAsia" w:ascii="Times New Roman" w:hAnsi="Times New Roman" w:eastAsia="宋体" w:cs="Times New Roman"/>
                <w:color w:val="auto"/>
                <w:sz w:val="24"/>
                <w:szCs w:val="24"/>
                <w:lang w:val="en-US" w:eastAsia="zh-CN"/>
              </w:rPr>
              <w:t>回用于场地洒水清扫、停车区冲洗，不外排，后期雨水通过阀门切换直接排入市政雨水管网。</w:t>
            </w:r>
          </w:p>
          <w:p w14:paraId="3B2B50AD">
            <w:pPr>
              <w:pStyle w:val="17"/>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黑体" w:cs="Times New Roman"/>
                <w:bCs/>
                <w:color w:val="auto"/>
                <w:sz w:val="24"/>
                <w:szCs w:val="24"/>
                <w:highlight w:val="none"/>
              </w:rPr>
            </w:pPr>
            <w:r>
              <w:rPr>
                <w:rFonts w:hint="default" w:ascii="Times New Roman" w:hAnsi="Times New Roman" w:eastAsia="宋体" w:cs="Times New Roman"/>
                <w:color w:val="auto"/>
                <w:highlight w:val="none"/>
              </w:rPr>
              <w:t>项目水平衡图详见图</w:t>
            </w:r>
            <w:r>
              <w:rPr>
                <w:rFonts w:hint="default" w:ascii="Times New Roman" w:hAnsi="Times New Roman" w:eastAsia="宋体" w:cs="Times New Roman"/>
                <w:color w:val="auto"/>
                <w:highlight w:val="none"/>
                <w:lang w:val="en-US" w:eastAsia="zh-CN"/>
              </w:rPr>
              <w:t>2.2-</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w:t>
            </w:r>
          </w:p>
          <w:p w14:paraId="0D469B07">
            <w:pPr>
              <w:jc w:val="center"/>
              <w:rPr>
                <w:rFonts w:hint="eastAsia" w:ascii="Times New Roman" w:hAnsi="Times New Roman" w:eastAsia="宋体" w:cs="Times New Roman"/>
                <w:b/>
                <w:color w:val="auto"/>
                <w:sz w:val="24"/>
                <w:szCs w:val="24"/>
                <w:highlight w:val="none"/>
                <w:lang w:val="en-US" w:eastAsia="zh-CN"/>
              </w:rPr>
            </w:pPr>
          </w:p>
          <w:p w14:paraId="548B51E5">
            <w:pPr>
              <w:jc w:val="center"/>
              <w:rPr>
                <w:rFonts w:hint="default" w:ascii="Times New Roman" w:hAnsi="Times New Roman" w:eastAsia="黑体" w:cs="Times New Roman"/>
                <w:color w:val="auto"/>
                <w:sz w:val="24"/>
                <w:lang w:val="en-US" w:eastAsia="zh-CN"/>
              </w:rPr>
            </w:pPr>
            <w:r>
              <w:rPr>
                <w:rFonts w:hint="eastAsia" w:ascii="Times New Roman" w:hAnsi="Times New Roman" w:eastAsia="宋体" w:cs="Times New Roman"/>
                <w:b/>
                <w:color w:val="auto"/>
                <w:sz w:val="24"/>
                <w:szCs w:val="24"/>
                <w:highlight w:val="none"/>
                <w:lang w:val="en-US" w:eastAsia="zh-CN"/>
              </w:rPr>
              <w:t xml:space="preserve">图2.2-1 </w:t>
            </w:r>
            <w:r>
              <w:rPr>
                <w:rFonts w:hint="default" w:ascii="Times New Roman" w:hAnsi="Times New Roman" w:eastAsia="黑体" w:cs="Times New Roman"/>
                <w:color w:val="auto"/>
                <w:sz w:val="24"/>
              </w:rPr>
              <w:t xml:space="preserve">工程水平衡图  </w:t>
            </w:r>
          </w:p>
          <w:p w14:paraId="334FD525">
            <w:pPr>
              <w:keepNext w:val="0"/>
              <w:keepLines w:val="0"/>
              <w:pageBreakBefore w:val="0"/>
              <w:widowControl/>
              <w:kinsoku/>
              <w:wordWrap/>
              <w:overflowPunct/>
              <w:topLinePunct w:val="0"/>
              <w:autoSpaceDE w:val="0"/>
              <w:autoSpaceDN w:val="0"/>
              <w:bidi w:val="0"/>
              <w:adjustRightInd w:val="0"/>
              <w:snapToGrid w:val="0"/>
              <w:spacing w:before="157" w:beforeLines="50" w:line="360" w:lineRule="auto"/>
              <w:ind w:right="0"/>
              <w:jc w:val="left"/>
              <w:textAlignment w:val="bottom"/>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2.2.</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 xml:space="preserve"> 项目平面布置合理性分析</w:t>
            </w:r>
          </w:p>
          <w:p w14:paraId="203E14D4">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报废机动车拆解企业污染控制技术规范》（HJ348-2022），报废资源拆解企业的厂区应划分为不同的功能区，各功能区的大小和分区应适合企业的设计拆解能力，各功能区应有明确的界线和明显的标识。本项目总用地面积约23000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，可满足企业生产需求，所在厂区四周设有围墙，进出口设有门，可禁止无关人员进入，主入口设置于厂区南侧，邻近道路，方便车辆及物料运输。</w:t>
            </w:r>
          </w:p>
          <w:p w14:paraId="1F92986D">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厂区管理分区如下：</w:t>
            </w:r>
          </w:p>
          <w:p w14:paraId="7120F117">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（1）管理区：为办公区及综合楼，位于厂区西北侧，相对于拆解作业区和贮存区独立。</w:t>
            </w:r>
          </w:p>
          <w:p w14:paraId="5F690ABD">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（2）拆解原料贮存区：</w:t>
            </w:r>
          </w:p>
          <w:p w14:paraId="1C8D8160">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废旧机动车贮存区：大小车停放区位于厂区西南侧，棚盖非露天停放，地面硬化防渗，四周设置导流沟槽连通收集池；新能源车停车区位于一号厂房内，进行地面硬化防渗；以上废旧机动车贮存区主要用来储存进厂未拆解的报废机动车，储存前机动车应先完成检查，对发现破损采取堵漏吸附收集，减少跑冒滴漏风险。</w:t>
            </w:r>
          </w:p>
          <w:p w14:paraId="721FA3F1">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②废电机、废变压器贮存区：位于厂区东北侧三号车间内，分区贮存，地面硬化防渗处理。</w:t>
            </w:r>
          </w:p>
          <w:p w14:paraId="75FD61BC">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（3）拆解作业区：</w:t>
            </w:r>
          </w:p>
          <w:p w14:paraId="156D1DE7">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废旧机动车拆解作业区：按照废旧机动车拆解工艺流程顺序，分为动力蓄电池拆卸车间、预处理车间、大小车拆解车间等，动力蓄电池拆卸车间、预处理车间位于厂区东南侧一号厂房内独立车间中，大小车拆解车间位于二号厂房内，地面硬化防渗。</w:t>
            </w:r>
          </w:p>
          <w:p w14:paraId="6897B60B">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②废电机拆解作业区：位于厂区东北侧三号厂房内，地面硬化防渗，位置靠近废电机贮存区，减少厂内运输路线。</w:t>
            </w:r>
          </w:p>
          <w:p w14:paraId="7BAB3B4E">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③废变压器拆解作业区：位于厂区东北侧三号厂房内，地面硬化防渗，位置靠近废变压器贮存区，减少厂内运输路线。</w:t>
            </w:r>
          </w:p>
          <w:p w14:paraId="0E1277CD">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产品（半成品）贮存区：设置仓库区，位于厂区西侧，用于存放拆解后可回收的各零部件及材料。仓库内地面硬化防渗，各类产品分区存放，各功能区职能清晰。 </w:t>
            </w:r>
          </w:p>
          <w:p w14:paraId="72994EA1">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污染控制区：主要为危废暂存间、废动力蓄电池暂存间、收集池及处理设施、一般固废暂存间、危废暂存间等，危险废物暂存间、一般固废暂存间、废动力蓄电池暂存间位于厂区西侧，地面硬化防渗处理，固废按照特性分类分区存放；收集池及配套处理设施位于厂区北侧，与厂区设置的导流沟连通并设置阀门控制流向，厂区导流沟依据地势设置，通过重力自流进入收集池。</w:t>
            </w:r>
          </w:p>
          <w:p w14:paraId="69E3D074">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项目总平面布置图详见附图7。</w:t>
            </w:r>
          </w:p>
          <w:p w14:paraId="47AC43BA">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bottom"/>
              <w:rPr>
                <w:rFonts w:hint="default" w:ascii="Times New Roman" w:hAnsi="Times New Roman"/>
                <w:color w:val="auto"/>
                <w:vertAlign w:val="baseline"/>
              </w:rPr>
            </w:pPr>
            <w:r>
              <w:rPr>
                <w:rFonts w:hint="eastAsia" w:ascii="Times New Roman" w:hAnsi="Times New Roman" w:eastAsia="宋体" w:cs="Times New Roman"/>
                <w:color w:val="auto"/>
                <w:sz w:val="24"/>
                <w:szCs w:val="24"/>
                <w:lang w:val="en-US" w:eastAsia="zh-CN"/>
              </w:rPr>
              <w:t>经查，</w:t>
            </w:r>
            <w:r>
              <w:rPr>
                <w:rFonts w:hint="default" w:ascii="Times New Roman" w:hAnsi="Times New Roman" w:eastAsia="宋体" w:cs="Times New Roman"/>
                <w:color w:val="auto"/>
                <w:sz w:val="24"/>
                <w:szCs w:val="24"/>
                <w:lang w:val="en-US" w:eastAsia="zh-CN"/>
              </w:rPr>
              <w:t>项目当地常年主导风向为</w:t>
            </w:r>
            <w:r>
              <w:rPr>
                <w:rFonts w:hint="eastAsia" w:ascii="Times New Roman" w:hAnsi="Times New Roman" w:eastAsia="宋体" w:cs="Times New Roman"/>
                <w:color w:val="auto"/>
                <w:sz w:val="24"/>
                <w:szCs w:val="24"/>
                <w:lang w:val="en-US" w:eastAsia="zh-CN"/>
              </w:rPr>
              <w:t>东北风</w:t>
            </w:r>
            <w:r>
              <w:rPr>
                <w:rFonts w:hint="default" w:ascii="Times New Roman" w:hAnsi="Times New Roman" w:eastAsia="宋体" w:cs="Times New Roman"/>
                <w:color w:val="auto"/>
                <w:sz w:val="24"/>
                <w:szCs w:val="24"/>
                <w:lang w:val="en-US" w:eastAsia="zh-CN"/>
              </w:rPr>
              <w:t>，说明其下风向(</w:t>
            </w:r>
            <w:r>
              <w:rPr>
                <w:rFonts w:hint="eastAsia" w:ascii="Times New Roman" w:hAnsi="Times New Roman" w:eastAsia="宋体" w:cs="Times New Roman"/>
                <w:color w:val="auto"/>
                <w:sz w:val="24"/>
                <w:szCs w:val="24"/>
                <w:lang w:val="en-US" w:eastAsia="zh-CN"/>
              </w:rPr>
              <w:t>西北侧</w:t>
            </w:r>
            <w:r>
              <w:rPr>
                <w:rFonts w:hint="default" w:ascii="Times New Roman" w:hAnsi="Times New Roman" w:eastAsia="宋体" w:cs="Times New Roman"/>
                <w:color w:val="auto"/>
                <w:sz w:val="24"/>
                <w:szCs w:val="24"/>
                <w:lang w:val="en-US" w:eastAsia="zh-CN"/>
              </w:rPr>
              <w:t>)受污染</w:t>
            </w:r>
            <w:r>
              <w:rPr>
                <w:rFonts w:hint="eastAsia" w:ascii="Times New Roman" w:hAnsi="Times New Roman" w:eastAsia="宋体" w:cs="Times New Roman"/>
                <w:color w:val="auto"/>
                <w:sz w:val="24"/>
                <w:szCs w:val="24"/>
                <w:lang w:val="en-US" w:eastAsia="zh-CN"/>
              </w:rPr>
              <w:t>的概率</w:t>
            </w:r>
            <w:r>
              <w:rPr>
                <w:rFonts w:hint="default" w:ascii="Times New Roman" w:hAnsi="Times New Roman" w:eastAsia="宋体" w:cs="Times New Roman"/>
                <w:color w:val="auto"/>
                <w:sz w:val="24"/>
                <w:szCs w:val="24"/>
                <w:lang w:val="en-US" w:eastAsia="zh-CN"/>
              </w:rPr>
              <w:t>最高，项目</w:t>
            </w:r>
            <w:r>
              <w:rPr>
                <w:rFonts w:hint="eastAsia" w:ascii="Times New Roman" w:hAnsi="Times New Roman" w:eastAsia="宋体" w:cs="Times New Roman"/>
                <w:color w:val="auto"/>
                <w:sz w:val="24"/>
                <w:szCs w:val="24"/>
                <w:lang w:val="en-US" w:eastAsia="zh-CN"/>
              </w:rPr>
              <w:t>拟设置3个排气筒，分别位于厂区东南侧一号厂房外东南侧，东北侧三号厂房外东南侧，厂区东北侧四号厂房外东南侧，就近于废产生点，有利于废气收集。项目周边最近敏感目标山前村位于厂区外西、北侧，相对位于常年主导风上、侧风向，可降低项目废气排放对其影响。</w:t>
            </w:r>
            <w:r>
              <w:rPr>
                <w:rFonts w:hint="default" w:ascii="Times New Roman" w:hAnsi="Times New Roman" w:eastAsia="宋体" w:cs="Times New Roman"/>
                <w:color w:val="auto"/>
                <w:sz w:val="24"/>
                <w:szCs w:val="24"/>
                <w:lang w:val="en-US" w:eastAsia="zh-CN"/>
              </w:rPr>
              <w:t>从环境影响的角度看，项目环保设施平面布置基本合理。</w:t>
            </w:r>
            <w:r>
              <w:rPr>
                <w:rFonts w:hint="default" w:ascii="Times New Roman" w:hAnsi="Times New Roman" w:eastAsia="宋体" w:cs="Times New Roman"/>
                <w:color w:val="auto"/>
                <w:sz w:val="24"/>
                <w:szCs w:val="24"/>
              </w:rPr>
              <w:t>综上所述，本项目的总平布置基本合理。</w:t>
            </w:r>
          </w:p>
        </w:tc>
      </w:tr>
      <w:tr w14:paraId="23CC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jc w:val="center"/>
        </w:trPr>
        <w:tc>
          <w:tcPr>
            <w:tcW w:w="680" w:type="dxa"/>
            <w:noWrap w:val="0"/>
            <w:vAlign w:val="center"/>
          </w:tcPr>
          <w:p w14:paraId="39576142">
            <w:pPr>
              <w:jc w:val="center"/>
              <w:rPr>
                <w:rFonts w:hint="default" w:ascii="Times New Roman" w:hAnsi="Times New Roman"/>
                <w:color w:val="auto"/>
                <w:vertAlign w:val="baseline"/>
              </w:rPr>
            </w:pPr>
            <w:r>
              <w:rPr>
                <w:rFonts w:hint="default" w:ascii="Times New Roman" w:hAnsi="Times New Roman" w:eastAsia="宋体" w:cs="Times New Roman"/>
                <w:color w:val="auto"/>
                <w:sz w:val="21"/>
                <w:szCs w:val="21"/>
              </w:rPr>
              <w:t>工艺流程和产排污环节</w:t>
            </w:r>
          </w:p>
        </w:tc>
        <w:tc>
          <w:tcPr>
            <w:tcW w:w="8245" w:type="dxa"/>
            <w:noWrap w:val="0"/>
            <w:vAlign w:val="top"/>
          </w:tcPr>
          <w:p w14:paraId="2540862A">
            <w:pPr>
              <w:pStyle w:val="6"/>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生产工艺流程及产污环节</w:t>
            </w:r>
          </w:p>
          <w:p w14:paraId="1D68A611">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1 废旧机动车</w:t>
            </w:r>
            <w:r>
              <w:rPr>
                <w:rFonts w:hint="default" w:ascii="Times New Roman" w:hAnsi="Times New Roman" w:eastAsia="宋体" w:cs="Times New Roman"/>
                <w:b/>
                <w:bCs/>
                <w:color w:val="auto"/>
                <w:sz w:val="24"/>
                <w:szCs w:val="24"/>
                <w:highlight w:val="none"/>
                <w:lang w:eastAsia="zh-CN"/>
              </w:rPr>
              <w:t>工艺流程</w:t>
            </w:r>
          </w:p>
          <w:p w14:paraId="24F73AF5">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（1）废旧机动车拆解深度</w:t>
            </w:r>
          </w:p>
          <w:p w14:paraId="0F55E1AC">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厂内对</w:t>
            </w:r>
            <w:r>
              <w:rPr>
                <w:rFonts w:hint="eastAsia" w:ascii="Times New Roman" w:hAnsi="Times New Roman" w:eastAsia="宋体" w:cs="Times New Roman"/>
                <w:color w:val="auto"/>
                <w:sz w:val="24"/>
                <w:szCs w:val="24"/>
                <w:highlight w:val="none"/>
                <w:lang w:eastAsia="zh-CN"/>
              </w:rPr>
              <w:t>废旧机动车</w:t>
            </w:r>
            <w:r>
              <w:rPr>
                <w:rFonts w:hint="default" w:ascii="Times New Roman" w:hAnsi="Times New Roman" w:eastAsia="宋体" w:cs="Times New Roman"/>
                <w:color w:val="auto"/>
                <w:sz w:val="24"/>
                <w:szCs w:val="24"/>
                <w:highlight w:val="none"/>
              </w:rPr>
              <w:t>拆解下来的总成及危废物质不再进行进一步的拆分和处置，具体</w:t>
            </w:r>
            <w:r>
              <w:rPr>
                <w:rFonts w:hint="eastAsia" w:ascii="Times New Roman" w:hAnsi="Times New Roman" w:eastAsia="宋体" w:cs="Times New Roman"/>
                <w:color w:val="auto"/>
                <w:sz w:val="24"/>
                <w:szCs w:val="24"/>
                <w:highlight w:val="none"/>
                <w:lang w:val="en-US" w:eastAsia="zh-CN"/>
              </w:rPr>
              <w:t>拆解深度</w:t>
            </w:r>
            <w:r>
              <w:rPr>
                <w:rFonts w:hint="default" w:ascii="Times New Roman" w:hAnsi="Times New Roman" w:eastAsia="宋体" w:cs="Times New Roman"/>
                <w:color w:val="auto"/>
                <w:sz w:val="24"/>
                <w:szCs w:val="24"/>
                <w:highlight w:val="none"/>
              </w:rPr>
              <w:t>如下：</w:t>
            </w:r>
          </w:p>
          <w:p w14:paraId="38462E4F">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①发动机从汽车上拆除下来后，进行泄油静置处理(废油液全部进入专用收集容器内)，直接</w:t>
            </w:r>
            <w:r>
              <w:rPr>
                <w:rFonts w:hint="eastAsia" w:ascii="Times New Roman" w:hAnsi="Times New Roman" w:eastAsia="宋体" w:cs="Times New Roman"/>
                <w:color w:val="auto"/>
                <w:sz w:val="24"/>
                <w:szCs w:val="24"/>
                <w:highlight w:val="none"/>
                <w:lang w:val="en-US" w:eastAsia="zh-CN"/>
              </w:rPr>
              <w:t>暂存外售，</w:t>
            </w:r>
            <w:r>
              <w:rPr>
                <w:rFonts w:hint="default" w:ascii="Times New Roman" w:hAnsi="Times New Roman" w:eastAsia="宋体" w:cs="Times New Roman"/>
                <w:color w:val="auto"/>
                <w:sz w:val="24"/>
                <w:szCs w:val="24"/>
                <w:highlight w:val="none"/>
              </w:rPr>
              <w:t>不进行深度拆解。</w:t>
            </w:r>
          </w:p>
          <w:p w14:paraId="5ACB6EB4">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②变速器、离合传动轴和汽车悬架等拆除后，用剪切的方式将其破坏为废钢。</w:t>
            </w:r>
          </w:p>
          <w:p w14:paraId="7FAE68D0">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③蓄电池、尾气净化装置和各种</w:t>
            </w:r>
            <w:r>
              <w:rPr>
                <w:rFonts w:hint="eastAsia" w:ascii="Times New Roman" w:hAnsi="Times New Roman" w:eastAsia="宋体" w:cs="Times New Roman"/>
                <w:color w:val="auto"/>
                <w:sz w:val="24"/>
                <w:szCs w:val="24"/>
                <w:highlight w:val="none"/>
                <w:lang w:val="en-US" w:eastAsia="zh-CN"/>
              </w:rPr>
              <w:t>电容器、电路板等危险废物</w:t>
            </w:r>
            <w:r>
              <w:rPr>
                <w:rFonts w:hint="default" w:ascii="Times New Roman" w:hAnsi="Times New Roman" w:eastAsia="宋体" w:cs="Times New Roman"/>
                <w:color w:val="auto"/>
                <w:sz w:val="24"/>
                <w:szCs w:val="24"/>
                <w:highlight w:val="none"/>
              </w:rPr>
              <w:t>从汽车上拆除后，不再进行拆解，将尽快</w:t>
            </w:r>
            <w:r>
              <w:rPr>
                <w:rFonts w:hint="eastAsia" w:ascii="Times New Roman" w:hAnsi="Times New Roman" w:eastAsia="宋体" w:cs="Times New Roman"/>
                <w:color w:val="auto"/>
                <w:sz w:val="24"/>
                <w:szCs w:val="24"/>
                <w:highlight w:val="none"/>
                <w:lang w:eastAsia="zh-CN"/>
              </w:rPr>
              <w:t>委托</w:t>
            </w:r>
            <w:r>
              <w:rPr>
                <w:rFonts w:hint="default" w:ascii="Times New Roman" w:hAnsi="Times New Roman" w:eastAsia="宋体" w:cs="Times New Roman"/>
                <w:color w:val="auto"/>
                <w:sz w:val="24"/>
                <w:szCs w:val="24"/>
                <w:highlight w:val="none"/>
              </w:rPr>
              <w:t>有资质的单位进行处理。</w:t>
            </w:r>
          </w:p>
          <w:p w14:paraId="7759C9C9">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④机械处理：经拆卸、分类后作为材料回收的应过机械处理，用切割机将废钢、</w:t>
            </w:r>
            <w:r>
              <w:rPr>
                <w:rFonts w:hint="eastAsia" w:ascii="Times New Roman" w:hAnsi="Times New Roman" w:eastAsia="宋体" w:cs="Times New Roman"/>
                <w:color w:val="auto"/>
                <w:sz w:val="24"/>
                <w:szCs w:val="24"/>
                <w:highlight w:val="none"/>
                <w:lang w:eastAsia="zh-CN"/>
              </w:rPr>
              <w:t>车身</w:t>
            </w:r>
            <w:r>
              <w:rPr>
                <w:rFonts w:hint="default" w:ascii="Times New Roman" w:hAnsi="Times New Roman" w:eastAsia="宋体" w:cs="Times New Roman"/>
                <w:color w:val="auto"/>
                <w:sz w:val="24"/>
                <w:szCs w:val="24"/>
                <w:highlight w:val="none"/>
              </w:rPr>
              <w:t>等材料分别进行剪短、挤压打包、压扁等处理，直接外卖运输，不进一步破碎、冶炼。</w:t>
            </w:r>
          </w:p>
          <w:p w14:paraId="367F4677">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⑤拆卸下的油箱、水箱、油管等零部件，油料经收集后，不再进行进一步清洗等工作</w:t>
            </w:r>
            <w:r>
              <w:rPr>
                <w:rFonts w:hint="eastAsia" w:ascii="Times New Roman" w:hAnsi="Times New Roman" w:eastAsia="宋体" w:cs="Times New Roman"/>
                <w:color w:val="auto"/>
                <w:sz w:val="24"/>
                <w:szCs w:val="24"/>
                <w:highlight w:val="none"/>
                <w:lang w:eastAsia="zh-CN"/>
              </w:rPr>
              <w:t>。</w:t>
            </w:r>
          </w:p>
          <w:p w14:paraId="0C96022C">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⑥拆卸下的音响、空调、电缆电线不进行进一步拆解，直接</w:t>
            </w:r>
            <w:r>
              <w:rPr>
                <w:rFonts w:hint="eastAsia" w:ascii="Times New Roman" w:hAnsi="Times New Roman" w:eastAsia="宋体" w:cs="Times New Roman"/>
                <w:color w:val="auto"/>
                <w:sz w:val="24"/>
                <w:szCs w:val="24"/>
                <w:highlight w:val="none"/>
                <w:lang w:eastAsia="zh-CN"/>
              </w:rPr>
              <w:t>作为可用零部件</w:t>
            </w:r>
            <w:r>
              <w:rPr>
                <w:rFonts w:hint="default" w:ascii="Times New Roman" w:hAnsi="Times New Roman" w:eastAsia="宋体" w:cs="Times New Roman"/>
                <w:color w:val="auto"/>
                <w:sz w:val="24"/>
                <w:szCs w:val="24"/>
                <w:highlight w:val="none"/>
              </w:rPr>
              <w:t>外售。</w:t>
            </w:r>
          </w:p>
          <w:p w14:paraId="0CBCA6A0">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⑦拆下的蓄电池包不进行进一步拆分（如：</w:t>
            </w:r>
            <w:r>
              <w:rPr>
                <w:rFonts w:hint="eastAsia" w:ascii="Times New Roman" w:hAnsi="Times New Roman" w:eastAsia="宋体" w:cs="Times New Roman"/>
                <w:color w:val="auto"/>
                <w:sz w:val="24"/>
                <w:szCs w:val="24"/>
                <w:highlight w:val="none"/>
                <w:lang w:eastAsia="zh-CN"/>
              </w:rPr>
              <w:t>电解液</w:t>
            </w:r>
            <w:r>
              <w:rPr>
                <w:rFonts w:hint="default" w:ascii="Times New Roman" w:hAnsi="Times New Roman" w:eastAsia="宋体" w:cs="Times New Roman"/>
                <w:color w:val="auto"/>
                <w:sz w:val="24"/>
                <w:szCs w:val="24"/>
                <w:highlight w:val="none"/>
              </w:rPr>
              <w:t>抽取等工作），直接暂存委托资质单位处理。</w:t>
            </w:r>
          </w:p>
          <w:p w14:paraId="1610E64E">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⑧项目不进行破碎分选工序。</w:t>
            </w:r>
          </w:p>
          <w:p w14:paraId="382641E3">
            <w:pPr>
              <w:spacing w:line="360" w:lineRule="auto"/>
              <w:ind w:firstLine="482"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eastAsia="zh-CN"/>
              </w:rPr>
              <w:t>）废旧机动车拆解工艺流程简介</w:t>
            </w:r>
          </w:p>
          <w:p w14:paraId="234093A9">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eastAsia="zh-CN"/>
              </w:rPr>
              <w:t>废旧机动车拆解</w:t>
            </w:r>
            <w:r>
              <w:rPr>
                <w:rFonts w:hint="default" w:ascii="Times New Roman" w:hAnsi="Times New Roman" w:eastAsia="宋体" w:cs="Times New Roman"/>
                <w:color w:val="auto"/>
                <w:sz w:val="24"/>
                <w:szCs w:val="24"/>
                <w:highlight w:val="none"/>
              </w:rPr>
              <w:t>工艺流程详见图</w:t>
            </w:r>
            <w:r>
              <w:rPr>
                <w:rFonts w:hint="eastAsia" w:ascii="Times New Roman" w:hAnsi="Times New Roman" w:eastAsia="宋体" w:cs="Times New Roman"/>
                <w:color w:val="auto"/>
                <w:sz w:val="24"/>
                <w:szCs w:val="24"/>
                <w:highlight w:val="none"/>
                <w:lang w:val="en-US" w:eastAsia="zh-CN"/>
              </w:rPr>
              <w:t>2.3-1</w:t>
            </w:r>
            <w:r>
              <w:rPr>
                <w:rFonts w:hint="default" w:ascii="Times New Roman" w:hAnsi="Times New Roman" w:eastAsia="宋体" w:cs="Times New Roman"/>
                <w:color w:val="auto"/>
                <w:sz w:val="24"/>
                <w:szCs w:val="24"/>
                <w:highlight w:val="none"/>
              </w:rPr>
              <w:t>。</w:t>
            </w:r>
          </w:p>
          <w:p w14:paraId="0658F2D3">
            <w:pPr>
              <w:keepNext/>
              <w:keepLines w:val="0"/>
              <w:pageBreakBefore w:val="0"/>
              <w:widowControl w:val="0"/>
              <w:kinsoku/>
              <w:wordWrap/>
              <w:overflowPunct w:val="0"/>
              <w:topLinePunct w:val="0"/>
              <w:autoSpaceDE/>
              <w:autoSpaceDN/>
              <w:bidi w:val="0"/>
              <w:adjustRightInd/>
              <w:snapToGrid w:val="0"/>
              <w:spacing w:line="260" w:lineRule="auto"/>
              <w:ind w:left="431" w:hanging="431"/>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drawing>
                <wp:inline distT="0" distB="0" distL="114300" distR="114300">
                  <wp:extent cx="5091430" cy="8124825"/>
                  <wp:effectExtent l="0" t="0" r="0" b="0"/>
                  <wp:docPr id="14" name="图片 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wps"/>
                          <pic:cNvPicPr>
                            <a:picLocks noChangeAspect="1"/>
                          </pic:cNvPicPr>
                        </pic:nvPicPr>
                        <pic:blipFill>
                          <a:blip r:embed="rId11"/>
                          <a:stretch>
                            <a:fillRect/>
                          </a:stretch>
                        </pic:blipFill>
                        <pic:spPr>
                          <a:xfrm>
                            <a:off x="0" y="0"/>
                            <a:ext cx="5091430" cy="8124825"/>
                          </a:xfrm>
                          <a:prstGeom prst="rect">
                            <a:avLst/>
                          </a:prstGeom>
                          <a:noFill/>
                          <a:ln>
                            <a:noFill/>
                          </a:ln>
                        </pic:spPr>
                      </pic:pic>
                    </a:graphicData>
                  </a:graphic>
                </wp:inline>
              </w:drawing>
            </w:r>
          </w:p>
          <w:p w14:paraId="1B4D643A">
            <w:pPr>
              <w:spacing w:before="120" w:beforeLines="50"/>
              <w:jc w:val="center"/>
              <w:rPr>
                <w:rFonts w:hint="default" w:ascii="Times New Roman" w:hAnsi="Times New Roman" w:eastAsia="黑体" w:cs="Times New Roman"/>
                <w:color w:val="auto"/>
                <w:sz w:val="24"/>
                <w:szCs w:val="24"/>
                <w:highlight w:val="none"/>
              </w:rPr>
            </w:pPr>
            <w:r>
              <w:rPr>
                <w:rFonts w:hint="eastAsia" w:ascii="Times New Roman" w:hAnsi="Times New Roman" w:eastAsia="黑体" w:cs="Times New Roman"/>
                <w:color w:val="auto"/>
                <w:sz w:val="24"/>
                <w:szCs w:val="24"/>
                <w:highlight w:val="none"/>
                <w:lang w:val="en-US" w:eastAsia="zh-CN"/>
              </w:rPr>
              <w:t>图2.3-1 废旧机动车拆解工艺流程</w:t>
            </w:r>
          </w:p>
          <w:p w14:paraId="01777E27">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废旧机动车拆解</w:t>
            </w:r>
            <w:r>
              <w:rPr>
                <w:rFonts w:hint="default" w:ascii="Times New Roman" w:hAnsi="Times New Roman" w:eastAsia="宋体" w:cs="Times New Roman"/>
                <w:b/>
                <w:bCs/>
                <w:color w:val="auto"/>
                <w:sz w:val="24"/>
                <w:szCs w:val="24"/>
                <w:highlight w:val="none"/>
                <w:lang w:val="en-US" w:eastAsia="zh-CN"/>
              </w:rPr>
              <w:t>主要工艺介绍</w:t>
            </w:r>
            <w:r>
              <w:rPr>
                <w:rFonts w:hint="eastAsia" w:ascii="Times New Roman" w:hAnsi="Times New Roman" w:eastAsia="宋体" w:cs="Times New Roman"/>
                <w:b/>
                <w:bCs/>
                <w:color w:val="auto"/>
                <w:sz w:val="24"/>
                <w:szCs w:val="24"/>
                <w:highlight w:val="none"/>
                <w:lang w:val="en-US" w:eastAsia="zh-CN"/>
              </w:rPr>
              <w:t>：</w:t>
            </w:r>
          </w:p>
          <w:p w14:paraId="7B02009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本项目生产工艺流程严格按照《报废机动车回收管理办法》(中华人民共和国国务院令第715号)、《报废机动车回收管理办法实施细则》(商务部令2020年第2号)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《报废机动车回收拆解企业技术规范》(GB22128-2019)</w:t>
            </w:r>
            <w:r>
              <w:rPr>
                <w:rFonts w:hint="eastAsia" w:ascii="Times New Roman" w:hAnsi="Times New Roman" w:eastAsia="宋体" w:cs="Times New Roman"/>
                <w:color w:val="auto"/>
                <w:sz w:val="24"/>
                <w:szCs w:val="24"/>
                <w:highlight w:val="none"/>
                <w:lang w:val="en-US" w:eastAsia="zh-CN"/>
              </w:rPr>
              <w:t>以及</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报废机动车拆解企业污染控制技术规范</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HJ348-2022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等文件</w:t>
            </w:r>
            <w:r>
              <w:rPr>
                <w:rFonts w:hint="default" w:ascii="Times New Roman" w:hAnsi="Times New Roman" w:eastAsia="宋体" w:cs="Times New Roman"/>
                <w:color w:val="auto"/>
                <w:sz w:val="24"/>
                <w:szCs w:val="24"/>
                <w:highlight w:val="none"/>
                <w:lang w:val="en-US" w:eastAsia="zh-CN"/>
              </w:rPr>
              <w:t>中有关规定，进行报废机动车入厂核验登记、存储、预处理、拆解及拆解物料的贮存、处理。</w:t>
            </w:r>
          </w:p>
          <w:p w14:paraId="4CA03C9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①核验和登记</w:t>
            </w:r>
          </w:p>
          <w:p w14:paraId="266A0B8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对入厂报废</w:t>
            </w:r>
            <w:r>
              <w:rPr>
                <w:rFonts w:hint="eastAsia" w:ascii="Times New Roman" w:hAnsi="Times New Roman" w:eastAsia="宋体" w:cs="Times New Roman"/>
                <w:color w:val="auto"/>
                <w:sz w:val="24"/>
                <w:szCs w:val="24"/>
                <w:highlight w:val="none"/>
                <w:lang w:val="en-US" w:eastAsia="zh-CN"/>
              </w:rPr>
              <w:t>机动</w:t>
            </w:r>
            <w:r>
              <w:rPr>
                <w:rFonts w:hint="default" w:ascii="Times New Roman" w:hAnsi="Times New Roman" w:eastAsia="宋体" w:cs="Times New Roman"/>
                <w:color w:val="auto"/>
                <w:sz w:val="24"/>
                <w:szCs w:val="24"/>
                <w:highlight w:val="none"/>
                <w:lang w:val="en-US" w:eastAsia="zh-CN"/>
              </w:rPr>
              <w:t>车核验所有人有效身份证件，逐车登记机动车型号、号牌号码、车辆识别代号、发动机号等信息，并收回机动车登记证书原件、机动车行驶证原件、机动车号牌。同时核对报废机动车的车辆型号、号牌号码、车辆识别代号、发动机号等实车信息是否与机动车登记证书、机动车行驶证记载的信息一致。</w:t>
            </w:r>
          </w:p>
          <w:p w14:paraId="0E53E87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lang w:val="en-US" w:eastAsia="zh-CN"/>
              </w:rPr>
              <w:t>通过</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全国汽车流通信息管理应用服务</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系统录入机动车信息，打印《报废机动车回收证明》，上传机动车拆解前照片，机动车拆解后，上传拆解后照片。大型客货车及校车应当在公安机关监督下完成机动车拆解后，打印《报废机动车回收证明》。</w:t>
            </w:r>
          </w:p>
          <w:p w14:paraId="3F8FEED0">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及时向公安机关交通管理部门申请机动车注销登记，将注销证明及《报废机动车回收证明》交给机动车所有人。</w:t>
            </w:r>
          </w:p>
          <w:p w14:paraId="68FE9C6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val="en-US" w:eastAsia="zh-CN"/>
              </w:rPr>
              <w:t>对具备出具《报废机动车回收证明</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车辆过磅入厂，并检查报废机动车发动机、散热器、变速器、差速器、油箱等总成部件的密封、破损情况。对于出现有油液渗漏的车辆，采用适当的方式收集泄漏的液体或封住泄漏处，并用</w:t>
            </w:r>
            <w:r>
              <w:rPr>
                <w:rFonts w:hint="eastAsia" w:ascii="Times New Roman" w:hAnsi="Times New Roman" w:eastAsia="宋体" w:cs="Times New Roman"/>
                <w:color w:val="auto"/>
                <w:sz w:val="24"/>
                <w:szCs w:val="24"/>
                <w:highlight w:val="none"/>
                <w:lang w:val="en-US" w:eastAsia="zh-CN"/>
              </w:rPr>
              <w:t>抹布等</w:t>
            </w:r>
            <w:r>
              <w:rPr>
                <w:rFonts w:hint="default" w:ascii="Times New Roman" w:hAnsi="Times New Roman" w:eastAsia="宋体" w:cs="Times New Roman"/>
                <w:color w:val="auto"/>
                <w:sz w:val="24"/>
                <w:szCs w:val="24"/>
                <w:highlight w:val="none"/>
                <w:lang w:val="en-US" w:eastAsia="zh-CN"/>
              </w:rPr>
              <w:t>对</w:t>
            </w:r>
            <w:r>
              <w:rPr>
                <w:rFonts w:hint="eastAsia" w:ascii="Times New Roman" w:hAnsi="Times New Roman" w:eastAsia="宋体" w:cs="Times New Roman"/>
                <w:color w:val="auto"/>
                <w:sz w:val="24"/>
                <w:szCs w:val="24"/>
                <w:highlight w:val="none"/>
                <w:lang w:val="en-US" w:eastAsia="zh-CN"/>
              </w:rPr>
              <w:t>泄漏</w:t>
            </w:r>
            <w:r>
              <w:rPr>
                <w:rFonts w:hint="default" w:ascii="Times New Roman" w:hAnsi="Times New Roman" w:eastAsia="宋体" w:cs="Times New Roman"/>
                <w:color w:val="auto"/>
                <w:sz w:val="24"/>
                <w:szCs w:val="24"/>
                <w:highlight w:val="none"/>
                <w:lang w:val="en-US" w:eastAsia="zh-CN"/>
              </w:rPr>
              <w:t>的废油液进行吸附，并对该车辆进行预处理后转运至报废车辆存放区存放。</w:t>
            </w:r>
            <w:r>
              <w:rPr>
                <w:rFonts w:hint="eastAsia" w:ascii="Times New Roman" w:hAnsi="Times New Roman" w:eastAsia="宋体" w:cs="Times New Roman"/>
                <w:color w:val="auto"/>
                <w:sz w:val="24"/>
                <w:szCs w:val="24"/>
                <w:highlight w:val="none"/>
                <w:lang w:val="en-US" w:eastAsia="zh-CN"/>
              </w:rPr>
              <w:t>含油废吸附材料作为危险废物定期委托资质单位清运处置。</w:t>
            </w:r>
          </w:p>
          <w:p w14:paraId="783192F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②报废机动车存储</w:t>
            </w:r>
          </w:p>
          <w:p w14:paraId="2865B9F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项目报废机动车辆存放方式按规范进行，具体要求为：</w:t>
            </w:r>
          </w:p>
          <w:p w14:paraId="37B6DB0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机动车辆存放应避免侧放、倒放；</w:t>
            </w:r>
          </w:p>
          <w:p w14:paraId="6205A9D0">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lang w:val="en-US" w:eastAsia="zh-CN"/>
              </w:rPr>
              <w:t>如需要叠放，应使上下车辆的重心尽量重合，且叠放不超过3层。叠放时高度不超过4.5m；对大型车辆应单层平置。</w:t>
            </w:r>
          </w:p>
          <w:p w14:paraId="692FB1E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为保证安全，本项目存放车辆均采取单层堆放。</w:t>
            </w:r>
          </w:p>
          <w:p w14:paraId="15D6766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③报废机动车预处理</w:t>
            </w:r>
          </w:p>
          <w:p w14:paraId="48E554CE">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报废机动车预处理工作在拆解车间预处理平台固定工位进行，按照规范要求具体处理步骤如下：</w:t>
            </w:r>
          </w:p>
          <w:p w14:paraId="56199794">
            <w:pPr>
              <w:numPr>
                <w:ilvl w:val="0"/>
                <w:numId w:val="0"/>
              </w:num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拆除蓄电池</w:t>
            </w:r>
            <w:r>
              <w:rPr>
                <w:rFonts w:hint="eastAsia" w:ascii="Times New Roman" w:hAnsi="Times New Roman" w:eastAsia="宋体" w:cs="Times New Roman"/>
                <w:color w:val="auto"/>
                <w:sz w:val="24"/>
                <w:szCs w:val="24"/>
                <w:highlight w:val="none"/>
                <w:lang w:val="en-US" w:eastAsia="zh-CN"/>
              </w:rPr>
              <w:t>，不对蓄电池进一步拆解，拆解废铅酸蓄电池采用专用容器收集后暂存于危废暂存间中分区暂存，</w:t>
            </w:r>
            <w:r>
              <w:rPr>
                <w:rFonts w:hint="default" w:ascii="Times New Roman" w:hAnsi="Times New Roman" w:eastAsia="宋体" w:cs="Times New Roman"/>
                <w:color w:val="auto"/>
                <w:sz w:val="24"/>
                <w:szCs w:val="24"/>
                <w:highlight w:val="none"/>
                <w:lang w:val="en-US" w:eastAsia="zh-CN"/>
              </w:rPr>
              <w:t>定期委托资质单位处理</w:t>
            </w:r>
            <w:r>
              <w:rPr>
                <w:rFonts w:hint="eastAsia" w:ascii="Times New Roman" w:hAnsi="Times New Roman" w:eastAsia="宋体" w:cs="Times New Roman"/>
                <w:color w:val="auto"/>
                <w:sz w:val="24"/>
                <w:szCs w:val="24"/>
                <w:highlight w:val="none"/>
                <w:lang w:val="en-US" w:eastAsia="zh-CN"/>
              </w:rPr>
              <w:t>；</w:t>
            </w:r>
          </w:p>
          <w:p w14:paraId="41BFF7E8">
            <w:pPr>
              <w:numPr>
                <w:ilvl w:val="0"/>
                <w:numId w:val="0"/>
              </w:numPr>
              <w:spacing w:line="360" w:lineRule="auto"/>
              <w:ind w:firstLine="720" w:firstLineChars="3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u w:val="single"/>
                <w:lang w:val="en-US" w:eastAsia="zh-CN"/>
              </w:rPr>
              <w:t>其中新能源汽车动力蓄电池电池拆卸要求：</w:t>
            </w:r>
            <w:r>
              <w:rPr>
                <w:rFonts w:hint="eastAsia" w:ascii="Times New Roman" w:hAnsi="Times New Roman" w:eastAsia="宋体" w:cs="Times New Roman"/>
                <w:color w:val="auto"/>
                <w:sz w:val="24"/>
                <w:szCs w:val="24"/>
                <w:highlight w:val="none"/>
                <w:lang w:val="en-US" w:eastAsia="zh-CN"/>
              </w:rPr>
              <w:t>在对新能源电动车拆解时，动力蓄电池拆解在独立动力蓄电池拆解车间内，检查车身有无漏液、有无带电，对出现动力蓄电池破损、电极头和线束裸露等存在漏电风险的，采取绝缘处理，破损动力蓄电池进行堵漏并用密闭容器装存；检查动力电池布局和安装位置，确认诊断接口是否完好；对动力电池电压、温度等参数进行检测，评估其安全状态；断开动力电池高压回路；拆卸动力电池阻挡部件，断开电压线束（电缆），拆下不同安装位置的动力电池包，动力蓄电池包不进行进一步拆分工作，采用专用容器收集后暂存于动力蓄电池暂存间内，定期交由回收网点储存，废电线电缆运至仓库区分区暂存待售至合规公司。</w:t>
            </w:r>
          </w:p>
          <w:p w14:paraId="18271E08">
            <w:pPr>
              <w:numPr>
                <w:ilvl w:val="0"/>
                <w:numId w:val="0"/>
              </w:numPr>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lang w:val="en-US" w:eastAsia="zh-CN"/>
              </w:rPr>
              <w:t>使用</w:t>
            </w:r>
            <w:r>
              <w:rPr>
                <w:rFonts w:hint="eastAsia" w:ascii="Times New Roman" w:hAnsi="Times New Roman" w:eastAsia="宋体" w:cs="Times New Roman"/>
                <w:color w:val="auto"/>
                <w:sz w:val="24"/>
                <w:szCs w:val="24"/>
                <w:highlight w:val="none"/>
                <w:lang w:val="en-US" w:eastAsia="zh-CN"/>
              </w:rPr>
              <w:t>专门</w:t>
            </w:r>
            <w:r>
              <w:rPr>
                <w:rFonts w:hint="default" w:ascii="Times New Roman" w:hAnsi="Times New Roman" w:eastAsia="宋体" w:cs="Times New Roman"/>
                <w:color w:val="auto"/>
                <w:sz w:val="24"/>
                <w:szCs w:val="24"/>
                <w:highlight w:val="none"/>
                <w:lang w:val="en-US" w:eastAsia="zh-CN"/>
              </w:rPr>
              <w:t>抽排油液装置将车内废油液(包括润滑油、制动油、转向油、液压油</w:t>
            </w:r>
            <w:r>
              <w:rPr>
                <w:rFonts w:hint="eastAsia" w:ascii="Times New Roman" w:hAnsi="Times New Roman" w:eastAsia="宋体" w:cs="Times New Roman"/>
                <w:color w:val="auto"/>
                <w:sz w:val="24"/>
                <w:szCs w:val="24"/>
                <w:highlight w:val="none"/>
                <w:lang w:val="en-US" w:eastAsia="zh-CN"/>
              </w:rPr>
              <w:t>、废冷却油等）进行抽空，分类收集于专用容器内，</w:t>
            </w:r>
            <w:r>
              <w:rPr>
                <w:rFonts w:hint="default" w:ascii="Times New Roman" w:hAnsi="Times New Roman" w:eastAsia="宋体" w:cs="Times New Roman"/>
                <w:color w:val="auto"/>
                <w:sz w:val="24"/>
                <w:szCs w:val="24"/>
                <w:highlight w:val="none"/>
                <w:lang w:val="en-US" w:eastAsia="zh-CN"/>
              </w:rPr>
              <w:t>加盖密闭后转运</w:t>
            </w:r>
            <w:r>
              <w:rPr>
                <w:rFonts w:hint="eastAsia" w:ascii="Times New Roman" w:hAnsi="Times New Roman" w:eastAsia="宋体" w:cs="Times New Roman"/>
                <w:color w:val="auto"/>
                <w:sz w:val="24"/>
                <w:szCs w:val="24"/>
                <w:highlight w:val="none"/>
                <w:lang w:val="en-US" w:eastAsia="zh-CN"/>
              </w:rPr>
              <w:t>至危废</w:t>
            </w:r>
            <w:r>
              <w:rPr>
                <w:rFonts w:hint="default" w:ascii="Times New Roman" w:hAnsi="Times New Roman" w:eastAsia="宋体" w:cs="Times New Roman"/>
                <w:color w:val="auto"/>
                <w:sz w:val="24"/>
                <w:szCs w:val="24"/>
                <w:highlight w:val="none"/>
                <w:lang w:val="en-US" w:eastAsia="zh-CN"/>
              </w:rPr>
              <w:t>暂存间</w:t>
            </w:r>
            <w:r>
              <w:rPr>
                <w:rFonts w:hint="eastAsia" w:ascii="Times New Roman" w:hAnsi="Times New Roman" w:eastAsia="宋体" w:cs="Times New Roman"/>
                <w:color w:val="auto"/>
                <w:sz w:val="24"/>
                <w:szCs w:val="24"/>
                <w:highlight w:val="none"/>
                <w:lang w:val="en-US" w:eastAsia="zh-CN"/>
              </w:rPr>
              <w:t>内分区</w:t>
            </w:r>
            <w:r>
              <w:rPr>
                <w:rFonts w:hint="default" w:ascii="Times New Roman" w:hAnsi="Times New Roman" w:eastAsia="宋体" w:cs="Times New Roman"/>
                <w:color w:val="auto"/>
                <w:sz w:val="24"/>
                <w:szCs w:val="24"/>
                <w:highlight w:val="none"/>
                <w:lang w:val="en-US" w:eastAsia="zh-CN"/>
              </w:rPr>
              <w:t>暂存；使用</w:t>
            </w:r>
            <w:r>
              <w:rPr>
                <w:rFonts w:hint="eastAsia" w:ascii="Times New Roman" w:hAnsi="Times New Roman" w:eastAsia="宋体" w:cs="Times New Roman"/>
                <w:color w:val="auto"/>
                <w:sz w:val="24"/>
                <w:szCs w:val="24"/>
                <w:highlight w:val="none"/>
                <w:lang w:val="en-US" w:eastAsia="zh-CN"/>
              </w:rPr>
              <w:t>专用制冷剂回收机</w:t>
            </w:r>
            <w:r>
              <w:rPr>
                <w:rFonts w:hint="default" w:ascii="Times New Roman" w:hAnsi="Times New Roman" w:eastAsia="宋体" w:cs="Times New Roman"/>
                <w:color w:val="auto"/>
                <w:sz w:val="24"/>
                <w:szCs w:val="24"/>
                <w:highlight w:val="none"/>
                <w:lang w:val="en-US" w:eastAsia="zh-CN"/>
              </w:rPr>
              <w:t>回收汽车空调制冷剂，并采用专用的密闭回收罐</w:t>
            </w:r>
            <w:r>
              <w:rPr>
                <w:rFonts w:hint="eastAsia" w:ascii="Times New Roman" w:hAnsi="Times New Roman" w:eastAsia="宋体" w:cs="Times New Roman"/>
                <w:color w:val="auto"/>
                <w:sz w:val="24"/>
                <w:szCs w:val="24"/>
                <w:highlight w:val="none"/>
                <w:lang w:val="en-US" w:eastAsia="zh-CN"/>
              </w:rPr>
              <w:t>根据制冷剂的不同类型</w:t>
            </w:r>
            <w:r>
              <w:rPr>
                <w:rFonts w:hint="default" w:ascii="Times New Roman" w:hAnsi="Times New Roman" w:eastAsia="宋体" w:cs="Times New Roman"/>
                <w:color w:val="auto"/>
                <w:sz w:val="24"/>
                <w:szCs w:val="24"/>
                <w:highlight w:val="none"/>
                <w:lang w:val="en-US" w:eastAsia="zh-CN"/>
              </w:rPr>
              <w:t>进行分类收集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转运至</w:t>
            </w:r>
            <w:r>
              <w:rPr>
                <w:rFonts w:hint="eastAsia" w:ascii="Times New Roman" w:hAnsi="Times New Roman" w:eastAsia="宋体" w:cs="Times New Roman"/>
                <w:color w:val="auto"/>
                <w:sz w:val="24"/>
                <w:szCs w:val="24"/>
                <w:highlight w:val="none"/>
                <w:lang w:val="en-US" w:eastAsia="zh-CN"/>
              </w:rPr>
              <w:t>危废</w:t>
            </w:r>
            <w:r>
              <w:rPr>
                <w:rFonts w:hint="default" w:ascii="Times New Roman" w:hAnsi="Times New Roman" w:eastAsia="宋体" w:cs="Times New Roman"/>
                <w:color w:val="auto"/>
                <w:sz w:val="24"/>
                <w:szCs w:val="24"/>
                <w:highlight w:val="none"/>
                <w:lang w:val="en-US" w:eastAsia="zh-CN"/>
              </w:rPr>
              <w:t>暂存间</w:t>
            </w:r>
            <w:r>
              <w:rPr>
                <w:rFonts w:hint="eastAsia" w:ascii="Times New Roman" w:hAnsi="Times New Roman" w:eastAsia="宋体" w:cs="Times New Roman"/>
                <w:color w:val="auto"/>
                <w:sz w:val="24"/>
                <w:szCs w:val="24"/>
                <w:highlight w:val="none"/>
                <w:lang w:val="en-US" w:eastAsia="zh-CN"/>
              </w:rPr>
              <w:t>分区</w:t>
            </w:r>
            <w:r>
              <w:rPr>
                <w:rFonts w:hint="default" w:ascii="Times New Roman" w:hAnsi="Times New Roman" w:eastAsia="宋体" w:cs="Times New Roman"/>
                <w:color w:val="auto"/>
                <w:sz w:val="24"/>
                <w:szCs w:val="24"/>
                <w:highlight w:val="none"/>
                <w:lang w:val="en-US" w:eastAsia="zh-CN"/>
              </w:rPr>
              <w:t>暂存。</w:t>
            </w:r>
            <w:r>
              <w:rPr>
                <w:rFonts w:hint="eastAsia" w:ascii="Times New Roman" w:hAnsi="Times New Roman" w:eastAsia="宋体" w:cs="Times New Roman"/>
                <w:color w:val="auto"/>
                <w:sz w:val="24"/>
                <w:szCs w:val="24"/>
                <w:highlight w:val="none"/>
                <w:u w:val="none"/>
                <w:lang w:val="en-US" w:eastAsia="zh-CN"/>
              </w:rPr>
              <w:t>对于新能源汽车应采用防静电设备进行废液排空回收。</w:t>
            </w:r>
          </w:p>
          <w:p w14:paraId="06FFD261">
            <w:pPr>
              <w:numPr>
                <w:ilvl w:val="0"/>
                <w:numId w:val="0"/>
              </w:numPr>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利用举升机及燃油排放凿孔系统钻孔抽排报废</w:t>
            </w:r>
            <w:r>
              <w:rPr>
                <w:rFonts w:hint="eastAsia" w:ascii="Times New Roman" w:hAnsi="Times New Roman" w:eastAsia="宋体" w:cs="Times New Roman"/>
                <w:color w:val="auto"/>
                <w:sz w:val="24"/>
                <w:szCs w:val="24"/>
                <w:highlight w:val="none"/>
                <w:lang w:val="en-US" w:eastAsia="zh-CN"/>
              </w:rPr>
              <w:t>机动车</w:t>
            </w:r>
            <w:r>
              <w:rPr>
                <w:rFonts w:hint="default" w:ascii="Times New Roman" w:hAnsi="Times New Roman" w:eastAsia="宋体" w:cs="Times New Roman"/>
                <w:color w:val="auto"/>
                <w:sz w:val="24"/>
                <w:szCs w:val="24"/>
                <w:highlight w:val="none"/>
                <w:lang w:val="en-US" w:eastAsia="zh-CN"/>
              </w:rPr>
              <w:t>燃油箱内残存汽油、柴油，采用</w:t>
            </w:r>
            <w:r>
              <w:rPr>
                <w:rFonts w:hint="eastAsia" w:ascii="Times New Roman" w:hAnsi="Times New Roman" w:eastAsia="宋体" w:cs="Times New Roman"/>
                <w:color w:val="auto"/>
                <w:sz w:val="24"/>
                <w:szCs w:val="24"/>
                <w:highlight w:val="none"/>
                <w:lang w:val="en-US" w:eastAsia="zh-CN"/>
              </w:rPr>
              <w:t>专用</w:t>
            </w:r>
            <w:r>
              <w:rPr>
                <w:rFonts w:hint="default" w:ascii="Times New Roman" w:hAnsi="Times New Roman" w:eastAsia="宋体" w:cs="Times New Roman"/>
                <w:color w:val="auto"/>
                <w:sz w:val="24"/>
                <w:szCs w:val="24"/>
                <w:highlight w:val="none"/>
                <w:lang w:val="en-US" w:eastAsia="zh-CN"/>
              </w:rPr>
              <w:t>容器进行分类收集，加盖密闭后转运至</w:t>
            </w:r>
            <w:r>
              <w:rPr>
                <w:rFonts w:hint="eastAsia" w:ascii="Times New Roman" w:hAnsi="Times New Roman" w:eastAsia="宋体" w:cs="Times New Roman"/>
                <w:color w:val="auto"/>
                <w:sz w:val="24"/>
                <w:szCs w:val="24"/>
                <w:highlight w:val="none"/>
                <w:lang w:val="en-US" w:eastAsia="zh-CN"/>
              </w:rPr>
              <w:t>危废</w:t>
            </w:r>
            <w:r>
              <w:rPr>
                <w:rFonts w:hint="default" w:ascii="Times New Roman" w:hAnsi="Times New Roman" w:eastAsia="宋体" w:cs="Times New Roman"/>
                <w:color w:val="auto"/>
                <w:sz w:val="24"/>
                <w:szCs w:val="24"/>
                <w:highlight w:val="none"/>
                <w:lang w:val="en-US" w:eastAsia="zh-CN"/>
              </w:rPr>
              <w:t>暂存间</w:t>
            </w:r>
            <w:r>
              <w:rPr>
                <w:rFonts w:hint="eastAsia" w:ascii="Times New Roman" w:hAnsi="Times New Roman" w:eastAsia="宋体" w:cs="Times New Roman"/>
                <w:color w:val="auto"/>
                <w:sz w:val="24"/>
                <w:szCs w:val="24"/>
                <w:highlight w:val="none"/>
                <w:lang w:val="en-US" w:eastAsia="zh-CN"/>
              </w:rPr>
              <w:t>分区</w:t>
            </w:r>
            <w:r>
              <w:rPr>
                <w:rFonts w:hint="default" w:ascii="Times New Roman" w:hAnsi="Times New Roman" w:eastAsia="宋体" w:cs="Times New Roman"/>
                <w:color w:val="auto"/>
                <w:sz w:val="24"/>
                <w:szCs w:val="24"/>
                <w:highlight w:val="none"/>
                <w:lang w:val="en-US" w:eastAsia="zh-CN"/>
              </w:rPr>
              <w:t>暂存。拆卸发动机、油箱连接的油管及紧固件，进而拆除油箱；拆除机油滤清器转运至</w:t>
            </w:r>
            <w:r>
              <w:rPr>
                <w:rFonts w:hint="eastAsia" w:ascii="Times New Roman" w:hAnsi="Times New Roman" w:eastAsia="宋体" w:cs="Times New Roman"/>
                <w:color w:val="auto"/>
                <w:sz w:val="24"/>
                <w:szCs w:val="24"/>
                <w:highlight w:val="none"/>
                <w:lang w:val="en-US" w:eastAsia="zh-CN"/>
              </w:rPr>
              <w:t>危废暂存间内分区暂存</w:t>
            </w:r>
            <w:r>
              <w:rPr>
                <w:rFonts w:hint="default" w:ascii="Times New Roman" w:hAnsi="Times New Roman" w:eastAsia="宋体" w:cs="Times New Roman"/>
                <w:color w:val="auto"/>
                <w:sz w:val="24"/>
                <w:szCs w:val="24"/>
                <w:highlight w:val="none"/>
                <w:lang w:val="en-US" w:eastAsia="zh-CN"/>
              </w:rPr>
              <w:t>；拆除燃料罐</w:t>
            </w:r>
            <w:r>
              <w:rPr>
                <w:rFonts w:hint="eastAsia" w:ascii="Times New Roman" w:hAnsi="Times New Roman" w:eastAsia="宋体" w:cs="Times New Roman"/>
                <w:color w:val="auto"/>
                <w:sz w:val="24"/>
                <w:szCs w:val="24"/>
                <w:highlight w:val="none"/>
                <w:lang w:val="en-US" w:eastAsia="zh-CN"/>
              </w:rPr>
              <w:t>，整体检查阀门关闭正常后</w:t>
            </w:r>
            <w:r>
              <w:rPr>
                <w:rFonts w:hint="default" w:ascii="Times New Roman" w:hAnsi="Times New Roman" w:eastAsia="宋体" w:cs="Times New Roman"/>
                <w:color w:val="auto"/>
                <w:sz w:val="24"/>
                <w:szCs w:val="24"/>
                <w:highlight w:val="none"/>
                <w:lang w:val="en-US" w:eastAsia="zh-CN"/>
              </w:rPr>
              <w:t>转运至危废间</w:t>
            </w:r>
            <w:r>
              <w:rPr>
                <w:rFonts w:hint="eastAsia" w:ascii="Times New Roman" w:hAnsi="Times New Roman" w:eastAsia="宋体" w:cs="Times New Roman"/>
                <w:color w:val="auto"/>
                <w:sz w:val="24"/>
                <w:szCs w:val="24"/>
                <w:highlight w:val="none"/>
                <w:lang w:val="en-US" w:eastAsia="zh-CN"/>
              </w:rPr>
              <w:t>分区</w:t>
            </w:r>
            <w:r>
              <w:rPr>
                <w:rFonts w:hint="default" w:ascii="Times New Roman" w:hAnsi="Times New Roman" w:eastAsia="宋体" w:cs="Times New Roman"/>
                <w:color w:val="auto"/>
                <w:sz w:val="24"/>
                <w:szCs w:val="24"/>
                <w:highlight w:val="none"/>
                <w:lang w:val="en-US" w:eastAsia="zh-CN"/>
              </w:rPr>
              <w:t>暂存，利用手持液压剪拆下尾气催化系统</w:t>
            </w:r>
            <w:r>
              <w:rPr>
                <w:rFonts w:hint="eastAsia" w:ascii="Times New Roman" w:hAnsi="Times New Roman" w:eastAsia="宋体" w:cs="Times New Roman"/>
                <w:color w:val="auto"/>
                <w:sz w:val="24"/>
                <w:szCs w:val="24"/>
                <w:highlight w:val="none"/>
                <w:lang w:val="en-US" w:eastAsia="zh-CN"/>
              </w:rPr>
              <w:t>（尾气净化装置及催化剂）</w:t>
            </w:r>
            <w:r>
              <w:rPr>
                <w:rFonts w:hint="default" w:ascii="Times New Roman" w:hAnsi="Times New Roman" w:eastAsia="宋体" w:cs="Times New Roman"/>
                <w:color w:val="auto"/>
                <w:sz w:val="24"/>
                <w:szCs w:val="24"/>
                <w:highlight w:val="none"/>
                <w:lang w:val="en-US" w:eastAsia="zh-CN"/>
              </w:rPr>
              <w:t>收集包装后转运至危废间</w:t>
            </w:r>
            <w:r>
              <w:rPr>
                <w:rFonts w:hint="eastAsia" w:ascii="Times New Roman" w:hAnsi="Times New Roman" w:eastAsia="宋体" w:cs="Times New Roman"/>
                <w:color w:val="auto"/>
                <w:sz w:val="24"/>
                <w:szCs w:val="24"/>
                <w:highlight w:val="none"/>
                <w:lang w:val="en-US" w:eastAsia="zh-CN"/>
              </w:rPr>
              <w:t>分区</w:t>
            </w:r>
            <w:r>
              <w:rPr>
                <w:rFonts w:hint="default" w:ascii="Times New Roman" w:hAnsi="Times New Roman" w:eastAsia="宋体" w:cs="Times New Roman"/>
                <w:color w:val="auto"/>
                <w:sz w:val="24"/>
                <w:szCs w:val="24"/>
                <w:highlight w:val="none"/>
                <w:lang w:val="en-US" w:eastAsia="zh-CN"/>
              </w:rPr>
              <w:t>暂存。</w:t>
            </w:r>
          </w:p>
          <w:p w14:paraId="53534C5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val="en-US" w:eastAsia="zh-CN"/>
              </w:rPr>
              <w:t>拆除废电容器及安全气囊组件，拆除后的安全气囊采用安全气囊引爆装置进行引爆</w:t>
            </w:r>
            <w:r>
              <w:rPr>
                <w:rFonts w:hint="eastAsia" w:ascii="Times New Roman" w:hAnsi="Times New Roman" w:eastAsia="宋体" w:cs="Times New Roman"/>
                <w:color w:val="auto"/>
                <w:sz w:val="24"/>
                <w:szCs w:val="24"/>
                <w:highlight w:val="none"/>
                <w:lang w:val="en-US" w:eastAsia="zh-CN"/>
              </w:rPr>
              <w:t>后转移至一般固废暂存间内分区暂存</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安全气囊引爆采用密闭引爆装置仅开启时有小量粉尘逸散；</w:t>
            </w:r>
            <w:r>
              <w:rPr>
                <w:rFonts w:hint="default" w:ascii="Times New Roman" w:hAnsi="Times New Roman" w:eastAsia="宋体" w:cs="Times New Roman"/>
                <w:color w:val="auto"/>
                <w:sz w:val="24"/>
                <w:szCs w:val="24"/>
                <w:highlight w:val="none"/>
                <w:lang w:val="en-US" w:eastAsia="zh-CN"/>
              </w:rPr>
              <w:t>废电容</w:t>
            </w:r>
            <w:r>
              <w:rPr>
                <w:rFonts w:hint="eastAsia" w:ascii="Times New Roman" w:hAnsi="Times New Roman" w:eastAsia="宋体" w:cs="Times New Roman"/>
                <w:color w:val="auto"/>
                <w:sz w:val="24"/>
                <w:szCs w:val="24"/>
                <w:highlight w:val="none"/>
                <w:lang w:val="en-US" w:eastAsia="zh-CN"/>
              </w:rPr>
              <w:t>器</w:t>
            </w:r>
            <w:r>
              <w:rPr>
                <w:rFonts w:hint="default" w:ascii="Times New Roman" w:hAnsi="Times New Roman" w:eastAsia="宋体" w:cs="Times New Roman"/>
                <w:color w:val="auto"/>
                <w:sz w:val="24"/>
                <w:szCs w:val="24"/>
                <w:highlight w:val="none"/>
                <w:lang w:val="en-US" w:eastAsia="zh-CN"/>
              </w:rPr>
              <w:t>收集包装后运至危废间分区存放。</w:t>
            </w:r>
          </w:p>
          <w:p w14:paraId="19C35A6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④报废机动车拆解</w:t>
            </w:r>
          </w:p>
          <w:p w14:paraId="114516D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机动车</w:t>
            </w:r>
            <w:r>
              <w:rPr>
                <w:rFonts w:hint="default" w:ascii="Times New Roman" w:hAnsi="Times New Roman" w:eastAsia="宋体" w:cs="Times New Roman"/>
                <w:color w:val="auto"/>
                <w:sz w:val="24"/>
                <w:szCs w:val="24"/>
                <w:highlight w:val="none"/>
                <w:lang w:val="en-US" w:eastAsia="zh-CN"/>
              </w:rPr>
              <w:t>拆解工序主要进行拆解回收废钢铁、废有色金属、废塑料、废橡胶、废玻璃、废</w:t>
            </w:r>
            <w:r>
              <w:rPr>
                <w:rFonts w:hint="eastAsia" w:ascii="Times New Roman" w:hAnsi="Times New Roman" w:eastAsia="宋体" w:cs="Times New Roman"/>
                <w:color w:val="auto"/>
                <w:sz w:val="24"/>
                <w:szCs w:val="24"/>
                <w:highlight w:val="none"/>
                <w:lang w:val="en-US" w:eastAsia="zh-CN"/>
              </w:rPr>
              <w:t>电线电缆</w:t>
            </w:r>
            <w:r>
              <w:rPr>
                <w:rFonts w:hint="default" w:ascii="Times New Roman" w:hAnsi="Times New Roman" w:eastAsia="宋体" w:cs="Times New Roman"/>
                <w:color w:val="auto"/>
                <w:sz w:val="24"/>
                <w:szCs w:val="24"/>
                <w:highlight w:val="none"/>
                <w:lang w:val="en-US" w:eastAsia="zh-CN"/>
              </w:rPr>
              <w:t>等可再利用材料及可回用零部件，不对发动机、变速器、</w:t>
            </w:r>
            <w:r>
              <w:rPr>
                <w:rFonts w:hint="eastAsia" w:ascii="Times New Roman" w:hAnsi="Times New Roman" w:eastAsia="宋体" w:cs="Times New Roman"/>
                <w:color w:val="auto"/>
                <w:sz w:val="24"/>
                <w:szCs w:val="24"/>
                <w:highlight w:val="none"/>
                <w:lang w:val="en-US" w:eastAsia="zh-CN"/>
              </w:rPr>
              <w:t>电子电器</w:t>
            </w:r>
            <w:r>
              <w:rPr>
                <w:rFonts w:hint="default" w:ascii="Times New Roman" w:hAnsi="Times New Roman" w:eastAsia="宋体" w:cs="Times New Roman"/>
                <w:color w:val="auto"/>
                <w:sz w:val="24"/>
                <w:szCs w:val="24"/>
                <w:highlight w:val="none"/>
                <w:lang w:val="en-US" w:eastAsia="zh-CN"/>
              </w:rPr>
              <w:t>及蓄电池等零部件进行精细拆解，拆解过程在</w:t>
            </w:r>
            <w:r>
              <w:rPr>
                <w:rFonts w:hint="eastAsia" w:ascii="Times New Roman" w:hAnsi="Times New Roman" w:eastAsia="宋体" w:cs="Times New Roman"/>
                <w:color w:val="auto"/>
                <w:sz w:val="24"/>
                <w:szCs w:val="24"/>
                <w:highlight w:val="none"/>
                <w:lang w:val="en-US" w:eastAsia="zh-CN"/>
              </w:rPr>
              <w:t>机动车</w:t>
            </w:r>
            <w:r>
              <w:rPr>
                <w:rFonts w:hint="default" w:ascii="Times New Roman" w:hAnsi="Times New Roman" w:eastAsia="宋体" w:cs="Times New Roman"/>
                <w:color w:val="auto"/>
                <w:sz w:val="24"/>
                <w:szCs w:val="24"/>
                <w:highlight w:val="none"/>
                <w:lang w:val="en-US" w:eastAsia="zh-CN"/>
              </w:rPr>
              <w:t>生产企业提供的拆解信息或手册的指导下进行。</w:t>
            </w:r>
            <w:r>
              <w:rPr>
                <w:rFonts w:hint="eastAsia" w:ascii="Times New Roman" w:hAnsi="Times New Roman" w:eastAsia="宋体" w:cs="Times New Roman"/>
                <w:color w:val="auto"/>
                <w:sz w:val="24"/>
                <w:szCs w:val="24"/>
                <w:highlight w:val="none"/>
                <w:lang w:val="en-US" w:eastAsia="zh-CN"/>
              </w:rPr>
              <w:t>机动车</w:t>
            </w:r>
            <w:r>
              <w:rPr>
                <w:rFonts w:hint="default" w:ascii="Times New Roman" w:hAnsi="Times New Roman" w:eastAsia="宋体" w:cs="Times New Roman"/>
                <w:color w:val="auto"/>
                <w:sz w:val="24"/>
                <w:szCs w:val="24"/>
                <w:highlight w:val="none"/>
                <w:lang w:val="en-US" w:eastAsia="zh-CN"/>
              </w:rPr>
              <w:t>拆解工序按照“先进行外部拆解，再进行内部零部件拆解，最后进行五大总成拆解”的原则，具体步骤为：</w:t>
            </w:r>
          </w:p>
          <w:p w14:paraId="1272D483">
            <w:pPr>
              <w:numPr>
                <w:ilvl w:val="0"/>
                <w:numId w:val="0"/>
              </w:num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szCs w:val="24"/>
                <w:highlight w:val="none"/>
                <w:lang w:val="en-US" w:eastAsia="zh-CN"/>
              </w:rPr>
              <w:t>外部拆解依次拆除挡风玻璃、消声器、外部各功能灯、停车装置、螺丝轴承、前后保险杠、倒车雷达、发动机盖等。拆卸车轮并使用扒胎机进行轮胎与轮毂的拆卸，拆卸车门并人工进行玻璃与门框的分离。拆解后符合国家标准的零件，能够继续使用的，标明“报废机动车回用件”转运至仓库可回用零部件</w:t>
            </w:r>
            <w:r>
              <w:rPr>
                <w:rFonts w:hint="eastAsia"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lang w:val="en-US" w:eastAsia="zh-CN"/>
              </w:rPr>
              <w:t>暂存待售。对于不能继续使用的进行分类处理：保险杠、轮胎、车玻璃等作为废塑料、废橡胶、废玻璃转运至仓库分区存放待售；停车装置、消声器、发动机盖</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进</w:t>
            </w:r>
            <w:r>
              <w:rPr>
                <w:rFonts w:hint="default" w:ascii="Times New Roman" w:hAnsi="Times New Roman" w:eastAsia="宋体" w:cs="Times New Roman"/>
                <w:color w:val="auto"/>
                <w:sz w:val="24"/>
                <w:szCs w:val="24"/>
                <w:highlight w:val="none"/>
                <w:shd w:val="clear" w:color="auto" w:fill="auto"/>
                <w:lang w:val="en-US" w:eastAsia="zh-CN"/>
              </w:rPr>
              <w:t>行后续的剪切打包加工与螺丝轴承，作为废钢铁转运至仓库废钢铁区存放待售</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轮毂作为废有色金属转运至仓</w:t>
            </w:r>
            <w:r>
              <w:rPr>
                <w:rFonts w:hint="default" w:ascii="Times New Roman" w:hAnsi="Times New Roman" w:eastAsia="宋体" w:cs="Times New Roman"/>
                <w:color w:val="auto"/>
                <w:sz w:val="24"/>
                <w:szCs w:val="24"/>
                <w:highlight w:val="none"/>
                <w:lang w:val="en-US" w:eastAsia="zh-CN"/>
              </w:rPr>
              <w:t>库废有色金属区存放待售；</w:t>
            </w:r>
            <w:r>
              <w:rPr>
                <w:rFonts w:hint="eastAsia" w:ascii="Times New Roman" w:hAnsi="Times New Roman" w:eastAsia="宋体" w:cs="Times New Roman"/>
                <w:color w:val="auto"/>
                <w:sz w:val="24"/>
                <w:szCs w:val="24"/>
                <w:highlight w:val="none"/>
                <w:lang w:val="en-US" w:eastAsia="zh-CN"/>
              </w:rPr>
              <w:t>雷达等废电子零部件</w:t>
            </w:r>
            <w:r>
              <w:rPr>
                <w:rFonts w:hint="default" w:ascii="Times New Roman" w:hAnsi="Times New Roman" w:eastAsia="宋体" w:cs="Times New Roman"/>
                <w:color w:val="auto"/>
                <w:sz w:val="24"/>
                <w:szCs w:val="24"/>
                <w:highlight w:val="none"/>
                <w:lang w:val="en-US" w:eastAsia="zh-CN"/>
              </w:rPr>
              <w:t>转运至</w:t>
            </w:r>
            <w:r>
              <w:rPr>
                <w:rFonts w:hint="eastAsia" w:ascii="Times New Roman" w:hAnsi="Times New Roman" w:eastAsia="宋体" w:cs="Times New Roman"/>
                <w:color w:val="auto"/>
                <w:sz w:val="24"/>
                <w:szCs w:val="24"/>
                <w:highlight w:val="none"/>
                <w:lang w:val="en-US" w:eastAsia="zh-CN"/>
              </w:rPr>
              <w:t>仓库内分区暂存待外售有相应处置资质公司处理，</w:t>
            </w:r>
            <w:r>
              <w:rPr>
                <w:rFonts w:hint="default" w:ascii="Times New Roman" w:hAnsi="Times New Roman" w:eastAsia="宋体" w:cs="Times New Roman"/>
                <w:color w:val="auto"/>
                <w:sz w:val="24"/>
                <w:szCs w:val="24"/>
                <w:highlight w:val="none"/>
                <w:lang w:val="en-US" w:eastAsia="zh-CN"/>
              </w:rPr>
              <w:t>石棉类制动器衬片按危险废物转运至危废间</w:t>
            </w:r>
            <w:r>
              <w:rPr>
                <w:rFonts w:hint="eastAsia" w:ascii="Times New Roman" w:hAnsi="Times New Roman" w:eastAsia="宋体" w:cs="Times New Roman"/>
                <w:color w:val="auto"/>
                <w:sz w:val="24"/>
                <w:szCs w:val="24"/>
                <w:highlight w:val="none"/>
                <w:lang w:val="en-US" w:eastAsia="zh-CN"/>
              </w:rPr>
              <w:t>分区</w:t>
            </w:r>
            <w:r>
              <w:rPr>
                <w:rFonts w:hint="default" w:ascii="Times New Roman" w:hAnsi="Times New Roman" w:eastAsia="宋体" w:cs="Times New Roman"/>
                <w:color w:val="auto"/>
                <w:sz w:val="24"/>
                <w:szCs w:val="24"/>
                <w:highlight w:val="none"/>
                <w:lang w:val="en-US" w:eastAsia="zh-CN"/>
              </w:rPr>
              <w:t>暂存委托资质单位处理。</w:t>
            </w:r>
            <w:r>
              <w:rPr>
                <w:rFonts w:hint="eastAsia" w:ascii="Times New Roman" w:hAnsi="Times New Roman" w:eastAsia="宋体" w:cs="Times New Roman"/>
                <w:color w:val="auto"/>
                <w:sz w:val="24"/>
                <w:szCs w:val="24"/>
                <w:highlight w:val="none"/>
                <w:lang w:val="en-US" w:eastAsia="zh-CN"/>
              </w:rPr>
              <w:t>不可利用其他废杂物（如碎玻璃等），收集运至一般工业固废暂存间暂存。</w:t>
            </w:r>
          </w:p>
          <w:p w14:paraId="4F0FD5D3">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lang w:val="en-US" w:eastAsia="zh-CN"/>
              </w:rPr>
              <w:t>内部拆解主要为：发动机仓拆除空调压缩机、冷凝器及风扇、散热器及风扇、启动机、发电机、冷却液水膨胀容器</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驾驶室拆除座椅及内饰、安全带、仪表板、仪表盘、电子导航、音响、收音机、汽车电子控制模块及相关电缆电线等。拆解后符合国家标准的零件，能够继续使用的，标明“报废机动车回用件”转运至仓库可回用零件区存放出售。对于不能继续使用的进行分类处理：</w:t>
            </w:r>
            <w:r>
              <w:rPr>
                <w:rFonts w:hint="eastAsia" w:ascii="Times New Roman" w:hAnsi="Times New Roman" w:eastAsia="宋体" w:cs="Times New Roman"/>
                <w:color w:val="auto"/>
                <w:sz w:val="24"/>
                <w:szCs w:val="24"/>
                <w:highlight w:val="none"/>
                <w:lang w:val="en-US" w:eastAsia="zh-CN"/>
              </w:rPr>
              <w:t>废电线电缆以及</w:t>
            </w:r>
            <w:r>
              <w:rPr>
                <w:rFonts w:hint="default" w:ascii="Times New Roman" w:hAnsi="Times New Roman" w:eastAsia="宋体" w:cs="Times New Roman"/>
                <w:color w:val="auto"/>
                <w:sz w:val="24"/>
                <w:szCs w:val="24"/>
                <w:highlight w:val="none"/>
                <w:lang w:val="en-US" w:eastAsia="zh-CN"/>
              </w:rPr>
              <w:t>废弃电子</w:t>
            </w:r>
            <w:r>
              <w:rPr>
                <w:rFonts w:hint="eastAsia" w:ascii="Times New Roman" w:hAnsi="Times New Roman" w:eastAsia="宋体" w:cs="Times New Roman"/>
                <w:color w:val="auto"/>
                <w:sz w:val="24"/>
                <w:szCs w:val="24"/>
                <w:highlight w:val="none"/>
                <w:lang w:val="en-US" w:eastAsia="zh-CN"/>
              </w:rPr>
              <w:t>零部件（</w:t>
            </w:r>
            <w:r>
              <w:rPr>
                <w:rFonts w:hint="default" w:ascii="Times New Roman" w:hAnsi="Times New Roman" w:eastAsia="宋体" w:cs="Times New Roman"/>
                <w:color w:val="auto"/>
                <w:sz w:val="24"/>
                <w:szCs w:val="24"/>
                <w:highlight w:val="none"/>
                <w:lang w:val="en-US" w:eastAsia="zh-CN"/>
              </w:rPr>
              <w:t>空调压缩机、风扇、启动机、发电机、仪表盘、电子导航、音响、收音机、汽车电子控制模块等</w:t>
            </w:r>
            <w:r>
              <w:rPr>
                <w:rFonts w:hint="eastAsia" w:ascii="Times New Roman" w:hAnsi="Times New Roman" w:eastAsia="宋体" w:cs="Times New Roman"/>
                <w:color w:val="auto"/>
                <w:sz w:val="24"/>
                <w:szCs w:val="24"/>
                <w:highlight w:val="none"/>
                <w:lang w:val="en-US" w:eastAsia="zh-CN"/>
              </w:rPr>
              <w:t>）运</w:t>
            </w:r>
            <w:r>
              <w:rPr>
                <w:rFonts w:hint="default" w:ascii="Times New Roman" w:hAnsi="Times New Roman" w:eastAsia="宋体" w:cs="Times New Roman"/>
                <w:color w:val="auto"/>
                <w:sz w:val="24"/>
                <w:szCs w:val="24"/>
                <w:highlight w:val="none"/>
                <w:lang w:val="en-US" w:eastAsia="zh-CN"/>
              </w:rPr>
              <w:t>至仓库分区存放待售；内饰</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塑料容器、仪表板等作为废塑料运至仓库分区存放待售；座椅、安全带作为废尼龙转运至仓库废塑料区存放待售；散热器、冷凝器等作为废有色金属转运至仓库废有色金属区待售，拆解产生的废</w:t>
            </w:r>
            <w:r>
              <w:rPr>
                <w:rFonts w:hint="eastAsia" w:ascii="Times New Roman" w:hAnsi="Times New Roman" w:eastAsia="宋体" w:cs="Times New Roman"/>
                <w:color w:val="auto"/>
                <w:sz w:val="24"/>
                <w:szCs w:val="24"/>
                <w:highlight w:val="none"/>
                <w:lang w:val="en-US" w:eastAsia="zh-CN"/>
              </w:rPr>
              <w:t>电路板、含汞开关</w:t>
            </w:r>
            <w:r>
              <w:rPr>
                <w:rFonts w:hint="default" w:ascii="Times New Roman" w:hAnsi="Times New Roman" w:eastAsia="宋体" w:cs="Times New Roman"/>
                <w:color w:val="auto"/>
                <w:sz w:val="24"/>
                <w:szCs w:val="24"/>
                <w:highlight w:val="none"/>
                <w:lang w:val="en-US" w:eastAsia="zh-CN"/>
              </w:rPr>
              <w:t>转运至危废间暂存。</w:t>
            </w:r>
          </w:p>
          <w:p w14:paraId="1B31130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总成拆解及车身解体</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对完成内、外部基本拆解的报废机动车，最后在总成拆解平台，进行发动机、变速箱、方向机、前后桥与车架、车身的分离及车身解体。总成拆解过程及车身解体过程主要采用</w:t>
            </w:r>
            <w:r>
              <w:rPr>
                <w:rFonts w:hint="eastAsia" w:ascii="Times New Roman" w:hAnsi="Times New Roman" w:eastAsia="宋体" w:cs="Times New Roman"/>
                <w:color w:val="auto"/>
                <w:sz w:val="24"/>
                <w:szCs w:val="24"/>
                <w:highlight w:val="none"/>
                <w:lang w:val="en-US" w:eastAsia="zh-CN"/>
              </w:rPr>
              <w:t>切割机</w:t>
            </w:r>
            <w:r>
              <w:rPr>
                <w:rFonts w:hint="default" w:ascii="Times New Roman" w:hAnsi="Times New Roman" w:eastAsia="宋体" w:cs="Times New Roman"/>
                <w:color w:val="auto"/>
                <w:sz w:val="24"/>
                <w:szCs w:val="24"/>
                <w:highlight w:val="none"/>
                <w:lang w:val="en-US" w:eastAsia="zh-CN"/>
              </w:rPr>
              <w:t>对难拆卸及大型钢材进行切割。拆解后发动机、变速箱、方向机、车架及前后桥，按照相关规定，具备再制造条件的，转运至仓库可回用零件区作为零部件出售给具有再制造能力的企业，并录入“全国汽车流通信息管理应用系统”，不具备再制造条件的销毁报废后作为废钢铁、废有色金属外售。</w:t>
            </w:r>
            <w:r>
              <w:rPr>
                <w:rFonts w:hint="eastAsia" w:ascii="Times New Roman" w:hAnsi="Times New Roman" w:eastAsia="宋体" w:cs="Times New Roman"/>
                <w:color w:val="auto"/>
                <w:sz w:val="24"/>
                <w:szCs w:val="24"/>
                <w:highlight w:val="none"/>
                <w:lang w:val="en-US" w:eastAsia="zh-CN"/>
              </w:rPr>
              <w:t>不可利用其他废杂物（如废尼龙、塑料、皮革等），收集运至一般工业固废暂存间暂存。</w:t>
            </w:r>
          </w:p>
          <w:p w14:paraId="709ED0C6">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val="en-US" w:eastAsia="zh-CN"/>
              </w:rPr>
              <w:t>剪切及打包</w:t>
            </w:r>
          </w:p>
          <w:p w14:paraId="2C20AEB9">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项目不具备再制造条件的五大总成需销毁</w:t>
            </w:r>
            <w:r>
              <w:rPr>
                <w:rFonts w:hint="eastAsia" w:ascii="Times New Roman" w:hAnsi="Times New Roman" w:eastAsia="宋体" w:cs="Times New Roman"/>
                <w:color w:val="auto"/>
                <w:sz w:val="24"/>
                <w:szCs w:val="24"/>
                <w:highlight w:val="none"/>
                <w:lang w:val="en-US" w:eastAsia="zh-CN"/>
              </w:rPr>
              <w:t>后作为</w:t>
            </w:r>
            <w:r>
              <w:rPr>
                <w:rFonts w:hint="default" w:ascii="Times New Roman" w:hAnsi="Times New Roman" w:eastAsia="宋体" w:cs="Times New Roman"/>
                <w:color w:val="auto"/>
                <w:sz w:val="24"/>
                <w:szCs w:val="24"/>
                <w:highlight w:val="none"/>
                <w:lang w:val="en-US" w:eastAsia="zh-CN"/>
              </w:rPr>
              <w:t>废金属外售，发动机、变速箱、方向机进行打孔销毁转运至仓库废有色金属区贮存，前后桥、车架采用解体机配套的</w:t>
            </w:r>
            <w:r>
              <w:rPr>
                <w:rFonts w:hint="eastAsia" w:ascii="Times New Roman" w:hAnsi="Times New Roman" w:eastAsia="宋体" w:cs="Times New Roman"/>
                <w:color w:val="auto"/>
                <w:sz w:val="24"/>
                <w:szCs w:val="24"/>
                <w:highlight w:val="none"/>
                <w:lang w:val="en-US" w:eastAsia="zh-CN"/>
              </w:rPr>
              <w:t>液压</w:t>
            </w:r>
            <w:r>
              <w:rPr>
                <w:rFonts w:hint="default" w:ascii="Times New Roman" w:hAnsi="Times New Roman" w:eastAsia="宋体" w:cs="Times New Roman"/>
                <w:color w:val="auto"/>
                <w:sz w:val="24"/>
                <w:szCs w:val="24"/>
                <w:highlight w:val="none"/>
                <w:lang w:val="en-US" w:eastAsia="zh-CN"/>
              </w:rPr>
              <w:t>剪切销毁转运至仓库废钢铁区贮存。</w:t>
            </w:r>
            <w:r>
              <w:rPr>
                <w:rFonts w:hint="eastAsia" w:ascii="Times New Roman" w:hAnsi="Times New Roman" w:eastAsia="宋体" w:cs="Times New Roman"/>
                <w:color w:val="auto"/>
                <w:sz w:val="24"/>
                <w:szCs w:val="24"/>
                <w:highlight w:val="none"/>
                <w:lang w:val="en-US" w:eastAsia="zh-CN"/>
              </w:rPr>
              <w:t>切割</w:t>
            </w:r>
            <w:r>
              <w:rPr>
                <w:rFonts w:hint="default" w:ascii="Times New Roman" w:hAnsi="Times New Roman" w:eastAsia="宋体" w:cs="Times New Roman"/>
                <w:color w:val="auto"/>
                <w:sz w:val="24"/>
                <w:szCs w:val="24"/>
                <w:highlight w:val="none"/>
                <w:lang w:val="en-US" w:eastAsia="zh-CN"/>
              </w:rPr>
              <w:t>后的车身及车门、发动机罩等大型钢铁经解体机配套的</w:t>
            </w:r>
            <w:r>
              <w:rPr>
                <w:rFonts w:hint="eastAsia" w:ascii="Times New Roman" w:hAnsi="Times New Roman" w:eastAsia="宋体" w:cs="Times New Roman"/>
                <w:color w:val="auto"/>
                <w:sz w:val="24"/>
                <w:szCs w:val="24"/>
                <w:highlight w:val="none"/>
                <w:lang w:val="en-US" w:eastAsia="zh-CN"/>
              </w:rPr>
              <w:t>液压</w:t>
            </w:r>
            <w:r>
              <w:rPr>
                <w:rFonts w:hint="default" w:ascii="Times New Roman" w:hAnsi="Times New Roman" w:eastAsia="宋体" w:cs="Times New Roman"/>
                <w:color w:val="auto"/>
                <w:sz w:val="24"/>
                <w:szCs w:val="24"/>
                <w:highlight w:val="none"/>
                <w:lang w:val="en-US" w:eastAsia="zh-CN"/>
              </w:rPr>
              <w:t>剪切并打包作为废钢铁转运至仓库废钢铁区贮存。</w:t>
            </w:r>
            <w:r>
              <w:rPr>
                <w:rFonts w:hint="eastAsia" w:ascii="Times New Roman" w:hAnsi="Times New Roman" w:eastAsia="宋体" w:cs="Times New Roman"/>
                <w:color w:val="auto"/>
                <w:sz w:val="24"/>
                <w:szCs w:val="24"/>
                <w:highlight w:val="none"/>
                <w:lang w:val="en-US" w:eastAsia="zh-CN"/>
              </w:rPr>
              <w:t>液压剪切机使用将产生一定量的废液压油，密闭桶装收集后运至危废暂存间暂存。</w:t>
            </w:r>
          </w:p>
          <w:p w14:paraId="11556B68">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⑥存储及管理</w:t>
            </w:r>
          </w:p>
          <w:p w14:paraId="4F31F87D">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项目拆解产生的废钢铁、废有色金属、废尼龙、废玻璃、</w:t>
            </w:r>
            <w:r>
              <w:rPr>
                <w:rFonts w:hint="eastAsia" w:ascii="Times New Roman" w:hAnsi="Times New Roman" w:eastAsia="宋体" w:cs="Times New Roman"/>
                <w:color w:val="auto"/>
                <w:sz w:val="24"/>
                <w:szCs w:val="24"/>
                <w:highlight w:val="none"/>
                <w:lang w:val="en-US" w:eastAsia="zh-CN"/>
              </w:rPr>
              <w:t>废塑料、</w:t>
            </w:r>
            <w:r>
              <w:rPr>
                <w:rFonts w:hint="default" w:ascii="Times New Roman" w:hAnsi="Times New Roman" w:eastAsia="宋体" w:cs="Times New Roman"/>
                <w:color w:val="auto"/>
                <w:sz w:val="24"/>
                <w:szCs w:val="24"/>
                <w:highlight w:val="none"/>
                <w:lang w:val="en-US" w:eastAsia="zh-CN"/>
              </w:rPr>
              <w:t>废橡胶、废</w:t>
            </w:r>
            <w:r>
              <w:rPr>
                <w:rFonts w:hint="eastAsia" w:ascii="Times New Roman" w:hAnsi="Times New Roman" w:eastAsia="宋体" w:cs="Times New Roman"/>
                <w:color w:val="auto"/>
                <w:sz w:val="24"/>
                <w:szCs w:val="24"/>
                <w:highlight w:val="none"/>
                <w:lang w:val="en-US" w:eastAsia="zh-CN"/>
              </w:rPr>
              <w:t>电子零部件、废电线电缆</w:t>
            </w:r>
            <w:r>
              <w:rPr>
                <w:rFonts w:hint="default" w:ascii="Times New Roman" w:hAnsi="Times New Roman" w:eastAsia="宋体" w:cs="Times New Roman"/>
                <w:color w:val="auto"/>
                <w:sz w:val="24"/>
                <w:szCs w:val="24"/>
                <w:highlight w:val="none"/>
                <w:lang w:val="en-US" w:eastAsia="zh-CN"/>
              </w:rPr>
              <w:t>及可回用零部件等分类贮存于仓库各产品区，</w:t>
            </w:r>
            <w:r>
              <w:rPr>
                <w:rFonts w:hint="eastAsia" w:ascii="Times New Roman" w:hAnsi="Times New Roman" w:eastAsia="宋体" w:cs="Times New Roman"/>
                <w:color w:val="auto"/>
                <w:sz w:val="24"/>
                <w:szCs w:val="24"/>
                <w:highlight w:val="none"/>
                <w:lang w:val="en-US" w:eastAsia="zh-CN"/>
              </w:rPr>
              <w:t>不可利用的</w:t>
            </w:r>
            <w:r>
              <w:rPr>
                <w:rFonts w:hint="default" w:ascii="Times New Roman" w:hAnsi="Times New Roman" w:eastAsia="宋体" w:cs="Times New Roman"/>
                <w:color w:val="auto"/>
                <w:sz w:val="24"/>
                <w:szCs w:val="24"/>
                <w:highlight w:val="none"/>
                <w:lang w:val="en-US" w:eastAsia="zh-CN"/>
              </w:rPr>
              <w:t>碎玻璃及碎橡胶等一般工业固废暂存于一般工业固废区。</w:t>
            </w:r>
          </w:p>
          <w:p w14:paraId="42323984">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B.</w:t>
            </w:r>
            <w:r>
              <w:rPr>
                <w:rFonts w:hint="default" w:ascii="Times New Roman" w:hAnsi="Times New Roman" w:eastAsia="宋体" w:cs="Times New Roman"/>
                <w:color w:val="auto"/>
                <w:sz w:val="24"/>
                <w:szCs w:val="24"/>
                <w:highlight w:val="none"/>
                <w:lang w:val="en-US" w:eastAsia="zh-CN"/>
              </w:rPr>
              <w:t>拆解过程产生的危险废物在危废暂存区分类存放</w:t>
            </w:r>
            <w:r>
              <w:rPr>
                <w:rFonts w:hint="eastAsia" w:ascii="Times New Roman" w:hAnsi="Times New Roman" w:eastAsia="宋体" w:cs="Times New Roman"/>
                <w:color w:val="auto"/>
                <w:sz w:val="24"/>
                <w:szCs w:val="24"/>
                <w:highlight w:val="none"/>
                <w:lang w:val="en-US" w:eastAsia="zh-CN"/>
              </w:rPr>
              <w:t>；</w:t>
            </w:r>
          </w:p>
          <w:p w14:paraId="058CE8A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按照相关政策要求，企业应建立固体废物管理台账，如实记录拆解产物的种类、数量、流向、贮存、利用和处置信息，并通过“全国固体废物管理信息系统”进行填报；制定危险废物管理计划、按照规定贮存危险废物。</w:t>
            </w:r>
          </w:p>
          <w:p w14:paraId="4A631173">
            <w:pPr>
              <w:pStyle w:val="2"/>
              <w:rPr>
                <w:rFonts w:hint="default" w:ascii="Times New Roman" w:hAnsi="Times New Roman"/>
                <w:color w:val="auto"/>
                <w:lang w:val="en-US" w:eastAsia="zh-CN"/>
              </w:rPr>
            </w:pPr>
          </w:p>
          <w:p w14:paraId="7C907B9F">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color w:val="auto"/>
                <w:sz w:val="24"/>
                <w:szCs w:val="24"/>
                <w:highlight w:val="none"/>
                <w:lang w:eastAsia="zh-CN"/>
              </w:rPr>
            </w:pPr>
          </w:p>
          <w:p w14:paraId="212251DC">
            <w:pPr>
              <w:pStyle w:val="2"/>
              <w:rPr>
                <w:rFonts w:hint="default" w:ascii="Times New Roman" w:hAnsi="Times New Roman"/>
                <w:color w:val="auto"/>
                <w:lang w:eastAsia="zh-CN"/>
              </w:rPr>
            </w:pPr>
          </w:p>
          <w:p w14:paraId="296D4E53">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2 废电机拆解工艺流程</w:t>
            </w:r>
          </w:p>
          <w:p w14:paraId="02973F09">
            <w:pPr>
              <w:pStyle w:val="4"/>
              <w:jc w:val="center"/>
              <w:rPr>
                <w:rFonts w:hint="default" w:ascii="Times New Roman" w:hAnsi="Times New Roman"/>
                <w:color w:val="auto"/>
                <w:lang w:val="en-US" w:eastAsia="zh-CN"/>
              </w:rPr>
            </w:pPr>
            <w:r>
              <w:rPr>
                <w:rFonts w:hint="default" w:ascii="Times New Roman" w:hAnsi="Times New Roman"/>
                <w:color w:val="auto"/>
                <w:lang w:val="en-US" w:eastAsia="zh-CN"/>
              </w:rPr>
              <w:drawing>
                <wp:inline distT="0" distB="0" distL="114300" distR="114300">
                  <wp:extent cx="3587115" cy="2473960"/>
                  <wp:effectExtent l="0" t="0" r="0" b="0"/>
                  <wp:docPr id="6"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wps"/>
                          <pic:cNvPicPr>
                            <a:picLocks noChangeAspect="1"/>
                          </pic:cNvPicPr>
                        </pic:nvPicPr>
                        <pic:blipFill>
                          <a:blip r:embed="rId12"/>
                          <a:stretch>
                            <a:fillRect/>
                          </a:stretch>
                        </pic:blipFill>
                        <pic:spPr>
                          <a:xfrm>
                            <a:off x="0" y="0"/>
                            <a:ext cx="3587115" cy="2473960"/>
                          </a:xfrm>
                          <a:prstGeom prst="rect">
                            <a:avLst/>
                          </a:prstGeom>
                          <a:noFill/>
                          <a:ln>
                            <a:noFill/>
                          </a:ln>
                        </pic:spPr>
                      </pic:pic>
                    </a:graphicData>
                  </a:graphic>
                </wp:inline>
              </w:drawing>
            </w:r>
          </w:p>
          <w:p w14:paraId="443AFBFF">
            <w:pPr>
              <w:rPr>
                <w:rFonts w:hint="default" w:ascii="Times New Roman" w:hAnsi="Times New Roman"/>
                <w:color w:val="auto"/>
                <w:lang w:val="en-US" w:eastAsia="zh-CN"/>
              </w:rPr>
            </w:pPr>
          </w:p>
          <w:p w14:paraId="53D98AF8">
            <w:pPr>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图</w:t>
            </w:r>
            <w:r>
              <w:rPr>
                <w:rFonts w:hint="eastAsia" w:ascii="Times New Roman" w:hAnsi="Times New Roman" w:eastAsia="黑体" w:cs="Times New Roman"/>
                <w:color w:val="auto"/>
                <w:sz w:val="24"/>
                <w:szCs w:val="24"/>
                <w:lang w:val="en-US" w:eastAsia="zh-CN"/>
              </w:rPr>
              <w:t>2.3</w:t>
            </w:r>
            <w:r>
              <w:rPr>
                <w:rFonts w:hint="default" w:ascii="Times New Roman" w:hAnsi="Times New Roman" w:eastAsia="黑体" w:cs="Times New Roman"/>
                <w:color w:val="auto"/>
                <w:sz w:val="24"/>
                <w:szCs w:val="24"/>
              </w:rPr>
              <w:t>-</w:t>
            </w:r>
            <w:r>
              <w:rPr>
                <w:rFonts w:hint="eastAsia" w:ascii="Times New Roman" w:hAnsi="Times New Roman" w:eastAsia="黑体" w:cs="Times New Roman"/>
                <w:color w:val="auto"/>
                <w:sz w:val="24"/>
                <w:szCs w:val="24"/>
                <w:lang w:val="en-US" w:eastAsia="zh-CN"/>
              </w:rPr>
              <w:t>2</w:t>
            </w:r>
            <w:r>
              <w:rPr>
                <w:rFonts w:hint="default" w:ascii="Times New Roman" w:hAnsi="Times New Roman" w:eastAsia="黑体" w:cs="Times New Roman"/>
                <w:color w:val="auto"/>
                <w:sz w:val="24"/>
                <w:szCs w:val="24"/>
              </w:rPr>
              <w:t xml:space="preserve"> 项目</w:t>
            </w:r>
            <w:r>
              <w:rPr>
                <w:rFonts w:hint="eastAsia" w:ascii="Times New Roman" w:hAnsi="Times New Roman" w:eastAsia="黑体" w:cs="Times New Roman"/>
                <w:color w:val="auto"/>
                <w:sz w:val="24"/>
                <w:szCs w:val="24"/>
                <w:lang w:eastAsia="zh-CN"/>
              </w:rPr>
              <w:t>废电机拆解</w:t>
            </w:r>
            <w:r>
              <w:rPr>
                <w:rFonts w:hint="default" w:ascii="Times New Roman" w:hAnsi="Times New Roman" w:eastAsia="黑体" w:cs="Times New Roman"/>
                <w:color w:val="auto"/>
                <w:sz w:val="24"/>
                <w:szCs w:val="24"/>
              </w:rPr>
              <w:t>工艺流程及产污环节示意图</w:t>
            </w:r>
          </w:p>
          <w:p w14:paraId="36A3F306">
            <w:pPr>
              <w:rPr>
                <w:rFonts w:hint="default" w:ascii="Times New Roman" w:hAnsi="Times New Roman" w:eastAsia="宋体" w:cs="Times New Roman"/>
                <w:color w:val="auto"/>
                <w:sz w:val="24"/>
                <w:szCs w:val="24"/>
                <w:highlight w:val="none"/>
              </w:rPr>
            </w:pPr>
          </w:p>
          <w:p w14:paraId="053C5AE2">
            <w:pPr>
              <w:spacing w:line="360" w:lineRule="auto"/>
              <w:ind w:firstLine="482" w:firstLineChars="200"/>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废电机</w:t>
            </w:r>
            <w:r>
              <w:rPr>
                <w:rFonts w:hint="eastAsia" w:ascii="Times New Roman" w:hAnsi="Times New Roman" w:eastAsia="宋体" w:cs="Times New Roman"/>
                <w:b/>
                <w:bCs/>
                <w:color w:val="auto"/>
                <w:sz w:val="24"/>
                <w:szCs w:val="24"/>
                <w:highlight w:val="none"/>
                <w:lang w:val="en-US" w:eastAsia="zh-CN"/>
              </w:rPr>
              <w:t>拆解工艺流程简介：</w:t>
            </w:r>
          </w:p>
          <w:p w14:paraId="05294E2E">
            <w:pPr>
              <w:spacing w:line="360" w:lineRule="auto"/>
              <w:ind w:firstLine="480" w:firstLineChars="20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采用等离子切割机剥离外壳，然后采用电动扳手的方式分离，经过人工筛选后分为电机壳</w:t>
            </w:r>
            <w:r>
              <w:rPr>
                <w:rFonts w:hint="eastAsia" w:ascii="Times New Roman" w:hAnsi="Times New Roman" w:eastAsia="宋体" w:cs="Times New Roman"/>
                <w:color w:val="auto"/>
                <w:sz w:val="24"/>
                <w:szCs w:val="24"/>
                <w:highlight w:val="none"/>
                <w:lang w:val="en-US" w:eastAsia="zh-CN"/>
              </w:rPr>
              <w:t>、芯子、废塑料以及不可利用废杂物</w:t>
            </w:r>
            <w:r>
              <w:rPr>
                <w:rFonts w:hint="default" w:ascii="Times New Roman" w:hAnsi="Times New Roman" w:eastAsia="宋体" w:cs="Times New Roman"/>
                <w:color w:val="auto"/>
                <w:sz w:val="24"/>
                <w:szCs w:val="24"/>
                <w:highlight w:val="none"/>
                <w:lang w:val="en-US" w:eastAsia="zh-CN"/>
              </w:rPr>
              <w:t>，电机壳</w:t>
            </w:r>
            <w:r>
              <w:rPr>
                <w:rFonts w:hint="eastAsia" w:ascii="Times New Roman" w:hAnsi="Times New Roman" w:eastAsia="宋体" w:cs="Times New Roman"/>
                <w:color w:val="auto"/>
                <w:sz w:val="24"/>
                <w:szCs w:val="24"/>
                <w:highlight w:val="none"/>
                <w:lang w:val="en-US" w:eastAsia="zh-CN"/>
              </w:rPr>
              <w:t>为废金属材料，与废塑料一并运至仓库分区暂存后待售，</w:t>
            </w:r>
            <w:r>
              <w:rPr>
                <w:rFonts w:hint="default" w:ascii="Times New Roman" w:hAnsi="Times New Roman" w:eastAsia="宋体" w:cs="Times New Roman"/>
                <w:color w:val="auto"/>
                <w:sz w:val="24"/>
                <w:szCs w:val="24"/>
                <w:highlight w:val="none"/>
                <w:lang w:val="en-US" w:eastAsia="zh-CN"/>
              </w:rPr>
              <w:t>芯子经人工</w:t>
            </w:r>
            <w:r>
              <w:rPr>
                <w:rFonts w:hint="eastAsia" w:ascii="Times New Roman" w:hAnsi="Times New Roman" w:eastAsia="宋体" w:cs="Times New Roman"/>
                <w:color w:val="auto"/>
                <w:sz w:val="24"/>
                <w:szCs w:val="24"/>
                <w:highlight w:val="none"/>
                <w:lang w:val="en-US" w:eastAsia="zh-CN"/>
              </w:rPr>
              <w:t>液压</w:t>
            </w:r>
            <w:r>
              <w:rPr>
                <w:rFonts w:hint="default" w:ascii="Times New Roman" w:hAnsi="Times New Roman" w:eastAsia="宋体" w:cs="Times New Roman"/>
                <w:color w:val="auto"/>
                <w:sz w:val="24"/>
                <w:szCs w:val="24"/>
                <w:highlight w:val="none"/>
                <w:lang w:val="en-US" w:eastAsia="zh-CN"/>
              </w:rPr>
              <w:t>拆解，整理分类为转子、定子、绝缘材料等，转子、绝缘材料</w:t>
            </w:r>
            <w:r>
              <w:rPr>
                <w:rFonts w:hint="eastAsia" w:ascii="Times New Roman" w:hAnsi="Times New Roman" w:eastAsia="宋体" w:cs="Times New Roman"/>
                <w:color w:val="auto"/>
                <w:sz w:val="24"/>
                <w:szCs w:val="24"/>
                <w:highlight w:val="none"/>
                <w:lang w:val="en-US" w:eastAsia="zh-CN"/>
              </w:rPr>
              <w:t>、废塑料运至仓库分区暂存后待售</w:t>
            </w:r>
            <w:r>
              <w:rPr>
                <w:rFonts w:hint="default" w:ascii="Times New Roman" w:hAnsi="Times New Roman" w:eastAsia="宋体" w:cs="Times New Roman"/>
                <w:color w:val="auto"/>
                <w:sz w:val="24"/>
                <w:szCs w:val="24"/>
                <w:highlight w:val="none"/>
                <w:lang w:val="en-US" w:eastAsia="zh-CN"/>
              </w:rPr>
              <w:t>，定子拆出的铜线及剩下的钢片</w:t>
            </w:r>
            <w:r>
              <w:rPr>
                <w:rFonts w:hint="eastAsia" w:ascii="Times New Roman" w:hAnsi="Times New Roman" w:eastAsia="宋体" w:cs="Times New Roman"/>
                <w:color w:val="auto"/>
                <w:sz w:val="24"/>
                <w:szCs w:val="24"/>
                <w:highlight w:val="none"/>
                <w:lang w:val="en-US" w:eastAsia="zh-CN"/>
              </w:rPr>
              <w:t>、金属壳、塑料等</w:t>
            </w:r>
            <w:r>
              <w:rPr>
                <w:rFonts w:hint="default" w:ascii="Times New Roman" w:hAnsi="Times New Roman" w:eastAsia="宋体" w:cs="Times New Roman"/>
                <w:color w:val="auto"/>
                <w:sz w:val="24"/>
                <w:szCs w:val="24"/>
                <w:highlight w:val="none"/>
                <w:lang w:val="en-US" w:eastAsia="zh-CN"/>
              </w:rPr>
              <w:t>分别收集</w:t>
            </w:r>
            <w:r>
              <w:rPr>
                <w:rFonts w:hint="eastAsia" w:ascii="Times New Roman" w:hAnsi="Times New Roman" w:eastAsia="宋体" w:cs="Times New Roman"/>
                <w:color w:val="auto"/>
                <w:sz w:val="24"/>
                <w:szCs w:val="24"/>
                <w:highlight w:val="none"/>
                <w:lang w:val="en-US" w:eastAsia="zh-CN"/>
              </w:rPr>
              <w:t>运至仓库分区暂存后待售</w:t>
            </w:r>
            <w:r>
              <w:rPr>
                <w:rFonts w:hint="default" w:ascii="Times New Roman" w:hAnsi="Times New Roman" w:eastAsia="宋体" w:cs="Times New Roman"/>
                <w:color w:val="auto"/>
                <w:sz w:val="24"/>
                <w:szCs w:val="24"/>
                <w:highlight w:val="none"/>
                <w:lang w:val="en-US" w:eastAsia="zh-CN"/>
              </w:rPr>
              <w:t>，少量废</w:t>
            </w:r>
            <w:r>
              <w:rPr>
                <w:rFonts w:hint="eastAsia" w:ascii="Times New Roman" w:hAnsi="Times New Roman" w:eastAsia="宋体" w:cs="Times New Roman"/>
                <w:color w:val="auto"/>
                <w:sz w:val="24"/>
                <w:szCs w:val="24"/>
                <w:highlight w:val="none"/>
                <w:lang w:val="en-US" w:eastAsia="zh-CN"/>
              </w:rPr>
              <w:t>电</w:t>
            </w:r>
            <w:r>
              <w:rPr>
                <w:rFonts w:hint="default" w:ascii="Times New Roman" w:hAnsi="Times New Roman" w:eastAsia="宋体" w:cs="Times New Roman"/>
                <w:color w:val="auto"/>
                <w:sz w:val="24"/>
                <w:szCs w:val="24"/>
                <w:highlight w:val="none"/>
                <w:lang w:val="en-US" w:eastAsia="zh-CN"/>
              </w:rPr>
              <w:t>路板收集后暂存于危险废物暂存间内，定期委托有资质单位统一处置。</w:t>
            </w:r>
          </w:p>
          <w:p w14:paraId="64D3D832">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3 废变压器拆解工艺流程</w:t>
            </w:r>
          </w:p>
          <w:p w14:paraId="38C4C893">
            <w:pPr>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4622800" cy="2257425"/>
                  <wp:effectExtent l="0" t="0" r="0" b="0"/>
                  <wp:docPr id="13" name="图片 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wps"/>
                          <pic:cNvPicPr>
                            <a:picLocks noChangeAspect="1"/>
                          </pic:cNvPicPr>
                        </pic:nvPicPr>
                        <pic:blipFill>
                          <a:blip r:embed="rId13"/>
                          <a:srcRect t="3397"/>
                          <a:stretch>
                            <a:fillRect/>
                          </a:stretch>
                        </pic:blipFill>
                        <pic:spPr>
                          <a:xfrm>
                            <a:off x="0" y="0"/>
                            <a:ext cx="4622800" cy="2257425"/>
                          </a:xfrm>
                          <a:prstGeom prst="rect">
                            <a:avLst/>
                          </a:prstGeom>
                          <a:noFill/>
                          <a:ln>
                            <a:noFill/>
                          </a:ln>
                        </pic:spPr>
                      </pic:pic>
                    </a:graphicData>
                  </a:graphic>
                </wp:inline>
              </w:drawing>
            </w:r>
          </w:p>
          <w:p w14:paraId="2D6742A2">
            <w:pPr>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图</w:t>
            </w:r>
            <w:r>
              <w:rPr>
                <w:rFonts w:hint="eastAsia" w:ascii="Times New Roman" w:hAnsi="Times New Roman" w:eastAsia="黑体" w:cs="Times New Roman"/>
                <w:color w:val="auto"/>
                <w:sz w:val="24"/>
                <w:szCs w:val="24"/>
                <w:lang w:val="en-US" w:eastAsia="zh-CN"/>
              </w:rPr>
              <w:t>2.3</w:t>
            </w:r>
            <w:r>
              <w:rPr>
                <w:rFonts w:hint="default" w:ascii="Times New Roman" w:hAnsi="Times New Roman" w:eastAsia="黑体" w:cs="Times New Roman"/>
                <w:color w:val="auto"/>
                <w:sz w:val="24"/>
                <w:szCs w:val="24"/>
              </w:rPr>
              <w:t>-</w:t>
            </w:r>
            <w:r>
              <w:rPr>
                <w:rFonts w:hint="eastAsia" w:ascii="Times New Roman" w:hAnsi="Times New Roman" w:eastAsia="黑体" w:cs="Times New Roman"/>
                <w:color w:val="auto"/>
                <w:sz w:val="24"/>
                <w:szCs w:val="24"/>
                <w:lang w:val="en-US" w:eastAsia="zh-CN"/>
              </w:rPr>
              <w:t>3</w:t>
            </w:r>
            <w:r>
              <w:rPr>
                <w:rFonts w:hint="default" w:ascii="Times New Roman" w:hAnsi="Times New Roman" w:eastAsia="黑体" w:cs="Times New Roman"/>
                <w:color w:val="auto"/>
                <w:sz w:val="24"/>
                <w:szCs w:val="24"/>
              </w:rPr>
              <w:t xml:space="preserve"> 项目</w:t>
            </w:r>
            <w:r>
              <w:rPr>
                <w:rFonts w:hint="eastAsia" w:ascii="Times New Roman" w:hAnsi="Times New Roman" w:eastAsia="黑体" w:cs="Times New Roman"/>
                <w:color w:val="auto"/>
                <w:sz w:val="24"/>
                <w:szCs w:val="24"/>
                <w:lang w:eastAsia="zh-CN"/>
              </w:rPr>
              <w:t>废旧变压器拆解</w:t>
            </w:r>
            <w:r>
              <w:rPr>
                <w:rFonts w:hint="default" w:ascii="Times New Roman" w:hAnsi="Times New Roman" w:eastAsia="黑体" w:cs="Times New Roman"/>
                <w:color w:val="auto"/>
                <w:sz w:val="24"/>
                <w:szCs w:val="24"/>
              </w:rPr>
              <w:t>工艺流程及产污环节示意图</w:t>
            </w:r>
          </w:p>
          <w:p w14:paraId="299D4D4A">
            <w:pPr>
              <w:rPr>
                <w:rFonts w:hint="default" w:ascii="Times New Roman" w:hAnsi="Times New Roman"/>
                <w:color w:val="auto"/>
              </w:rPr>
            </w:pPr>
          </w:p>
          <w:p w14:paraId="6DE4D819">
            <w:pPr>
              <w:spacing w:line="360" w:lineRule="auto"/>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废</w:t>
            </w:r>
            <w:r>
              <w:rPr>
                <w:rFonts w:hint="eastAsia" w:ascii="Times New Roman" w:hAnsi="Times New Roman" w:eastAsia="宋体" w:cs="Times New Roman"/>
                <w:b/>
                <w:bCs/>
                <w:color w:val="auto"/>
                <w:sz w:val="24"/>
                <w:szCs w:val="24"/>
                <w:highlight w:val="none"/>
                <w:lang w:val="en-US" w:eastAsia="zh-CN"/>
              </w:rPr>
              <w:t>变压器拆解工艺流程简介：</w:t>
            </w:r>
          </w:p>
          <w:p w14:paraId="1CD8071F">
            <w:pPr>
              <w:widowControl/>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废变压器：废变压器分为放油、手工拆解</w:t>
            </w:r>
            <w:r>
              <w:rPr>
                <w:rFonts w:hint="eastAsia" w:ascii="Times New Roman" w:hAnsi="Times New Roman" w:eastAsia="宋体" w:cs="Times New Roman"/>
                <w:color w:val="auto"/>
                <w:sz w:val="24"/>
                <w:szCs w:val="24"/>
                <w:highlight w:val="none"/>
                <w:lang w:val="en-US" w:eastAsia="zh-CN"/>
              </w:rPr>
              <w:t>及切割</w:t>
            </w:r>
            <w:r>
              <w:rPr>
                <w:rFonts w:hint="default" w:ascii="Times New Roman" w:hAnsi="Times New Roman" w:eastAsia="宋体" w:cs="Times New Roman"/>
                <w:color w:val="auto"/>
                <w:sz w:val="24"/>
                <w:szCs w:val="24"/>
                <w:highlight w:val="none"/>
              </w:rPr>
              <w:t>两部分。</w:t>
            </w:r>
          </w:p>
          <w:p w14:paraId="45B75F57">
            <w:pPr>
              <w:widowControl/>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①放油：采用行车将废变压器吊起，操作工采用电动扳手将变压器外壳拧开，将外壳与芯子分离，</w:t>
            </w:r>
            <w:r>
              <w:rPr>
                <w:rFonts w:hint="eastAsia" w:ascii="Times New Roman" w:hAnsi="Times New Roman" w:eastAsia="宋体" w:cs="Times New Roman"/>
                <w:color w:val="auto"/>
                <w:sz w:val="24"/>
                <w:szCs w:val="24"/>
                <w:highlight w:val="none"/>
                <w:lang w:eastAsia="zh-CN"/>
              </w:rPr>
              <w:t>用</w:t>
            </w:r>
            <w:r>
              <w:rPr>
                <w:rFonts w:hint="default" w:ascii="Times New Roman" w:hAnsi="Times New Roman" w:eastAsia="宋体" w:cs="Times New Roman"/>
                <w:color w:val="auto"/>
                <w:sz w:val="24"/>
                <w:szCs w:val="24"/>
                <w:highlight w:val="none"/>
              </w:rPr>
              <w:t>气动抽油机设备</w:t>
            </w:r>
            <w:r>
              <w:rPr>
                <w:rFonts w:hint="eastAsia" w:ascii="Times New Roman" w:hAnsi="Times New Roman" w:eastAsia="宋体" w:cs="Times New Roman"/>
                <w:color w:val="auto"/>
                <w:sz w:val="24"/>
                <w:szCs w:val="24"/>
                <w:highlight w:val="none"/>
              </w:rPr>
              <w:t>将变压器中的废</w:t>
            </w:r>
            <w:r>
              <w:rPr>
                <w:rFonts w:hint="eastAsia" w:ascii="Times New Roman" w:hAnsi="Times New Roman" w:eastAsia="宋体" w:cs="Times New Roman"/>
                <w:color w:val="auto"/>
                <w:sz w:val="24"/>
                <w:szCs w:val="24"/>
                <w:highlight w:val="none"/>
                <w:lang w:eastAsia="zh-CN"/>
              </w:rPr>
              <w:t>变压器</w:t>
            </w:r>
            <w:r>
              <w:rPr>
                <w:rFonts w:hint="eastAsia" w:ascii="Times New Roman" w:hAnsi="Times New Roman" w:eastAsia="宋体" w:cs="Times New Roman"/>
                <w:color w:val="auto"/>
                <w:sz w:val="24"/>
                <w:szCs w:val="24"/>
                <w:highlight w:val="none"/>
              </w:rPr>
              <w:t>油收集</w:t>
            </w:r>
            <w:r>
              <w:rPr>
                <w:rFonts w:hint="eastAsia" w:ascii="Times New Roman" w:hAnsi="Times New Roman" w:eastAsia="宋体" w:cs="Times New Roman"/>
                <w:color w:val="auto"/>
                <w:sz w:val="24"/>
                <w:szCs w:val="24"/>
                <w:highlight w:val="none"/>
                <w:lang w:eastAsia="zh-CN"/>
              </w:rPr>
              <w:t>至</w:t>
            </w:r>
            <w:r>
              <w:rPr>
                <w:rFonts w:hint="eastAsia" w:ascii="Times New Roman" w:hAnsi="Times New Roman" w:eastAsia="宋体" w:cs="Times New Roman"/>
                <w:color w:val="auto"/>
                <w:sz w:val="24"/>
                <w:szCs w:val="24"/>
                <w:highlight w:val="none"/>
                <w:lang w:val="en-US" w:eastAsia="zh-CN"/>
              </w:rPr>
              <w:t>专用的</w:t>
            </w:r>
            <w:r>
              <w:rPr>
                <w:rFonts w:hint="default" w:ascii="Times New Roman" w:hAnsi="Times New Roman" w:eastAsia="宋体" w:cs="Times New Roman"/>
                <w:color w:val="auto"/>
                <w:sz w:val="24"/>
                <w:szCs w:val="24"/>
                <w:highlight w:val="none"/>
              </w:rPr>
              <w:t>接液容器</w:t>
            </w:r>
            <w:r>
              <w:rPr>
                <w:rFonts w:hint="eastAsia" w:ascii="Times New Roman" w:hAnsi="Times New Roman" w:eastAsia="宋体" w:cs="Times New Roman"/>
                <w:color w:val="auto"/>
                <w:sz w:val="24"/>
                <w:szCs w:val="24"/>
                <w:highlight w:val="none"/>
                <w:lang w:eastAsia="zh-CN"/>
              </w:rPr>
              <w:t>后暂存于危险废物暂存间内，定期委托有资质单位统一处置。</w:t>
            </w:r>
          </w:p>
          <w:p w14:paraId="08E174F9">
            <w:pPr>
              <w:widowControl/>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eastAsia" w:ascii="Times New Roman" w:hAnsi="Times New Roman" w:eastAsia="宋体" w:cs="Times New Roman"/>
                <w:color w:val="auto"/>
                <w:sz w:val="24"/>
                <w:szCs w:val="24"/>
                <w:highlight w:val="none"/>
                <w:lang w:eastAsia="zh-CN"/>
              </w:rPr>
              <w:t>手工拆解：</w:t>
            </w:r>
            <w:r>
              <w:rPr>
                <w:rFonts w:hint="default" w:ascii="Times New Roman" w:hAnsi="Times New Roman" w:eastAsia="宋体" w:cs="Times New Roman"/>
                <w:color w:val="auto"/>
                <w:sz w:val="24"/>
                <w:szCs w:val="24"/>
                <w:highlight w:val="none"/>
              </w:rPr>
              <w:t>操作工采用扳手及</w:t>
            </w:r>
            <w:r>
              <w:rPr>
                <w:rFonts w:hint="eastAsia" w:ascii="Times New Roman" w:hAnsi="Times New Roman" w:eastAsia="宋体" w:cs="Times New Roman"/>
                <w:color w:val="auto"/>
                <w:sz w:val="24"/>
                <w:szCs w:val="24"/>
                <w:highlight w:val="none"/>
                <w:lang w:eastAsia="zh-CN"/>
              </w:rPr>
              <w:t>等离子切割机等</w:t>
            </w:r>
            <w:r>
              <w:rPr>
                <w:rFonts w:hint="default" w:ascii="Times New Roman" w:hAnsi="Times New Roman" w:eastAsia="宋体" w:cs="Times New Roman"/>
                <w:color w:val="auto"/>
                <w:sz w:val="24"/>
                <w:szCs w:val="24"/>
                <w:highlight w:val="none"/>
              </w:rPr>
              <w:t>对外壳上及芯子进行手工拆解</w:t>
            </w:r>
            <w:r>
              <w:rPr>
                <w:rFonts w:hint="eastAsia" w:ascii="Times New Roman" w:hAnsi="Times New Roman" w:eastAsia="宋体" w:cs="Times New Roman"/>
                <w:color w:val="auto"/>
                <w:sz w:val="24"/>
                <w:szCs w:val="24"/>
                <w:highlight w:val="none"/>
                <w:lang w:eastAsia="zh-CN"/>
              </w:rPr>
              <w:t>和切割，</w:t>
            </w:r>
            <w:r>
              <w:rPr>
                <w:rFonts w:hint="eastAsia" w:ascii="Times New Roman" w:hAnsi="Times New Roman" w:eastAsia="宋体" w:cs="Times New Roman"/>
                <w:color w:val="auto"/>
                <w:sz w:val="24"/>
                <w:szCs w:val="24"/>
                <w:highlight w:val="none"/>
                <w:lang w:val="en-US" w:eastAsia="zh-CN"/>
              </w:rPr>
              <w:t>根据变压器的结构组成</w:t>
            </w:r>
            <w:r>
              <w:rPr>
                <w:rFonts w:hint="eastAsia" w:ascii="Times New Roman" w:hAnsi="Times New Roman" w:eastAsia="宋体" w:cs="Times New Roman"/>
                <w:color w:val="auto"/>
                <w:sz w:val="24"/>
                <w:szCs w:val="24"/>
                <w:highlight w:val="none"/>
              </w:rPr>
              <w:t>将废旧变压器</w:t>
            </w:r>
            <w:r>
              <w:rPr>
                <w:rFonts w:hint="default" w:ascii="Times New Roman" w:hAnsi="Times New Roman" w:eastAsia="宋体" w:cs="Times New Roman"/>
                <w:color w:val="auto"/>
                <w:sz w:val="24"/>
                <w:szCs w:val="24"/>
                <w:highlight w:val="none"/>
              </w:rPr>
              <w:t>拆解</w:t>
            </w:r>
            <w:r>
              <w:rPr>
                <w:rFonts w:hint="eastAsia" w:ascii="Times New Roman" w:hAnsi="Times New Roman" w:eastAsia="宋体" w:cs="Times New Roman"/>
                <w:color w:val="auto"/>
                <w:sz w:val="24"/>
                <w:szCs w:val="24"/>
                <w:highlight w:val="none"/>
                <w:lang w:val="en-US" w:eastAsia="zh-CN"/>
              </w:rPr>
              <w:t>成绝缘材料（绝缘纸板、电缆纸、胶纸制品、电瓷制品等）、铁壳、钢片、</w:t>
            </w:r>
            <w:r>
              <w:rPr>
                <w:rFonts w:hint="eastAsia" w:ascii="Times New Roman" w:hAnsi="Times New Roman" w:eastAsia="宋体" w:cs="Times New Roman"/>
                <w:color w:val="auto"/>
                <w:sz w:val="24"/>
                <w:szCs w:val="24"/>
                <w:highlight w:val="none"/>
              </w:rPr>
              <w:t>铜线、</w:t>
            </w:r>
            <w:r>
              <w:rPr>
                <w:rFonts w:hint="eastAsia" w:ascii="Times New Roman" w:hAnsi="Times New Roman" w:eastAsia="宋体" w:cs="Times New Roman"/>
                <w:color w:val="auto"/>
                <w:sz w:val="24"/>
                <w:szCs w:val="24"/>
                <w:highlight w:val="none"/>
                <w:lang w:val="en-US" w:eastAsia="zh-CN"/>
              </w:rPr>
              <w:t>仪表</w:t>
            </w:r>
            <w:r>
              <w:rPr>
                <w:rFonts w:hint="eastAsia" w:ascii="Times New Roman" w:hAnsi="Times New Roman" w:eastAsia="宋体" w:cs="Times New Roman"/>
                <w:color w:val="auto"/>
                <w:sz w:val="24"/>
                <w:szCs w:val="24"/>
                <w:highlight w:val="none"/>
              </w:rPr>
              <w:t>等</w:t>
            </w:r>
            <w:r>
              <w:rPr>
                <w:rFonts w:hint="default" w:ascii="Times New Roman" w:hAnsi="Times New Roman" w:eastAsia="宋体" w:cs="Times New Roman"/>
                <w:color w:val="auto"/>
                <w:sz w:val="24"/>
                <w:szCs w:val="24"/>
                <w:highlight w:val="none"/>
              </w:rPr>
              <w:t>。</w:t>
            </w:r>
          </w:p>
          <w:p w14:paraId="37FCF56D">
            <w:pPr>
              <w:widowControl/>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③对拆解后含油部件采用抹布进行清洁，不采用水冲洗方式清洁。</w:t>
            </w:r>
          </w:p>
          <w:p w14:paraId="60D1FA0E">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2.3.2 产污环节分析</w:t>
            </w:r>
          </w:p>
          <w:p w14:paraId="61D11B0C">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项目产污环节、污染物项目、排放形式及污染防治设施详见下表</w:t>
            </w:r>
            <w:r>
              <w:rPr>
                <w:rFonts w:hint="default" w:ascii="Times New Roman" w:hAnsi="Times New Roman" w:eastAsia="宋体" w:cs="Times New Roman"/>
                <w:color w:val="auto"/>
                <w:sz w:val="24"/>
                <w:szCs w:val="24"/>
                <w:highlight w:val="none"/>
                <w:lang w:val="en-US" w:eastAsia="zh-CN"/>
              </w:rPr>
              <w:t>2.3-1。</w:t>
            </w:r>
          </w:p>
          <w:p w14:paraId="0348881D">
            <w:pPr>
              <w:pStyle w:val="17"/>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黑体" w:cs="Times New Roman"/>
                <w:color w:val="auto"/>
                <w:spacing w:val="6"/>
                <w:highlight w:val="none"/>
              </w:rPr>
            </w:pPr>
            <w:r>
              <w:rPr>
                <w:rFonts w:hint="default" w:ascii="Times New Roman" w:hAnsi="Times New Roman" w:eastAsia="黑体" w:cs="Times New Roman"/>
                <w:color w:val="auto"/>
                <w:spacing w:val="6"/>
                <w:highlight w:val="none"/>
              </w:rPr>
              <w:t>表</w:t>
            </w:r>
            <w:r>
              <w:rPr>
                <w:rFonts w:hint="default" w:ascii="Times New Roman" w:hAnsi="Times New Roman" w:eastAsia="黑体" w:cs="Times New Roman"/>
                <w:color w:val="auto"/>
                <w:spacing w:val="6"/>
                <w:highlight w:val="none"/>
                <w:lang w:val="en-US" w:eastAsia="zh-CN"/>
              </w:rPr>
              <w:t>2.3-1</w:t>
            </w:r>
            <w:r>
              <w:rPr>
                <w:rFonts w:hint="default" w:ascii="Times New Roman" w:hAnsi="Times New Roman" w:eastAsia="黑体" w:cs="Times New Roman"/>
                <w:color w:val="auto"/>
                <w:spacing w:val="6"/>
                <w:highlight w:val="none"/>
              </w:rPr>
              <w:t xml:space="preserve"> </w:t>
            </w:r>
            <w:r>
              <w:rPr>
                <w:rFonts w:hint="default" w:ascii="Times New Roman" w:hAnsi="Times New Roman" w:eastAsia="黑体" w:cs="Times New Roman"/>
                <w:color w:val="auto"/>
                <w:spacing w:val="6"/>
                <w:highlight w:val="none"/>
                <w:lang w:eastAsia="zh-CN"/>
              </w:rPr>
              <w:t>项目</w:t>
            </w:r>
            <w:r>
              <w:rPr>
                <w:rFonts w:hint="default" w:ascii="Times New Roman" w:hAnsi="Times New Roman" w:eastAsia="黑体" w:cs="Times New Roman"/>
                <w:color w:val="auto"/>
                <w:spacing w:val="6"/>
                <w:highlight w:val="none"/>
              </w:rPr>
              <w:t>产污</w:t>
            </w:r>
            <w:r>
              <w:rPr>
                <w:rFonts w:hint="eastAsia" w:ascii="Times New Roman" w:hAnsi="Times New Roman" w:eastAsia="黑体" w:cs="Times New Roman"/>
                <w:color w:val="auto"/>
                <w:spacing w:val="6"/>
                <w:highlight w:val="none"/>
                <w:lang w:eastAsia="zh-CN"/>
              </w:rPr>
              <w:t>环节说明</w:t>
            </w:r>
            <w:r>
              <w:rPr>
                <w:rFonts w:hint="default" w:ascii="Times New Roman" w:hAnsi="Times New Roman" w:eastAsia="黑体" w:cs="Times New Roman"/>
                <w:color w:val="auto"/>
                <w:spacing w:val="6"/>
                <w:highlight w:val="none"/>
              </w:rPr>
              <w:t>一览表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646"/>
              <w:gridCol w:w="677"/>
              <w:gridCol w:w="159"/>
              <w:gridCol w:w="1124"/>
              <w:gridCol w:w="1496"/>
              <w:gridCol w:w="3233"/>
            </w:tblGrid>
            <w:tr w14:paraId="56A52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noWrap w:val="0"/>
                  <w:vAlign w:val="center"/>
                </w:tcPr>
                <w:p w14:paraId="1A32E9AD">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序号</w:t>
                  </w:r>
                </w:p>
              </w:tc>
              <w:tc>
                <w:tcPr>
                  <w:tcW w:w="402" w:type="pct"/>
                  <w:noWrap w:val="0"/>
                  <w:vAlign w:val="center"/>
                </w:tcPr>
                <w:p w14:paraId="3B61D0A9">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类别</w:t>
                  </w:r>
                </w:p>
              </w:tc>
              <w:tc>
                <w:tcPr>
                  <w:tcW w:w="1221" w:type="pct"/>
                  <w:gridSpan w:val="3"/>
                  <w:tcBorders>
                    <w:left w:val="single" w:color="000000" w:sz="4" w:space="0"/>
                    <w:right w:val="single" w:color="000000" w:sz="4" w:space="0"/>
                  </w:tcBorders>
                  <w:noWrap w:val="0"/>
                  <w:vAlign w:val="center"/>
                </w:tcPr>
                <w:p w14:paraId="4689CFF4">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污染源或污染工序</w:t>
                  </w:r>
                </w:p>
              </w:tc>
              <w:tc>
                <w:tcPr>
                  <w:tcW w:w="932" w:type="pct"/>
                  <w:tcBorders>
                    <w:left w:val="single" w:color="000000" w:sz="4" w:space="0"/>
                    <w:right w:val="single" w:color="000000" w:sz="4" w:space="0"/>
                  </w:tcBorders>
                  <w:noWrap w:val="0"/>
                  <w:vAlign w:val="center"/>
                </w:tcPr>
                <w:p w14:paraId="4BB7AC53">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主要污染物</w:t>
                  </w:r>
                </w:p>
              </w:tc>
              <w:tc>
                <w:tcPr>
                  <w:tcW w:w="2014" w:type="pct"/>
                  <w:tcBorders>
                    <w:left w:val="single" w:color="000000" w:sz="4" w:space="0"/>
                  </w:tcBorders>
                  <w:noWrap w:val="0"/>
                  <w:vAlign w:val="center"/>
                </w:tcPr>
                <w:p w14:paraId="28452439">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eastAsia="zh-CN"/>
                    </w:rPr>
                    <w:t>环保措施</w:t>
                  </w:r>
                </w:p>
              </w:tc>
            </w:tr>
            <w:tr w14:paraId="7CB85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restart"/>
                  <w:noWrap w:val="0"/>
                  <w:vAlign w:val="center"/>
                </w:tcPr>
                <w:p w14:paraId="587E11E0">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1</w:t>
                  </w:r>
                </w:p>
              </w:tc>
              <w:tc>
                <w:tcPr>
                  <w:tcW w:w="402" w:type="pct"/>
                  <w:vMerge w:val="restart"/>
                  <w:noWrap w:val="0"/>
                  <w:vAlign w:val="center"/>
                </w:tcPr>
                <w:p w14:paraId="240E4A25">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废水</w:t>
                  </w:r>
                </w:p>
              </w:tc>
              <w:tc>
                <w:tcPr>
                  <w:tcW w:w="421" w:type="pct"/>
                  <w:tcBorders>
                    <w:left w:val="single" w:color="000000" w:sz="4" w:space="0"/>
                    <w:right w:val="single" w:color="000000" w:sz="4" w:space="0"/>
                  </w:tcBorders>
                  <w:noWrap w:val="0"/>
                  <w:vAlign w:val="center"/>
                </w:tcPr>
                <w:p w14:paraId="0A612ED4">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职工</w:t>
                  </w:r>
                  <w:r>
                    <w:rPr>
                      <w:rFonts w:hint="eastAsia" w:ascii="Times New Roman" w:hAnsi="Times New Roman" w:eastAsia="宋体" w:cs="Times New Roman"/>
                      <w:color w:val="auto"/>
                      <w:kern w:val="0"/>
                      <w:sz w:val="21"/>
                      <w:szCs w:val="21"/>
                      <w:highlight w:val="none"/>
                      <w:lang w:eastAsia="zh-CN"/>
                    </w:rPr>
                    <w:t>生活</w:t>
                  </w:r>
                </w:p>
              </w:tc>
              <w:tc>
                <w:tcPr>
                  <w:tcW w:w="799" w:type="pct"/>
                  <w:gridSpan w:val="2"/>
                  <w:tcBorders>
                    <w:left w:val="single" w:color="000000" w:sz="4" w:space="0"/>
                    <w:right w:val="single" w:color="000000" w:sz="4" w:space="0"/>
                  </w:tcBorders>
                  <w:noWrap w:val="0"/>
                  <w:vAlign w:val="center"/>
                </w:tcPr>
                <w:p w14:paraId="0673AC1E">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职工生活污水</w:t>
                  </w:r>
                </w:p>
              </w:tc>
              <w:tc>
                <w:tcPr>
                  <w:tcW w:w="932" w:type="pct"/>
                  <w:tcBorders>
                    <w:left w:val="single" w:color="000000" w:sz="4" w:space="0"/>
                    <w:right w:val="single" w:color="000000" w:sz="4" w:space="0"/>
                  </w:tcBorders>
                  <w:noWrap w:val="0"/>
                  <w:vAlign w:val="center"/>
                </w:tcPr>
                <w:p w14:paraId="0CD0DE2F">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COD、SS</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、氨氮等</w:t>
                  </w:r>
                </w:p>
              </w:tc>
              <w:tc>
                <w:tcPr>
                  <w:tcW w:w="2014" w:type="pct"/>
                  <w:tcBorders>
                    <w:left w:val="single" w:color="000000" w:sz="4" w:space="0"/>
                  </w:tcBorders>
                  <w:noWrap w:val="0"/>
                  <w:vAlign w:val="center"/>
                </w:tcPr>
                <w:p w14:paraId="714C6544">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依托厂区内已建化粪池预处理后，排入市政污水管网，</w:t>
                  </w:r>
                  <w:r>
                    <w:rPr>
                      <w:rFonts w:hint="eastAsia" w:ascii="Times New Roman" w:hAnsi="Times New Roman" w:eastAsia="宋体" w:cs="Times New Roman"/>
                      <w:color w:val="auto"/>
                      <w:szCs w:val="21"/>
                      <w:lang w:val="en-US" w:eastAsia="zh-CN"/>
                    </w:rPr>
                    <w:t>送往松下镇山前村污水处理站集中处理</w:t>
                  </w:r>
                </w:p>
              </w:tc>
            </w:tr>
            <w:tr w14:paraId="69A3E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781E9308">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0A64B1CF">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10132E22">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作业区露天区域</w:t>
                  </w:r>
                  <w:r>
                    <w:rPr>
                      <w:rFonts w:hint="eastAsia" w:ascii="Times New Roman" w:hAnsi="Times New Roman" w:eastAsia="宋体" w:cs="Times New Roman"/>
                      <w:color w:val="auto"/>
                      <w:kern w:val="0"/>
                      <w:sz w:val="21"/>
                      <w:szCs w:val="21"/>
                      <w:highlight w:val="none"/>
                      <w:lang w:eastAsia="zh-CN"/>
                    </w:rPr>
                    <w:t>初期雨水</w:t>
                  </w:r>
                </w:p>
              </w:tc>
              <w:tc>
                <w:tcPr>
                  <w:tcW w:w="932" w:type="pct"/>
                  <w:tcBorders>
                    <w:left w:val="single" w:color="000000" w:sz="4" w:space="0"/>
                    <w:right w:val="single" w:color="000000" w:sz="4" w:space="0"/>
                  </w:tcBorders>
                  <w:noWrap w:val="0"/>
                  <w:vAlign w:val="center"/>
                </w:tcPr>
                <w:p w14:paraId="2A52CA23">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pH、COD、NH</w:t>
                  </w:r>
                  <w:r>
                    <w:rPr>
                      <w:rFonts w:hint="default" w:ascii="Times New Roman" w:hAnsi="Times New Roman" w:eastAsia="宋体" w:cs="Times New Roman"/>
                      <w:color w:val="auto"/>
                      <w:kern w:val="0"/>
                      <w:sz w:val="21"/>
                      <w:szCs w:val="21"/>
                      <w:highlight w:val="none"/>
                      <w:vertAlign w:val="subscript"/>
                      <w:lang w:val="en-US" w:eastAsia="zh-CN"/>
                    </w:rPr>
                    <w:t>3-</w:t>
                  </w:r>
                  <w:r>
                    <w:rPr>
                      <w:rFonts w:hint="default" w:ascii="Times New Roman" w:hAnsi="Times New Roman" w:eastAsia="宋体" w:cs="Times New Roman"/>
                      <w:color w:val="auto"/>
                      <w:kern w:val="0"/>
                      <w:sz w:val="21"/>
                      <w:szCs w:val="21"/>
                      <w:highlight w:val="none"/>
                      <w:lang w:val="en-US" w:eastAsia="zh-CN"/>
                    </w:rPr>
                    <w:t>N、SS、石油类</w:t>
                  </w:r>
                </w:p>
              </w:tc>
              <w:tc>
                <w:tcPr>
                  <w:tcW w:w="2014" w:type="pct"/>
                  <w:tcBorders>
                    <w:left w:val="single" w:color="000000" w:sz="4" w:space="0"/>
                  </w:tcBorders>
                  <w:noWrap w:val="0"/>
                  <w:vAlign w:val="center"/>
                </w:tcPr>
                <w:p w14:paraId="6F54DB74">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作业区四周依据地势设置导流沟槽，连通收集池并设置阀门控制，初期雨水暂存于收集池，送入废水处理设施（油水分离+混凝沉淀+过滤）处理后，回用于场地洒水清扫、停车区冲洗，不外排。</w:t>
                  </w:r>
                </w:p>
              </w:tc>
            </w:tr>
            <w:tr w14:paraId="1183E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17A35B70">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37890D96">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7593097D">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清洁废水</w:t>
                  </w:r>
                </w:p>
              </w:tc>
              <w:tc>
                <w:tcPr>
                  <w:tcW w:w="932" w:type="pct"/>
                  <w:tcBorders>
                    <w:left w:val="single" w:color="000000" w:sz="4" w:space="0"/>
                    <w:right w:val="single" w:color="000000" w:sz="4" w:space="0"/>
                  </w:tcBorders>
                  <w:noWrap w:val="0"/>
                  <w:vAlign w:val="center"/>
                </w:tcPr>
                <w:p w14:paraId="51162345">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pH、COD、NH</w:t>
                  </w:r>
                  <w:r>
                    <w:rPr>
                      <w:rFonts w:hint="default" w:ascii="Times New Roman" w:hAnsi="Times New Roman" w:eastAsia="宋体" w:cs="Times New Roman"/>
                      <w:color w:val="auto"/>
                      <w:kern w:val="0"/>
                      <w:sz w:val="21"/>
                      <w:szCs w:val="21"/>
                      <w:highlight w:val="none"/>
                      <w:vertAlign w:val="subscript"/>
                      <w:lang w:val="en-US" w:eastAsia="zh-CN"/>
                    </w:rPr>
                    <w:t>3-</w:t>
                  </w:r>
                  <w:r>
                    <w:rPr>
                      <w:rFonts w:hint="default" w:ascii="Times New Roman" w:hAnsi="Times New Roman" w:eastAsia="宋体" w:cs="Times New Roman"/>
                      <w:color w:val="auto"/>
                      <w:kern w:val="0"/>
                      <w:sz w:val="21"/>
                      <w:szCs w:val="21"/>
                      <w:highlight w:val="none"/>
                      <w:lang w:val="en-US" w:eastAsia="zh-CN"/>
                    </w:rPr>
                    <w:t>N、SS、石油类</w:t>
                  </w:r>
                  <w:r>
                    <w:rPr>
                      <w:rFonts w:hint="eastAsia" w:ascii="Times New Roman" w:hAnsi="Times New Roman" w:eastAsia="宋体" w:cs="Times New Roman"/>
                      <w:color w:val="auto"/>
                      <w:kern w:val="0"/>
                      <w:sz w:val="21"/>
                      <w:szCs w:val="21"/>
                      <w:highlight w:val="none"/>
                      <w:lang w:val="en-US" w:eastAsia="zh-CN"/>
                    </w:rPr>
                    <w:t>、LAS</w:t>
                  </w:r>
                </w:p>
              </w:tc>
              <w:tc>
                <w:tcPr>
                  <w:tcW w:w="2014" w:type="pct"/>
                  <w:tcBorders>
                    <w:left w:val="single" w:color="000000" w:sz="4" w:space="0"/>
                  </w:tcBorders>
                  <w:noWrap w:val="0"/>
                  <w:vAlign w:val="center"/>
                </w:tcPr>
                <w:p w14:paraId="7392F42F">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经各车间清洗池管道、停车区四周导流沟槽收集后暂存于收集池，送入废水处理设施（油水分离+混凝沉淀+过滤）设施处理后，回用于场地洒水清扫、停车区冲洗，不外排。</w:t>
                  </w:r>
                </w:p>
              </w:tc>
            </w:tr>
            <w:tr w14:paraId="4359D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9" w:type="pct"/>
                  <w:vMerge w:val="restart"/>
                  <w:noWrap w:val="0"/>
                  <w:vAlign w:val="center"/>
                </w:tcPr>
                <w:p w14:paraId="40228BA7">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402" w:type="pct"/>
                  <w:vMerge w:val="restart"/>
                  <w:noWrap w:val="0"/>
                  <w:vAlign w:val="center"/>
                </w:tcPr>
                <w:p w14:paraId="7DFBBE16">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废气</w:t>
                  </w:r>
                </w:p>
              </w:tc>
              <w:tc>
                <w:tcPr>
                  <w:tcW w:w="520" w:type="pct"/>
                  <w:gridSpan w:val="2"/>
                  <w:tcBorders>
                    <w:left w:val="single" w:color="000000" w:sz="4" w:space="0"/>
                    <w:right w:val="single" w:color="000000" w:sz="4" w:space="0"/>
                  </w:tcBorders>
                  <w:noWrap w:val="0"/>
                  <w:vAlign w:val="center"/>
                </w:tcPr>
                <w:p w14:paraId="439574F6">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废机动车废油液抽取</w:t>
                  </w:r>
                </w:p>
              </w:tc>
              <w:tc>
                <w:tcPr>
                  <w:tcW w:w="700" w:type="pct"/>
                  <w:vMerge w:val="restart"/>
                  <w:tcBorders>
                    <w:left w:val="single" w:color="000000" w:sz="4" w:space="0"/>
                    <w:right w:val="single" w:color="000000" w:sz="4" w:space="0"/>
                  </w:tcBorders>
                  <w:noWrap w:val="0"/>
                  <w:vAlign w:val="center"/>
                </w:tcPr>
                <w:p w14:paraId="59A5531F">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G1、G2</w:t>
                  </w:r>
                </w:p>
                <w:p w14:paraId="47735B17">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预处理废液抽取废气</w:t>
                  </w:r>
                </w:p>
              </w:tc>
              <w:tc>
                <w:tcPr>
                  <w:tcW w:w="932" w:type="pct"/>
                  <w:vMerge w:val="restart"/>
                  <w:tcBorders>
                    <w:left w:val="single" w:color="000000" w:sz="4" w:space="0"/>
                    <w:right w:val="single" w:color="000000" w:sz="4" w:space="0"/>
                  </w:tcBorders>
                  <w:noWrap w:val="0"/>
                  <w:vAlign w:val="center"/>
                </w:tcPr>
                <w:p w14:paraId="5FA3C664">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非甲烷总烃</w:t>
                  </w:r>
                </w:p>
              </w:tc>
              <w:tc>
                <w:tcPr>
                  <w:tcW w:w="2014" w:type="pct"/>
                  <w:vMerge w:val="restart"/>
                  <w:tcBorders>
                    <w:left w:val="single" w:color="000000" w:sz="4" w:space="0"/>
                  </w:tcBorders>
                  <w:noWrap w:val="0"/>
                  <w:vAlign w:val="center"/>
                </w:tcPr>
                <w:p w14:paraId="1372DD53">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cs="Times New Roman"/>
                      <w:b w:val="0"/>
                      <w:bCs/>
                      <w:color w:val="auto"/>
                      <w:sz w:val="21"/>
                      <w:szCs w:val="21"/>
                      <w:lang w:val="en-US" w:eastAsia="zh-CN"/>
                    </w:rPr>
                    <w:t>采用专门抽取装置抽取排空，抽取后废液通过管道送至密闭废液收集容器分类储存，作业区封闭（仅留物料进出口），在收集工位配套顶吸罩收集，收集的废气引至1套“过滤棉+双级活性炭吸附装置”处理，尾气通过1根15m高排气筒DA001排放。</w:t>
                  </w:r>
                </w:p>
              </w:tc>
            </w:tr>
            <w:tr w14:paraId="4F660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429" w:type="pct"/>
                  <w:vMerge w:val="continue"/>
                  <w:noWrap w:val="0"/>
                  <w:vAlign w:val="center"/>
                </w:tcPr>
                <w:p w14:paraId="5419DBD3">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ascii="Times New Roman" w:hAnsi="Times New Roman"/>
                      <w:color w:val="auto"/>
                    </w:rPr>
                  </w:pPr>
                </w:p>
              </w:tc>
              <w:tc>
                <w:tcPr>
                  <w:tcW w:w="402" w:type="pct"/>
                  <w:vMerge w:val="continue"/>
                  <w:noWrap w:val="0"/>
                  <w:vAlign w:val="center"/>
                </w:tcPr>
                <w:p w14:paraId="5180503B">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ascii="Times New Roman" w:hAnsi="Times New Roman"/>
                      <w:color w:val="auto"/>
                    </w:rPr>
                  </w:pPr>
                </w:p>
              </w:tc>
              <w:tc>
                <w:tcPr>
                  <w:tcW w:w="520" w:type="pct"/>
                  <w:gridSpan w:val="2"/>
                  <w:tcBorders>
                    <w:left w:val="single" w:color="000000" w:sz="4" w:space="0"/>
                    <w:right w:val="single" w:color="000000" w:sz="4" w:space="0"/>
                  </w:tcBorders>
                  <w:noWrap w:val="0"/>
                  <w:vAlign w:val="center"/>
                </w:tcPr>
                <w:p w14:paraId="5DD58176">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废机动车废制冷剂抽取</w:t>
                  </w:r>
                </w:p>
              </w:tc>
              <w:tc>
                <w:tcPr>
                  <w:tcW w:w="700" w:type="pct"/>
                  <w:vMerge w:val="continue"/>
                  <w:tcBorders>
                    <w:left w:val="single" w:color="000000" w:sz="4" w:space="0"/>
                    <w:right w:val="single" w:color="000000" w:sz="4" w:space="0"/>
                  </w:tcBorders>
                  <w:noWrap w:val="0"/>
                  <w:vAlign w:val="center"/>
                </w:tcPr>
                <w:p w14:paraId="29EC1981">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lang w:val="en-US" w:eastAsia="zh-CN" w:bidi="ar"/>
                    </w:rPr>
                  </w:pPr>
                </w:p>
              </w:tc>
              <w:tc>
                <w:tcPr>
                  <w:tcW w:w="932" w:type="pct"/>
                  <w:vMerge w:val="continue"/>
                  <w:tcBorders>
                    <w:left w:val="single" w:color="000000" w:sz="4" w:space="0"/>
                    <w:right w:val="single" w:color="000000" w:sz="4" w:space="0"/>
                  </w:tcBorders>
                  <w:noWrap w:val="0"/>
                  <w:vAlign w:val="center"/>
                </w:tcPr>
                <w:p w14:paraId="03B4059D">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lang w:val="en-US" w:eastAsia="zh-CN" w:bidi="ar"/>
                    </w:rPr>
                  </w:pPr>
                </w:p>
              </w:tc>
              <w:tc>
                <w:tcPr>
                  <w:tcW w:w="2014" w:type="pct"/>
                  <w:vMerge w:val="continue"/>
                  <w:tcBorders>
                    <w:left w:val="single" w:color="000000" w:sz="4" w:space="0"/>
                  </w:tcBorders>
                  <w:noWrap w:val="0"/>
                  <w:vAlign w:val="center"/>
                </w:tcPr>
                <w:p w14:paraId="38963E1C">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lang w:val="en-US" w:eastAsia="zh-CN" w:bidi="ar"/>
                    </w:rPr>
                  </w:pPr>
                </w:p>
              </w:tc>
            </w:tr>
            <w:tr w14:paraId="74CD6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429" w:type="pct"/>
                  <w:vMerge w:val="continue"/>
                  <w:noWrap w:val="0"/>
                  <w:vAlign w:val="center"/>
                </w:tcPr>
                <w:p w14:paraId="6703CEC8">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ascii="Times New Roman" w:hAnsi="Times New Roman"/>
                      <w:color w:val="auto"/>
                    </w:rPr>
                  </w:pPr>
                </w:p>
              </w:tc>
              <w:tc>
                <w:tcPr>
                  <w:tcW w:w="402" w:type="pct"/>
                  <w:vMerge w:val="continue"/>
                  <w:noWrap w:val="0"/>
                  <w:vAlign w:val="center"/>
                </w:tcPr>
                <w:p w14:paraId="3D00E1F6">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ascii="Times New Roman" w:hAnsi="Times New Roman"/>
                      <w:color w:val="auto"/>
                    </w:rPr>
                  </w:pPr>
                </w:p>
              </w:tc>
              <w:tc>
                <w:tcPr>
                  <w:tcW w:w="520" w:type="pct"/>
                  <w:gridSpan w:val="2"/>
                  <w:tcBorders>
                    <w:left w:val="single" w:color="000000" w:sz="4" w:space="0"/>
                    <w:right w:val="single" w:color="000000" w:sz="4" w:space="0"/>
                  </w:tcBorders>
                  <w:noWrap w:val="0"/>
                  <w:vAlign w:val="center"/>
                </w:tcPr>
                <w:p w14:paraId="6FFDF666">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安全气囊引爆</w:t>
                  </w:r>
                </w:p>
              </w:tc>
              <w:tc>
                <w:tcPr>
                  <w:tcW w:w="700" w:type="pct"/>
                  <w:tcBorders>
                    <w:left w:val="single" w:color="000000" w:sz="4" w:space="0"/>
                    <w:right w:val="single" w:color="000000" w:sz="4" w:space="0"/>
                  </w:tcBorders>
                  <w:noWrap w:val="0"/>
                  <w:vAlign w:val="center"/>
                </w:tcPr>
                <w:p w14:paraId="2E812DD9">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G3安全气囊引爆粉尘</w:t>
                  </w:r>
                </w:p>
              </w:tc>
              <w:tc>
                <w:tcPr>
                  <w:tcW w:w="932" w:type="pct"/>
                  <w:tcBorders>
                    <w:left w:val="single" w:color="000000" w:sz="4" w:space="0"/>
                    <w:right w:val="single" w:color="000000" w:sz="4" w:space="0"/>
                  </w:tcBorders>
                  <w:noWrap w:val="0"/>
                  <w:vAlign w:val="center"/>
                </w:tcPr>
                <w:p w14:paraId="2FA39EB8">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颗粒物</w:t>
                  </w:r>
                </w:p>
              </w:tc>
              <w:tc>
                <w:tcPr>
                  <w:tcW w:w="2014" w:type="pct"/>
                  <w:tcBorders>
                    <w:left w:val="single" w:color="000000" w:sz="4" w:space="0"/>
                  </w:tcBorders>
                  <w:noWrap w:val="0"/>
                  <w:vAlign w:val="center"/>
                </w:tcPr>
                <w:p w14:paraId="74D92884">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采用密闭安全气囊引爆箱，延迟开箱，减少逸散</w:t>
                  </w:r>
                </w:p>
              </w:tc>
            </w:tr>
            <w:tr w14:paraId="7A7F5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29" w:type="pct"/>
                  <w:vMerge w:val="continue"/>
                  <w:noWrap w:val="0"/>
                  <w:vAlign w:val="center"/>
                </w:tcPr>
                <w:p w14:paraId="61DBE7CE">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049C24F3">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520" w:type="pct"/>
                  <w:gridSpan w:val="2"/>
                  <w:tcBorders>
                    <w:left w:val="single" w:color="000000" w:sz="4" w:space="0"/>
                    <w:right w:val="single" w:color="000000" w:sz="4" w:space="0"/>
                  </w:tcBorders>
                  <w:noWrap w:val="0"/>
                  <w:vAlign w:val="center"/>
                </w:tcPr>
                <w:p w14:paraId="7D855D90">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切割</w:t>
                  </w:r>
                </w:p>
              </w:tc>
              <w:tc>
                <w:tcPr>
                  <w:tcW w:w="700" w:type="pct"/>
                  <w:tcBorders>
                    <w:left w:val="single" w:color="000000" w:sz="4" w:space="0"/>
                    <w:right w:val="single" w:color="000000" w:sz="4" w:space="0"/>
                  </w:tcBorders>
                  <w:noWrap w:val="0"/>
                  <w:vAlign w:val="center"/>
                </w:tcPr>
                <w:p w14:paraId="73A9795E">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G4、G7、G9切割粉尘</w:t>
                  </w:r>
                </w:p>
              </w:tc>
              <w:tc>
                <w:tcPr>
                  <w:tcW w:w="932" w:type="pct"/>
                  <w:tcBorders>
                    <w:left w:val="single" w:color="000000" w:sz="4" w:space="0"/>
                    <w:right w:val="single" w:color="000000" w:sz="4" w:space="0"/>
                  </w:tcBorders>
                  <w:noWrap w:val="0"/>
                  <w:vAlign w:val="center"/>
                </w:tcPr>
                <w:p w14:paraId="7D35FDCC">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颗粒物</w:t>
                  </w:r>
                </w:p>
              </w:tc>
              <w:tc>
                <w:tcPr>
                  <w:tcW w:w="2014" w:type="pct"/>
                  <w:tcBorders>
                    <w:left w:val="single" w:color="000000" w:sz="4" w:space="0"/>
                  </w:tcBorders>
                  <w:noWrap w:val="0"/>
                  <w:vAlign w:val="center"/>
                </w:tcPr>
                <w:p w14:paraId="7E8E75E9">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配套移动式布袋除尘器处理后车间无组织排放</w:t>
                  </w:r>
                </w:p>
              </w:tc>
            </w:tr>
            <w:tr w14:paraId="0BB7D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0957B476">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13FFA5B6">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520" w:type="pct"/>
                  <w:gridSpan w:val="2"/>
                  <w:tcBorders>
                    <w:left w:val="single" w:color="000000" w:sz="4" w:space="0"/>
                    <w:right w:val="single" w:color="000000" w:sz="4" w:space="0"/>
                  </w:tcBorders>
                  <w:noWrap w:val="0"/>
                  <w:vAlign w:val="center"/>
                </w:tcPr>
                <w:p w14:paraId="3386E5E5">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剪切</w:t>
                  </w:r>
                </w:p>
              </w:tc>
              <w:tc>
                <w:tcPr>
                  <w:tcW w:w="700" w:type="pct"/>
                  <w:tcBorders>
                    <w:left w:val="single" w:color="000000" w:sz="4" w:space="0"/>
                    <w:right w:val="single" w:color="000000" w:sz="4" w:space="0"/>
                  </w:tcBorders>
                  <w:noWrap w:val="0"/>
                  <w:vAlign w:val="center"/>
                </w:tcPr>
                <w:p w14:paraId="5EAFC5BC">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G5剪切粉尘</w:t>
                  </w:r>
                </w:p>
              </w:tc>
              <w:tc>
                <w:tcPr>
                  <w:tcW w:w="932" w:type="pct"/>
                  <w:tcBorders>
                    <w:left w:val="single" w:color="000000" w:sz="4" w:space="0"/>
                    <w:right w:val="single" w:color="000000" w:sz="4" w:space="0"/>
                  </w:tcBorders>
                  <w:noWrap w:val="0"/>
                  <w:vAlign w:val="center"/>
                </w:tcPr>
                <w:p w14:paraId="7310ED94">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颗粒物</w:t>
                  </w:r>
                </w:p>
              </w:tc>
              <w:tc>
                <w:tcPr>
                  <w:tcW w:w="2014" w:type="pct"/>
                  <w:vMerge w:val="restart"/>
                  <w:tcBorders>
                    <w:left w:val="single" w:color="000000" w:sz="4" w:space="0"/>
                  </w:tcBorders>
                  <w:noWrap w:val="0"/>
                  <w:vAlign w:val="center"/>
                </w:tcPr>
                <w:p w14:paraId="0129F19B">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车间无组织排放</w:t>
                  </w:r>
                </w:p>
              </w:tc>
            </w:tr>
            <w:tr w14:paraId="54BEC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6782CEFB">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5EB57748">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520" w:type="pct"/>
                  <w:gridSpan w:val="2"/>
                  <w:tcBorders>
                    <w:left w:val="single" w:color="000000" w:sz="4" w:space="0"/>
                    <w:right w:val="single" w:color="000000" w:sz="4" w:space="0"/>
                  </w:tcBorders>
                  <w:noWrap w:val="0"/>
                  <w:vAlign w:val="center"/>
                </w:tcPr>
                <w:p w14:paraId="375715C3">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打包</w:t>
                  </w:r>
                </w:p>
              </w:tc>
              <w:tc>
                <w:tcPr>
                  <w:tcW w:w="700" w:type="pct"/>
                  <w:tcBorders>
                    <w:left w:val="single" w:color="000000" w:sz="4" w:space="0"/>
                    <w:right w:val="single" w:color="000000" w:sz="4" w:space="0"/>
                  </w:tcBorders>
                  <w:noWrap w:val="0"/>
                  <w:vAlign w:val="center"/>
                </w:tcPr>
                <w:p w14:paraId="64D3F507">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G6打包粉尘</w:t>
                  </w:r>
                </w:p>
              </w:tc>
              <w:tc>
                <w:tcPr>
                  <w:tcW w:w="932" w:type="pct"/>
                  <w:tcBorders>
                    <w:left w:val="single" w:color="000000" w:sz="4" w:space="0"/>
                    <w:right w:val="single" w:color="000000" w:sz="4" w:space="0"/>
                  </w:tcBorders>
                  <w:noWrap w:val="0"/>
                  <w:vAlign w:val="center"/>
                </w:tcPr>
                <w:p w14:paraId="778A0E6A">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颗粒物</w:t>
                  </w:r>
                </w:p>
              </w:tc>
              <w:tc>
                <w:tcPr>
                  <w:tcW w:w="2014" w:type="pct"/>
                  <w:vMerge w:val="continue"/>
                  <w:tcBorders>
                    <w:left w:val="single" w:color="000000" w:sz="4" w:space="0"/>
                  </w:tcBorders>
                  <w:noWrap w:val="0"/>
                  <w:vAlign w:val="center"/>
                </w:tcPr>
                <w:p w14:paraId="14A58817">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p>
              </w:tc>
            </w:tr>
            <w:tr w14:paraId="21032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6" w:hRule="atLeast"/>
                <w:jc w:val="center"/>
              </w:trPr>
              <w:tc>
                <w:tcPr>
                  <w:tcW w:w="429" w:type="pct"/>
                  <w:vMerge w:val="continue"/>
                  <w:noWrap w:val="0"/>
                  <w:vAlign w:val="center"/>
                </w:tcPr>
                <w:p w14:paraId="5E00848C">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3544D580">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520" w:type="pct"/>
                  <w:gridSpan w:val="2"/>
                  <w:tcBorders>
                    <w:left w:val="single" w:color="000000" w:sz="4" w:space="0"/>
                    <w:right w:val="single" w:color="000000" w:sz="4" w:space="0"/>
                  </w:tcBorders>
                  <w:noWrap w:val="0"/>
                  <w:vAlign w:val="center"/>
                </w:tcPr>
                <w:p w14:paraId="1537E0DF">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变压器油抽取</w:t>
                  </w:r>
                </w:p>
              </w:tc>
              <w:tc>
                <w:tcPr>
                  <w:tcW w:w="700" w:type="pct"/>
                  <w:tcBorders>
                    <w:left w:val="single" w:color="000000" w:sz="4" w:space="0"/>
                    <w:right w:val="single" w:color="000000" w:sz="4" w:space="0"/>
                  </w:tcBorders>
                  <w:noWrap w:val="0"/>
                  <w:vAlign w:val="center"/>
                </w:tcPr>
                <w:p w14:paraId="78C37B87">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G8废变压器油抽取废气</w:t>
                  </w:r>
                </w:p>
              </w:tc>
              <w:tc>
                <w:tcPr>
                  <w:tcW w:w="932" w:type="pct"/>
                  <w:tcBorders>
                    <w:left w:val="single" w:color="000000" w:sz="4" w:space="0"/>
                    <w:right w:val="single" w:color="000000" w:sz="4" w:space="0"/>
                  </w:tcBorders>
                  <w:noWrap w:val="0"/>
                  <w:vAlign w:val="center"/>
                </w:tcPr>
                <w:p w14:paraId="2D872BA0">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lang w:val="en-US" w:eastAsia="zh-CN" w:bidi="ar"/>
                    </w:rPr>
                    <w:t>非甲烷总烃</w:t>
                  </w:r>
                </w:p>
              </w:tc>
              <w:tc>
                <w:tcPr>
                  <w:tcW w:w="2014" w:type="pct"/>
                  <w:tcBorders>
                    <w:left w:val="single" w:color="000000" w:sz="4" w:space="0"/>
                  </w:tcBorders>
                  <w:noWrap w:val="0"/>
                  <w:vAlign w:val="center"/>
                </w:tcPr>
                <w:p w14:paraId="4BB13B0B">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b w:val="0"/>
                      <w:bCs/>
                      <w:color w:val="auto"/>
                      <w:sz w:val="21"/>
                      <w:szCs w:val="21"/>
                      <w:lang w:val="en-US" w:eastAsia="zh-CN"/>
                    </w:rPr>
                    <w:t>采用专门抽取装置抽取排空，抽取后废液通过管道送至密闭废液收集容器进行储存，作业区封闭（仅留物料进出口），在收集工位配套顶吸罩收集，收集的废气引至1套“过滤棉+双级活性炭吸附装置”处理，尾气通过1根15m高排气筒DA002排放。</w:t>
                  </w:r>
                </w:p>
              </w:tc>
            </w:tr>
            <w:tr w14:paraId="22513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9" w:type="pct"/>
                  <w:vMerge w:val="continue"/>
                  <w:noWrap w:val="0"/>
                  <w:vAlign w:val="center"/>
                </w:tcPr>
                <w:p w14:paraId="68E6631A">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24C22154">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520" w:type="pct"/>
                  <w:gridSpan w:val="2"/>
                  <w:tcBorders>
                    <w:left w:val="single" w:color="000000" w:sz="4" w:space="0"/>
                    <w:right w:val="single" w:color="000000" w:sz="4" w:space="0"/>
                  </w:tcBorders>
                  <w:noWrap w:val="0"/>
                  <w:vAlign w:val="center"/>
                </w:tcPr>
                <w:p w14:paraId="207BB625">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危险废物暂存</w:t>
                  </w:r>
                </w:p>
              </w:tc>
              <w:tc>
                <w:tcPr>
                  <w:tcW w:w="700" w:type="pct"/>
                  <w:tcBorders>
                    <w:left w:val="single" w:color="000000" w:sz="4" w:space="0"/>
                    <w:right w:val="single" w:color="000000" w:sz="4" w:space="0"/>
                  </w:tcBorders>
                  <w:noWrap w:val="0"/>
                  <w:vAlign w:val="center"/>
                </w:tcPr>
                <w:p w14:paraId="76F38C3E">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危险废物暂存废气</w:t>
                  </w:r>
                </w:p>
              </w:tc>
              <w:tc>
                <w:tcPr>
                  <w:tcW w:w="932" w:type="pct"/>
                  <w:tcBorders>
                    <w:left w:val="single" w:color="000000" w:sz="4" w:space="0"/>
                    <w:right w:val="single" w:color="000000" w:sz="4" w:space="0"/>
                  </w:tcBorders>
                  <w:noWrap w:val="0"/>
                  <w:vAlign w:val="center"/>
                </w:tcPr>
                <w:p w14:paraId="5DC9D9BB">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非甲烷总烃</w:t>
                  </w:r>
                </w:p>
              </w:tc>
              <w:tc>
                <w:tcPr>
                  <w:tcW w:w="2014" w:type="pct"/>
                  <w:tcBorders>
                    <w:left w:val="single" w:color="000000" w:sz="4" w:space="0"/>
                  </w:tcBorders>
                  <w:noWrap w:val="0"/>
                  <w:vAlign w:val="center"/>
                </w:tcPr>
                <w:p w14:paraId="49ADF176">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危废间密闭，危险废物暂存废气采用集气管道收集后引至1套双级活性炭吸附装置处理，尾气通过1根15m高排气筒DA003排放</w:t>
                  </w:r>
                </w:p>
              </w:tc>
            </w:tr>
            <w:tr w14:paraId="78888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5" w:hRule="atLeast"/>
                <w:jc w:val="center"/>
              </w:trPr>
              <w:tc>
                <w:tcPr>
                  <w:tcW w:w="429" w:type="pct"/>
                  <w:vMerge w:val="restart"/>
                  <w:noWrap w:val="0"/>
                  <w:vAlign w:val="center"/>
                </w:tcPr>
                <w:p w14:paraId="6255D9D8">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3</w:t>
                  </w:r>
                </w:p>
              </w:tc>
              <w:tc>
                <w:tcPr>
                  <w:tcW w:w="1623" w:type="pct"/>
                  <w:gridSpan w:val="4"/>
                  <w:tcBorders>
                    <w:right w:val="single" w:color="000000" w:sz="4" w:space="0"/>
                  </w:tcBorders>
                  <w:noWrap w:val="0"/>
                  <w:vAlign w:val="center"/>
                </w:tcPr>
                <w:p w14:paraId="05558652">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废机动车、废变压器、废电机拆解过程</w:t>
                  </w:r>
                </w:p>
              </w:tc>
              <w:tc>
                <w:tcPr>
                  <w:tcW w:w="932" w:type="pct"/>
                  <w:tcBorders>
                    <w:left w:val="single" w:color="000000" w:sz="4" w:space="0"/>
                    <w:right w:val="single" w:color="000000" w:sz="4" w:space="0"/>
                  </w:tcBorders>
                  <w:noWrap w:val="0"/>
                  <w:vAlign w:val="center"/>
                </w:tcPr>
                <w:p w14:paraId="4E6E74C0">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废钢铁、废有色金属、废玻璃、废尼龙、废塑料、废橡胶、废电子零部件、废电线电缆、废绝缘材料以及可回用零部件</w:t>
                  </w:r>
                </w:p>
              </w:tc>
              <w:tc>
                <w:tcPr>
                  <w:tcW w:w="2014" w:type="pct"/>
                  <w:tcBorders>
                    <w:left w:val="single" w:color="000000" w:sz="4" w:space="0"/>
                  </w:tcBorders>
                  <w:noWrap w:val="0"/>
                  <w:vAlign w:val="center"/>
                </w:tcPr>
                <w:p w14:paraId="4AD3C20C">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作为本项目产品，在仓库区分区暂存，外售合规单位</w:t>
                  </w:r>
                </w:p>
              </w:tc>
            </w:tr>
            <w:tr w14:paraId="4C4CE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1" w:hRule="atLeast"/>
                <w:jc w:val="center"/>
              </w:trPr>
              <w:tc>
                <w:tcPr>
                  <w:tcW w:w="429" w:type="pct"/>
                  <w:vMerge w:val="continue"/>
                  <w:noWrap w:val="0"/>
                  <w:vAlign w:val="center"/>
                </w:tcPr>
                <w:p w14:paraId="6F9AAB1C">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restart"/>
                  <w:noWrap w:val="0"/>
                  <w:vAlign w:val="center"/>
                </w:tcPr>
                <w:p w14:paraId="7AF13088">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一般工业固废</w:t>
                  </w:r>
                </w:p>
              </w:tc>
              <w:tc>
                <w:tcPr>
                  <w:tcW w:w="1221" w:type="pct"/>
                  <w:gridSpan w:val="3"/>
                  <w:tcBorders>
                    <w:left w:val="single" w:color="000000" w:sz="4" w:space="0"/>
                    <w:right w:val="single" w:color="000000" w:sz="4" w:space="0"/>
                  </w:tcBorders>
                  <w:noWrap w:val="0"/>
                  <w:vAlign w:val="center"/>
                </w:tcPr>
                <w:p w14:paraId="5EC81ACF">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color w:val="auto"/>
                      <w:kern w:val="0"/>
                      <w:sz w:val="21"/>
                      <w:szCs w:val="21"/>
                      <w:highlight w:val="none"/>
                      <w:lang w:val="en-US" w:eastAsia="zh-CN" w:bidi="ar-SA"/>
                    </w:rPr>
                    <w:t>废机动车预处理</w:t>
                  </w:r>
                </w:p>
              </w:tc>
              <w:tc>
                <w:tcPr>
                  <w:tcW w:w="932" w:type="pct"/>
                  <w:tcBorders>
                    <w:left w:val="single" w:color="000000" w:sz="4" w:space="0"/>
                    <w:right w:val="single" w:color="000000" w:sz="4" w:space="0"/>
                  </w:tcBorders>
                  <w:noWrap w:val="0"/>
                  <w:vAlign w:val="center"/>
                </w:tcPr>
                <w:p w14:paraId="5D21457E">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color w:val="auto"/>
                      <w:kern w:val="0"/>
                      <w:sz w:val="21"/>
                      <w:szCs w:val="21"/>
                      <w:highlight w:val="none"/>
                      <w:lang w:val="en-US" w:eastAsia="zh-CN" w:bidi="ar"/>
                    </w:rPr>
                    <w:t>S2 动力蓄电池</w:t>
                  </w:r>
                </w:p>
              </w:tc>
              <w:tc>
                <w:tcPr>
                  <w:tcW w:w="2014" w:type="pct"/>
                  <w:tcBorders>
                    <w:left w:val="single" w:color="000000" w:sz="4" w:space="0"/>
                  </w:tcBorders>
                  <w:noWrap w:val="0"/>
                  <w:vAlign w:val="center"/>
                </w:tcPr>
                <w:p w14:paraId="34461F11">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属于一般工业固废，收集暂存于动力蓄电池暂存间，定期交由回收网点处理</w:t>
                  </w:r>
                </w:p>
              </w:tc>
            </w:tr>
            <w:tr w14:paraId="36114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1142E9DB">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783C042F">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43085841">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废机动车、废变压器、废电机拆解</w:t>
                  </w:r>
                </w:p>
              </w:tc>
              <w:tc>
                <w:tcPr>
                  <w:tcW w:w="932" w:type="pct"/>
                  <w:tcBorders>
                    <w:left w:val="single" w:color="000000" w:sz="4" w:space="0"/>
                    <w:right w:val="single" w:color="000000" w:sz="4" w:space="0"/>
                  </w:tcBorders>
                  <w:noWrap w:val="0"/>
                  <w:vAlign w:val="center"/>
                </w:tcPr>
                <w:p w14:paraId="2EFF9480">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S11、S14、S17、S20</w:t>
                  </w:r>
                </w:p>
                <w:p w14:paraId="05555628">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不可利用</w:t>
                  </w:r>
                  <w:r>
                    <w:rPr>
                      <w:rFonts w:hint="eastAsia" w:ascii="Times New Roman" w:hAnsi="Times New Roman" w:eastAsia="宋体" w:cs="Times New Roman"/>
                      <w:color w:val="auto"/>
                      <w:kern w:val="0"/>
                      <w:sz w:val="21"/>
                      <w:szCs w:val="21"/>
                      <w:highlight w:val="none"/>
                      <w:lang w:val="en-US" w:eastAsia="zh-CN" w:bidi="ar"/>
                    </w:rPr>
                    <w:t>废杂物</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引爆后的安全气囊、碎玻璃、塑料、皮革、尼龙、泥土、砂石</w:t>
                  </w:r>
                  <w:r>
                    <w:rPr>
                      <w:rFonts w:hint="default" w:ascii="Times New Roman" w:hAnsi="Times New Roman" w:eastAsia="宋体" w:cs="Times New Roman"/>
                      <w:color w:val="auto"/>
                      <w:kern w:val="0"/>
                      <w:sz w:val="21"/>
                      <w:szCs w:val="21"/>
                      <w:highlight w:val="none"/>
                      <w:lang w:val="en-US" w:eastAsia="zh-CN" w:bidi="ar"/>
                    </w:rPr>
                    <w:t>等）</w:t>
                  </w:r>
                </w:p>
              </w:tc>
              <w:tc>
                <w:tcPr>
                  <w:tcW w:w="2014" w:type="pct"/>
                  <w:tcBorders>
                    <w:left w:val="single" w:color="000000" w:sz="4" w:space="0"/>
                  </w:tcBorders>
                  <w:noWrap w:val="0"/>
                  <w:vAlign w:val="center"/>
                </w:tcPr>
                <w:p w14:paraId="1BE8702D">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eastAsia="zh-CN"/>
                    </w:rPr>
                    <w:t>属于一般工业固废，收集暂存于一般工业固废暂存间，委托当地环卫部门统一清运</w:t>
                  </w:r>
                  <w:r>
                    <w:rPr>
                      <w:rFonts w:hint="eastAsia" w:ascii="Times New Roman" w:hAnsi="Times New Roman" w:eastAsia="宋体" w:cs="Times New Roman"/>
                      <w:b w:val="0"/>
                      <w:bCs/>
                      <w:color w:val="auto"/>
                      <w:sz w:val="21"/>
                      <w:szCs w:val="21"/>
                      <w:highlight w:val="none"/>
                      <w:lang w:val="en-US" w:eastAsia="zh-CN"/>
                    </w:rPr>
                    <w:t>处置</w:t>
                  </w:r>
                </w:p>
              </w:tc>
            </w:tr>
            <w:tr w14:paraId="4E654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6EB81299">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5A33D6DE">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4F489FEB">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粉尘移动布袋除尘器处理、车间粉尘沉降</w:t>
                  </w:r>
                </w:p>
              </w:tc>
              <w:tc>
                <w:tcPr>
                  <w:tcW w:w="932" w:type="pct"/>
                  <w:tcBorders>
                    <w:left w:val="single" w:color="000000" w:sz="4" w:space="0"/>
                    <w:right w:val="single" w:color="000000" w:sz="4" w:space="0"/>
                  </w:tcBorders>
                  <w:noWrap w:val="0"/>
                  <w:vAlign w:val="center"/>
                </w:tcPr>
                <w:p w14:paraId="77ED8542">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布袋收集尘及地面清扫尘</w:t>
                  </w:r>
                </w:p>
              </w:tc>
              <w:tc>
                <w:tcPr>
                  <w:tcW w:w="2014" w:type="pct"/>
                  <w:vMerge w:val="restart"/>
                  <w:tcBorders>
                    <w:left w:val="single" w:color="000000" w:sz="4" w:space="0"/>
                  </w:tcBorders>
                  <w:noWrap w:val="0"/>
                  <w:vAlign w:val="center"/>
                </w:tcPr>
                <w:p w14:paraId="21ADB0F8">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eastAsia="zh-CN"/>
                    </w:rPr>
                    <w:t>属于一般工业固废，</w:t>
                  </w:r>
                  <w:r>
                    <w:rPr>
                      <w:rFonts w:hint="eastAsia" w:ascii="Times New Roman" w:hAnsi="Times New Roman" w:eastAsia="宋体" w:cs="Times New Roman"/>
                      <w:b w:val="0"/>
                      <w:bCs/>
                      <w:color w:val="auto"/>
                      <w:sz w:val="21"/>
                      <w:szCs w:val="21"/>
                      <w:highlight w:val="none"/>
                      <w:lang w:val="en-US" w:eastAsia="zh-CN"/>
                    </w:rPr>
                    <w:t>分区</w:t>
                  </w:r>
                  <w:r>
                    <w:rPr>
                      <w:rFonts w:hint="eastAsia" w:ascii="Times New Roman" w:hAnsi="Times New Roman" w:eastAsia="宋体" w:cs="Times New Roman"/>
                      <w:b w:val="0"/>
                      <w:bCs/>
                      <w:color w:val="auto"/>
                      <w:sz w:val="21"/>
                      <w:szCs w:val="21"/>
                      <w:highlight w:val="none"/>
                      <w:lang w:eastAsia="zh-CN"/>
                    </w:rPr>
                    <w:t>收集暂存于一般工业固废暂存间，委托合规单位</w:t>
                  </w:r>
                  <w:r>
                    <w:rPr>
                      <w:rFonts w:hint="eastAsia" w:ascii="Times New Roman" w:hAnsi="Times New Roman" w:eastAsia="宋体" w:cs="Times New Roman"/>
                      <w:b w:val="0"/>
                      <w:bCs/>
                      <w:color w:val="auto"/>
                      <w:sz w:val="21"/>
                      <w:szCs w:val="21"/>
                      <w:highlight w:val="none"/>
                      <w:lang w:val="en-US" w:eastAsia="zh-CN"/>
                    </w:rPr>
                    <w:t>利用和处置</w:t>
                  </w:r>
                </w:p>
              </w:tc>
            </w:tr>
            <w:tr w14:paraId="5030F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5FC365D4">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625286C9">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6927AD52">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拆解</w:t>
                  </w:r>
                </w:p>
              </w:tc>
              <w:tc>
                <w:tcPr>
                  <w:tcW w:w="932" w:type="pct"/>
                  <w:tcBorders>
                    <w:left w:val="single" w:color="000000" w:sz="4" w:space="0"/>
                    <w:right w:val="single" w:color="000000" w:sz="4" w:space="0"/>
                  </w:tcBorders>
                  <w:noWrap w:val="0"/>
                  <w:vAlign w:val="center"/>
                </w:tcPr>
                <w:p w14:paraId="0CE97AD8">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SA"/>
                    </w:rPr>
                    <w:t>S6 废燃料罐</w:t>
                  </w:r>
                </w:p>
              </w:tc>
              <w:tc>
                <w:tcPr>
                  <w:tcW w:w="2014" w:type="pct"/>
                  <w:vMerge w:val="continue"/>
                  <w:tcBorders>
                    <w:left w:val="single" w:color="000000" w:sz="4" w:space="0"/>
                  </w:tcBorders>
                  <w:noWrap w:val="0"/>
                  <w:vAlign w:val="center"/>
                </w:tcPr>
                <w:p w14:paraId="5DE3A78E">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37C38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3AA5DEF8">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3AC3EA8C">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643D752A">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水处理</w:t>
                  </w:r>
                </w:p>
              </w:tc>
              <w:tc>
                <w:tcPr>
                  <w:tcW w:w="932" w:type="pct"/>
                  <w:tcBorders>
                    <w:left w:val="single" w:color="000000" w:sz="4" w:space="0"/>
                    <w:right w:val="single" w:color="000000" w:sz="4" w:space="0"/>
                  </w:tcBorders>
                  <w:noWrap w:val="0"/>
                  <w:vAlign w:val="center"/>
                </w:tcPr>
                <w:p w14:paraId="71B58693">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水处理废过滤材料</w:t>
                  </w:r>
                </w:p>
              </w:tc>
              <w:tc>
                <w:tcPr>
                  <w:tcW w:w="2014" w:type="pct"/>
                  <w:vMerge w:val="continue"/>
                  <w:tcBorders>
                    <w:left w:val="single" w:color="000000" w:sz="4" w:space="0"/>
                  </w:tcBorders>
                  <w:noWrap w:val="0"/>
                  <w:vAlign w:val="center"/>
                </w:tcPr>
                <w:p w14:paraId="32315EE4">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31C61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01A2FDDA">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restart"/>
                  <w:noWrap w:val="0"/>
                  <w:vAlign w:val="center"/>
                </w:tcPr>
                <w:p w14:paraId="5333C0EC">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危险废物</w:t>
                  </w:r>
                </w:p>
              </w:tc>
              <w:tc>
                <w:tcPr>
                  <w:tcW w:w="1221" w:type="pct"/>
                  <w:gridSpan w:val="3"/>
                  <w:vMerge w:val="restart"/>
                  <w:tcBorders>
                    <w:left w:val="single" w:color="000000" w:sz="4" w:space="0"/>
                    <w:right w:val="single" w:color="000000" w:sz="4" w:space="0"/>
                  </w:tcBorders>
                  <w:noWrap w:val="0"/>
                  <w:vAlign w:val="center"/>
                </w:tcPr>
                <w:p w14:paraId="715602FB">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预处理</w:t>
                  </w:r>
                </w:p>
              </w:tc>
              <w:tc>
                <w:tcPr>
                  <w:tcW w:w="932" w:type="pct"/>
                  <w:tcBorders>
                    <w:left w:val="single" w:color="000000" w:sz="4" w:space="0"/>
                    <w:right w:val="single" w:color="000000" w:sz="4" w:space="0"/>
                  </w:tcBorders>
                  <w:noWrap w:val="0"/>
                  <w:vAlign w:val="center"/>
                </w:tcPr>
                <w:p w14:paraId="782440FE">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S1 废铅酸蓄电池</w:t>
                  </w:r>
                </w:p>
              </w:tc>
              <w:tc>
                <w:tcPr>
                  <w:tcW w:w="2014" w:type="pct"/>
                  <w:vMerge w:val="restart"/>
                  <w:tcBorders>
                    <w:left w:val="single" w:color="000000" w:sz="4" w:space="0"/>
                  </w:tcBorders>
                  <w:noWrap w:val="0"/>
                  <w:vAlign w:val="center"/>
                </w:tcPr>
                <w:p w14:paraId="159C353F">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属于危险废物，</w:t>
                  </w:r>
                  <w:r>
                    <w:rPr>
                      <w:rFonts w:hint="eastAsia" w:ascii="Times New Roman" w:hAnsi="Times New Roman" w:eastAsia="宋体" w:cs="Times New Roman"/>
                      <w:b w:val="0"/>
                      <w:bCs/>
                      <w:color w:val="auto"/>
                      <w:sz w:val="21"/>
                      <w:szCs w:val="21"/>
                      <w:highlight w:val="none"/>
                      <w:lang w:val="en-US" w:eastAsia="zh-CN"/>
                    </w:rPr>
                    <w:t>按危险特性分类分区合规收集暂存</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cs="Times New Roman"/>
                      <w:b w:val="0"/>
                      <w:bCs/>
                      <w:color w:val="auto"/>
                      <w:sz w:val="21"/>
                      <w:szCs w:val="21"/>
                      <w:highlight w:val="none"/>
                      <w:lang w:eastAsia="zh-CN"/>
                    </w:rPr>
                    <w:t>定期委托</w:t>
                  </w:r>
                  <w:r>
                    <w:rPr>
                      <w:rFonts w:hint="default" w:ascii="Times New Roman" w:hAnsi="Times New Roman" w:eastAsia="宋体" w:cs="Times New Roman"/>
                      <w:b w:val="0"/>
                      <w:bCs/>
                      <w:color w:val="auto"/>
                      <w:sz w:val="21"/>
                      <w:szCs w:val="21"/>
                      <w:highlight w:val="none"/>
                      <w:lang w:eastAsia="zh-CN"/>
                    </w:rPr>
                    <w:t>有资质单位统一处理</w:t>
                  </w:r>
                </w:p>
              </w:tc>
            </w:tr>
            <w:tr w14:paraId="54E97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6F92BA35">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3E14EA0A">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eastAsia="zh-CN"/>
                    </w:rPr>
                  </w:pPr>
                </w:p>
              </w:tc>
              <w:tc>
                <w:tcPr>
                  <w:tcW w:w="1221" w:type="pct"/>
                  <w:gridSpan w:val="3"/>
                  <w:vMerge w:val="continue"/>
                  <w:tcBorders>
                    <w:left w:val="single" w:color="000000" w:sz="4" w:space="0"/>
                    <w:right w:val="single" w:color="000000" w:sz="4" w:space="0"/>
                  </w:tcBorders>
                  <w:noWrap w:val="0"/>
                  <w:vAlign w:val="center"/>
                </w:tcPr>
                <w:p w14:paraId="2BDB0E4C">
                  <w:pPr>
                    <w:keepNext w:val="0"/>
                    <w:keepLines w:val="0"/>
                    <w:pageBreakBefore w:val="0"/>
                    <w:widowControl/>
                    <w:kinsoku/>
                    <w:wordWrap/>
                    <w:overflowPunct/>
                    <w:topLinePunct w:val="0"/>
                    <w:bidi w:val="0"/>
                    <w:adjustRightInd w:val="0"/>
                    <w:snapToGrid w:val="0"/>
                    <w:spacing w:line="320" w:lineRule="exact"/>
                    <w:ind w:left="0" w:leftChars="0"/>
                    <w:jc w:val="center"/>
                    <w:rPr>
                      <w:rFonts w:hint="eastAsia" w:ascii="Times New Roman" w:hAnsi="Times New Roman" w:eastAsia="宋体" w:cs="Times New Roman"/>
                      <w:color w:val="auto"/>
                      <w:kern w:val="0"/>
                      <w:sz w:val="21"/>
                      <w:szCs w:val="21"/>
                      <w:highlight w:val="none"/>
                      <w:lang w:val="en-US" w:eastAsia="zh-CN" w:bidi="ar-SA"/>
                    </w:rPr>
                  </w:pPr>
                </w:p>
              </w:tc>
              <w:tc>
                <w:tcPr>
                  <w:tcW w:w="932" w:type="pct"/>
                  <w:tcBorders>
                    <w:left w:val="single" w:color="000000" w:sz="4" w:space="0"/>
                    <w:right w:val="single" w:color="000000" w:sz="4" w:space="0"/>
                  </w:tcBorders>
                  <w:noWrap w:val="0"/>
                  <w:vAlign w:val="center"/>
                </w:tcPr>
                <w:p w14:paraId="3AD5AD49">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S3 废油液</w:t>
                  </w:r>
                </w:p>
              </w:tc>
              <w:tc>
                <w:tcPr>
                  <w:tcW w:w="2014" w:type="pct"/>
                  <w:vMerge w:val="continue"/>
                  <w:tcBorders>
                    <w:left w:val="single" w:color="000000" w:sz="4" w:space="0"/>
                  </w:tcBorders>
                  <w:noWrap w:val="0"/>
                  <w:vAlign w:val="center"/>
                </w:tcPr>
                <w:p w14:paraId="07C2BC8F">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p>
              </w:tc>
            </w:tr>
            <w:tr w14:paraId="325E8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3E78EAC4">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402" w:type="pct"/>
                  <w:vMerge w:val="continue"/>
                  <w:noWrap w:val="0"/>
                  <w:vAlign w:val="center"/>
                </w:tcPr>
                <w:p w14:paraId="6965CB4D">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vMerge w:val="continue"/>
                  <w:tcBorders>
                    <w:left w:val="single" w:color="000000" w:sz="4" w:space="0"/>
                    <w:right w:val="single" w:color="000000" w:sz="4" w:space="0"/>
                  </w:tcBorders>
                  <w:noWrap w:val="0"/>
                  <w:vAlign w:val="center"/>
                </w:tcPr>
                <w:p w14:paraId="059EE0F5">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p>
              </w:tc>
              <w:tc>
                <w:tcPr>
                  <w:tcW w:w="932" w:type="pct"/>
                  <w:tcBorders>
                    <w:left w:val="single" w:color="000000" w:sz="4" w:space="0"/>
                    <w:right w:val="single" w:color="000000" w:sz="4" w:space="0"/>
                  </w:tcBorders>
                  <w:noWrap w:val="0"/>
                  <w:vAlign w:val="center"/>
                </w:tcPr>
                <w:p w14:paraId="1794C420">
                  <w:pPr>
                    <w:pStyle w:val="38"/>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S4废制冷剂</w:t>
                  </w:r>
                </w:p>
              </w:tc>
              <w:tc>
                <w:tcPr>
                  <w:tcW w:w="2014" w:type="pct"/>
                  <w:vMerge w:val="continue"/>
                  <w:tcBorders>
                    <w:left w:val="single" w:color="000000" w:sz="4" w:space="0"/>
                  </w:tcBorders>
                  <w:noWrap w:val="0"/>
                  <w:vAlign w:val="center"/>
                </w:tcPr>
                <w:p w14:paraId="7C0B5DB1">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eastAsia="zh-CN"/>
                    </w:rPr>
                  </w:pPr>
                </w:p>
              </w:tc>
            </w:tr>
            <w:tr w14:paraId="31DB5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4BD4119E">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402" w:type="pct"/>
                  <w:vMerge w:val="continue"/>
                  <w:noWrap w:val="0"/>
                  <w:vAlign w:val="center"/>
                </w:tcPr>
                <w:p w14:paraId="4010B46F">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vMerge w:val="continue"/>
                  <w:tcBorders>
                    <w:left w:val="single" w:color="000000" w:sz="4" w:space="0"/>
                    <w:right w:val="single" w:color="000000" w:sz="4" w:space="0"/>
                  </w:tcBorders>
                  <w:noWrap w:val="0"/>
                  <w:vAlign w:val="center"/>
                </w:tcPr>
                <w:p w14:paraId="53857A27">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932" w:type="pct"/>
                  <w:tcBorders>
                    <w:left w:val="single" w:color="000000" w:sz="4" w:space="0"/>
                    <w:right w:val="single" w:color="000000" w:sz="4" w:space="0"/>
                  </w:tcBorders>
                  <w:noWrap w:val="0"/>
                  <w:vAlign w:val="center"/>
                </w:tcPr>
                <w:p w14:paraId="3E7D455C">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S5 废滤清器</w:t>
                  </w:r>
                </w:p>
              </w:tc>
              <w:tc>
                <w:tcPr>
                  <w:tcW w:w="2014" w:type="pct"/>
                  <w:vMerge w:val="continue"/>
                  <w:tcBorders>
                    <w:left w:val="single" w:color="000000" w:sz="4" w:space="0"/>
                  </w:tcBorders>
                  <w:noWrap w:val="0"/>
                  <w:vAlign w:val="center"/>
                </w:tcPr>
                <w:p w14:paraId="1F875F8C">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color w:val="auto"/>
                      <w:kern w:val="0"/>
                      <w:sz w:val="21"/>
                      <w:szCs w:val="21"/>
                      <w:highlight w:val="none"/>
                      <w:lang w:eastAsia="zh-CN"/>
                    </w:rPr>
                  </w:pPr>
                </w:p>
              </w:tc>
            </w:tr>
            <w:tr w14:paraId="763F7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4D23A504">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402" w:type="pct"/>
                  <w:vMerge w:val="continue"/>
                  <w:noWrap w:val="0"/>
                  <w:vAlign w:val="center"/>
                </w:tcPr>
                <w:p w14:paraId="7999DEF3">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vMerge w:val="continue"/>
                  <w:tcBorders>
                    <w:left w:val="single" w:color="000000" w:sz="4" w:space="0"/>
                    <w:right w:val="single" w:color="000000" w:sz="4" w:space="0"/>
                  </w:tcBorders>
                  <w:noWrap w:val="0"/>
                  <w:vAlign w:val="center"/>
                </w:tcPr>
                <w:p w14:paraId="3610AB5E">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932" w:type="pct"/>
                  <w:tcBorders>
                    <w:left w:val="single" w:color="000000" w:sz="4" w:space="0"/>
                    <w:right w:val="single" w:color="000000" w:sz="4" w:space="0"/>
                  </w:tcBorders>
                  <w:noWrap w:val="0"/>
                  <w:vAlign w:val="center"/>
                </w:tcPr>
                <w:p w14:paraId="31766787">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S7 废尾气净化装置及催化剂</w:t>
                  </w:r>
                </w:p>
              </w:tc>
              <w:tc>
                <w:tcPr>
                  <w:tcW w:w="2014" w:type="pct"/>
                  <w:vMerge w:val="continue"/>
                  <w:tcBorders>
                    <w:left w:val="single" w:color="000000" w:sz="4" w:space="0"/>
                  </w:tcBorders>
                  <w:noWrap w:val="0"/>
                  <w:vAlign w:val="center"/>
                </w:tcPr>
                <w:p w14:paraId="516B5717">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13123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107B73BF">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402" w:type="pct"/>
                  <w:vMerge w:val="continue"/>
                  <w:noWrap w:val="0"/>
                  <w:vAlign w:val="center"/>
                </w:tcPr>
                <w:p w14:paraId="201D9468">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vMerge w:val="continue"/>
                  <w:tcBorders>
                    <w:left w:val="single" w:color="000000" w:sz="4" w:space="0"/>
                    <w:right w:val="single" w:color="000000" w:sz="4" w:space="0"/>
                  </w:tcBorders>
                  <w:noWrap w:val="0"/>
                  <w:vAlign w:val="center"/>
                </w:tcPr>
                <w:p w14:paraId="07957DC7">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932" w:type="pct"/>
                  <w:tcBorders>
                    <w:left w:val="single" w:color="000000" w:sz="4" w:space="0"/>
                    <w:right w:val="single" w:color="000000" w:sz="4" w:space="0"/>
                  </w:tcBorders>
                  <w:noWrap w:val="0"/>
                  <w:vAlign w:val="center"/>
                </w:tcPr>
                <w:p w14:paraId="68C9B03D">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S8 废电容</w:t>
                  </w:r>
                </w:p>
                <w:p w14:paraId="10E42BDC">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（含多氯联苯）</w:t>
                  </w:r>
                </w:p>
              </w:tc>
              <w:tc>
                <w:tcPr>
                  <w:tcW w:w="2014" w:type="pct"/>
                  <w:vMerge w:val="continue"/>
                  <w:tcBorders>
                    <w:left w:val="single" w:color="000000" w:sz="4" w:space="0"/>
                  </w:tcBorders>
                  <w:noWrap w:val="0"/>
                  <w:vAlign w:val="center"/>
                </w:tcPr>
                <w:p w14:paraId="5D4E6360">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24508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6F7AF941">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402" w:type="pct"/>
                  <w:vMerge w:val="continue"/>
                  <w:noWrap w:val="0"/>
                  <w:vAlign w:val="center"/>
                </w:tcPr>
                <w:p w14:paraId="2A306299">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vMerge w:val="restart"/>
                  <w:tcBorders>
                    <w:left w:val="single" w:color="000000" w:sz="4" w:space="0"/>
                    <w:right w:val="single" w:color="000000" w:sz="4" w:space="0"/>
                  </w:tcBorders>
                  <w:noWrap w:val="0"/>
                  <w:vAlign w:val="center"/>
                </w:tcPr>
                <w:p w14:paraId="116FFAFC">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拆解</w:t>
                  </w:r>
                </w:p>
              </w:tc>
              <w:tc>
                <w:tcPr>
                  <w:tcW w:w="932" w:type="pct"/>
                  <w:tcBorders>
                    <w:left w:val="single" w:color="000000" w:sz="4" w:space="0"/>
                    <w:right w:val="single" w:color="000000" w:sz="4" w:space="0"/>
                  </w:tcBorders>
                  <w:noWrap w:val="0"/>
                  <w:vAlign w:val="center"/>
                </w:tcPr>
                <w:p w14:paraId="5167353C">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S10废石棉</w:t>
                  </w:r>
                </w:p>
                <w:p w14:paraId="2420F91A">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刹车片</w:t>
                  </w:r>
                </w:p>
              </w:tc>
              <w:tc>
                <w:tcPr>
                  <w:tcW w:w="2014" w:type="pct"/>
                  <w:vMerge w:val="continue"/>
                  <w:tcBorders>
                    <w:left w:val="single" w:color="000000" w:sz="4" w:space="0"/>
                  </w:tcBorders>
                  <w:noWrap w:val="0"/>
                  <w:vAlign w:val="center"/>
                </w:tcPr>
                <w:p w14:paraId="7758E393">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5CCEF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279D6C96">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402" w:type="pct"/>
                  <w:vMerge w:val="continue"/>
                  <w:noWrap w:val="0"/>
                  <w:vAlign w:val="center"/>
                </w:tcPr>
                <w:p w14:paraId="2B05034C">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vMerge w:val="continue"/>
                  <w:tcBorders>
                    <w:left w:val="single" w:color="000000" w:sz="4" w:space="0"/>
                    <w:right w:val="single" w:color="000000" w:sz="4" w:space="0"/>
                  </w:tcBorders>
                  <w:noWrap w:val="0"/>
                  <w:vAlign w:val="center"/>
                </w:tcPr>
                <w:p w14:paraId="7B68CDB4">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p>
              </w:tc>
              <w:tc>
                <w:tcPr>
                  <w:tcW w:w="932" w:type="pct"/>
                  <w:tcBorders>
                    <w:left w:val="single" w:color="000000" w:sz="4" w:space="0"/>
                    <w:right w:val="single" w:color="000000" w:sz="4" w:space="0"/>
                  </w:tcBorders>
                  <w:noWrap w:val="0"/>
                  <w:vAlign w:val="center"/>
                </w:tcPr>
                <w:p w14:paraId="425206D2">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S12含汞开关</w:t>
                  </w:r>
                </w:p>
              </w:tc>
              <w:tc>
                <w:tcPr>
                  <w:tcW w:w="2014" w:type="pct"/>
                  <w:vMerge w:val="continue"/>
                  <w:tcBorders>
                    <w:left w:val="single" w:color="000000" w:sz="4" w:space="0"/>
                  </w:tcBorders>
                  <w:noWrap w:val="0"/>
                  <w:vAlign w:val="center"/>
                </w:tcPr>
                <w:p w14:paraId="4467191C">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22248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3E24835C">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402" w:type="pct"/>
                  <w:vMerge w:val="continue"/>
                  <w:noWrap w:val="0"/>
                  <w:vAlign w:val="center"/>
                </w:tcPr>
                <w:p w14:paraId="2D427DD0">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vMerge w:val="continue"/>
                  <w:tcBorders>
                    <w:left w:val="single" w:color="000000" w:sz="4" w:space="0"/>
                    <w:right w:val="single" w:color="000000" w:sz="4" w:space="0"/>
                  </w:tcBorders>
                  <w:noWrap w:val="0"/>
                  <w:vAlign w:val="center"/>
                </w:tcPr>
                <w:p w14:paraId="30732DC0">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p>
              </w:tc>
              <w:tc>
                <w:tcPr>
                  <w:tcW w:w="932" w:type="pct"/>
                  <w:tcBorders>
                    <w:left w:val="single" w:color="000000" w:sz="4" w:space="0"/>
                    <w:right w:val="single" w:color="000000" w:sz="4" w:space="0"/>
                  </w:tcBorders>
                  <w:noWrap w:val="0"/>
                  <w:vAlign w:val="center"/>
                </w:tcPr>
                <w:p w14:paraId="107FD30F">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S13、S18</w:t>
                  </w:r>
                </w:p>
                <w:p w14:paraId="77FE8E50">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废电路板</w:t>
                  </w:r>
                </w:p>
              </w:tc>
              <w:tc>
                <w:tcPr>
                  <w:tcW w:w="2014" w:type="pct"/>
                  <w:vMerge w:val="continue"/>
                  <w:tcBorders>
                    <w:left w:val="single" w:color="000000" w:sz="4" w:space="0"/>
                  </w:tcBorders>
                  <w:noWrap w:val="0"/>
                  <w:vAlign w:val="center"/>
                </w:tcPr>
                <w:p w14:paraId="4C1F559C">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6E015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6C3D02DE">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402" w:type="pct"/>
                  <w:vMerge w:val="continue"/>
                  <w:noWrap w:val="0"/>
                  <w:vAlign w:val="center"/>
                </w:tcPr>
                <w:p w14:paraId="6F76FF7C">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5FFE9459">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剪切</w:t>
                  </w:r>
                </w:p>
              </w:tc>
              <w:tc>
                <w:tcPr>
                  <w:tcW w:w="932" w:type="pct"/>
                  <w:tcBorders>
                    <w:left w:val="single" w:color="000000" w:sz="4" w:space="0"/>
                    <w:right w:val="single" w:color="000000" w:sz="4" w:space="0"/>
                  </w:tcBorders>
                  <w:noWrap w:val="0"/>
                  <w:vAlign w:val="center"/>
                </w:tcPr>
                <w:p w14:paraId="781E4B55">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S15废液压油</w:t>
                  </w:r>
                </w:p>
              </w:tc>
              <w:tc>
                <w:tcPr>
                  <w:tcW w:w="2014" w:type="pct"/>
                  <w:vMerge w:val="continue"/>
                  <w:tcBorders>
                    <w:left w:val="single" w:color="000000" w:sz="4" w:space="0"/>
                  </w:tcBorders>
                  <w:noWrap w:val="0"/>
                  <w:vAlign w:val="center"/>
                </w:tcPr>
                <w:p w14:paraId="1DDA32C0">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61317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9" w:type="pct"/>
                  <w:vMerge w:val="continue"/>
                  <w:noWrap w:val="0"/>
                  <w:vAlign w:val="center"/>
                </w:tcPr>
                <w:p w14:paraId="6C016A06">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402" w:type="pct"/>
                  <w:vMerge w:val="continue"/>
                  <w:noWrap w:val="0"/>
                  <w:vAlign w:val="center"/>
                </w:tcPr>
                <w:p w14:paraId="433909BB">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14540EC2">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变压器放油</w:t>
                  </w:r>
                </w:p>
              </w:tc>
              <w:tc>
                <w:tcPr>
                  <w:tcW w:w="932" w:type="pct"/>
                  <w:tcBorders>
                    <w:left w:val="single" w:color="000000" w:sz="4" w:space="0"/>
                    <w:right w:val="single" w:color="000000" w:sz="4" w:space="0"/>
                  </w:tcBorders>
                  <w:noWrap w:val="0"/>
                  <w:vAlign w:val="center"/>
                </w:tcPr>
                <w:p w14:paraId="4932DBD1">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S19废变压器油</w:t>
                  </w:r>
                </w:p>
              </w:tc>
              <w:tc>
                <w:tcPr>
                  <w:tcW w:w="2014" w:type="pct"/>
                  <w:vMerge w:val="continue"/>
                  <w:tcBorders>
                    <w:left w:val="single" w:color="000000" w:sz="4" w:space="0"/>
                  </w:tcBorders>
                  <w:noWrap w:val="0"/>
                  <w:vAlign w:val="center"/>
                </w:tcPr>
                <w:p w14:paraId="03AFCDDD">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1198B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39515D8D">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402" w:type="pct"/>
                  <w:vMerge w:val="continue"/>
                  <w:noWrap w:val="0"/>
                  <w:vAlign w:val="center"/>
                </w:tcPr>
                <w:p w14:paraId="68DFFD86">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2A835380">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有机废气</w:t>
                  </w:r>
                </w:p>
                <w:p w14:paraId="0532578C">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活性炭吸附处理</w:t>
                  </w:r>
                </w:p>
              </w:tc>
              <w:tc>
                <w:tcPr>
                  <w:tcW w:w="932" w:type="pct"/>
                  <w:tcBorders>
                    <w:left w:val="single" w:color="000000" w:sz="4" w:space="0"/>
                    <w:right w:val="single" w:color="000000" w:sz="4" w:space="0"/>
                  </w:tcBorders>
                  <w:noWrap w:val="0"/>
                  <w:vAlign w:val="center"/>
                </w:tcPr>
                <w:p w14:paraId="79363534">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S16、S21</w:t>
                  </w:r>
                </w:p>
                <w:p w14:paraId="4A728F5B">
                  <w:pPr>
                    <w:pStyle w:val="2"/>
                    <w:jc w:val="center"/>
                    <w:rPr>
                      <w:rFonts w:hint="default" w:ascii="Times New Roman" w:hAnsi="Times New Roman"/>
                      <w:color w:val="auto"/>
                      <w:lang w:val="en-US" w:eastAsia="zh-CN"/>
                    </w:rPr>
                  </w:pPr>
                  <w:r>
                    <w:rPr>
                      <w:rFonts w:hint="eastAsia" w:ascii="Times New Roman" w:hAnsi="Times New Roman" w:eastAsia="宋体" w:cs="Times New Roman"/>
                      <w:color w:val="auto"/>
                      <w:kern w:val="2"/>
                      <w:sz w:val="21"/>
                      <w:szCs w:val="21"/>
                      <w:highlight w:val="none"/>
                      <w:lang w:val="en-US" w:eastAsia="zh-CN" w:bidi="ar-SA"/>
                    </w:rPr>
                    <w:t>废活性炭</w:t>
                  </w:r>
                </w:p>
              </w:tc>
              <w:tc>
                <w:tcPr>
                  <w:tcW w:w="2014" w:type="pct"/>
                  <w:vMerge w:val="continue"/>
                  <w:tcBorders>
                    <w:left w:val="single" w:color="000000" w:sz="4" w:space="0"/>
                  </w:tcBorders>
                  <w:noWrap w:val="0"/>
                  <w:vAlign w:val="center"/>
                </w:tcPr>
                <w:p w14:paraId="6B8CF1EC">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7D393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5F0FDE7B">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402" w:type="pct"/>
                  <w:vMerge w:val="continue"/>
                  <w:noWrap w:val="0"/>
                  <w:vAlign w:val="center"/>
                </w:tcPr>
                <w:p w14:paraId="769432D1">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11F5464F">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废水隔油沉淀处理</w:t>
                  </w:r>
                </w:p>
              </w:tc>
              <w:tc>
                <w:tcPr>
                  <w:tcW w:w="932" w:type="pct"/>
                  <w:tcBorders>
                    <w:left w:val="single" w:color="000000" w:sz="4" w:space="0"/>
                    <w:right w:val="single" w:color="000000" w:sz="4" w:space="0"/>
                  </w:tcBorders>
                  <w:noWrap w:val="0"/>
                  <w:vAlign w:val="center"/>
                </w:tcPr>
                <w:p w14:paraId="62C2521B">
                  <w:pPr>
                    <w:pStyle w:val="2"/>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废浮油及污泥</w:t>
                  </w:r>
                </w:p>
              </w:tc>
              <w:tc>
                <w:tcPr>
                  <w:tcW w:w="2014" w:type="pct"/>
                  <w:vMerge w:val="continue"/>
                  <w:tcBorders>
                    <w:left w:val="single" w:color="000000" w:sz="4" w:space="0"/>
                  </w:tcBorders>
                  <w:noWrap w:val="0"/>
                  <w:vAlign w:val="center"/>
                </w:tcPr>
                <w:p w14:paraId="68B80413">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1B197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7918B648">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402" w:type="pct"/>
                  <w:vMerge w:val="continue"/>
                  <w:noWrap w:val="0"/>
                  <w:vAlign w:val="center"/>
                </w:tcPr>
                <w:p w14:paraId="529FB541">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663AD4B0">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工作过程</w:t>
                  </w:r>
                </w:p>
              </w:tc>
              <w:tc>
                <w:tcPr>
                  <w:tcW w:w="932" w:type="pct"/>
                  <w:tcBorders>
                    <w:left w:val="single" w:color="000000" w:sz="4" w:space="0"/>
                    <w:right w:val="single" w:color="000000" w:sz="4" w:space="0"/>
                  </w:tcBorders>
                  <w:noWrap w:val="0"/>
                  <w:vAlign w:val="center"/>
                </w:tcPr>
                <w:p w14:paraId="0D065DE1">
                  <w:pPr>
                    <w:pStyle w:val="2"/>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含油废抹布及手套</w:t>
                  </w:r>
                </w:p>
              </w:tc>
              <w:tc>
                <w:tcPr>
                  <w:tcW w:w="2014" w:type="pct"/>
                  <w:tcBorders>
                    <w:left w:val="single" w:color="000000" w:sz="4" w:space="0"/>
                  </w:tcBorders>
                  <w:noWrap w:val="0"/>
                  <w:vAlign w:val="center"/>
                </w:tcPr>
                <w:p w14:paraId="55400A88">
                  <w:pPr>
                    <w:pStyle w:val="38"/>
                    <w:keepNext w:val="0"/>
                    <w:keepLines w:val="0"/>
                    <w:pageBreakBefore w:val="0"/>
                    <w:widowControl w:val="0"/>
                    <w:kinsoku/>
                    <w:wordWrap/>
                    <w:overflowPunct/>
                    <w:topLinePunct w:val="0"/>
                    <w:autoSpaceDE/>
                    <w:autoSpaceDN/>
                    <w:bidi w:val="0"/>
                    <w:adjustRightInd w:val="0"/>
                    <w:snapToGrid w:val="0"/>
                    <w:spacing w:before="0" w:line="320" w:lineRule="exact"/>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混入生活垃圾，由环卫部门统一清运处置</w:t>
                  </w:r>
                </w:p>
              </w:tc>
            </w:tr>
            <w:tr w14:paraId="3AD6A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vMerge w:val="continue"/>
                  <w:noWrap w:val="0"/>
                  <w:vAlign w:val="center"/>
                </w:tcPr>
                <w:p w14:paraId="6DB7EC73">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402" w:type="pct"/>
                  <w:vMerge w:val="continue"/>
                  <w:noWrap w:val="0"/>
                  <w:vAlign w:val="center"/>
                </w:tcPr>
                <w:p w14:paraId="6754E172">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p>
              </w:tc>
              <w:tc>
                <w:tcPr>
                  <w:tcW w:w="1221" w:type="pct"/>
                  <w:gridSpan w:val="3"/>
                  <w:tcBorders>
                    <w:left w:val="single" w:color="000000" w:sz="4" w:space="0"/>
                    <w:right w:val="single" w:color="000000" w:sz="4" w:space="0"/>
                  </w:tcBorders>
                  <w:noWrap w:val="0"/>
                  <w:vAlign w:val="center"/>
                </w:tcPr>
                <w:p w14:paraId="5CE4D004">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eastAsia="zh-CN" w:bidi="ar"/>
                    </w:rPr>
                    <w:t>职工生活垃圾</w:t>
                  </w:r>
                </w:p>
              </w:tc>
              <w:tc>
                <w:tcPr>
                  <w:tcW w:w="932" w:type="pct"/>
                  <w:tcBorders>
                    <w:left w:val="single" w:color="000000" w:sz="4" w:space="0"/>
                    <w:right w:val="single" w:color="000000" w:sz="4" w:space="0"/>
                  </w:tcBorders>
                  <w:noWrap w:val="0"/>
                  <w:vAlign w:val="center"/>
                </w:tcPr>
                <w:p w14:paraId="4AB28E11">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bottom"/>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纸屑、塑料等</w:t>
                  </w:r>
                </w:p>
              </w:tc>
              <w:tc>
                <w:tcPr>
                  <w:tcW w:w="2014" w:type="pct"/>
                  <w:tcBorders>
                    <w:left w:val="single" w:color="000000" w:sz="4" w:space="0"/>
                  </w:tcBorders>
                  <w:noWrap w:val="0"/>
                  <w:vAlign w:val="center"/>
                </w:tcPr>
                <w:p w14:paraId="1442B726">
                  <w:pPr>
                    <w:keepNext w:val="0"/>
                    <w:keepLines w:val="0"/>
                    <w:pageBreakBefore w:val="0"/>
                    <w:widowControl/>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分类收集后由环卫部门每日清运</w:t>
                  </w:r>
                </w:p>
              </w:tc>
            </w:tr>
            <w:tr w14:paraId="1974D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9" w:type="pct"/>
                  <w:noWrap w:val="0"/>
                  <w:vAlign w:val="center"/>
                </w:tcPr>
                <w:p w14:paraId="1FA3D732">
                  <w:pPr>
                    <w:keepNext w:val="0"/>
                    <w:keepLines w:val="0"/>
                    <w:pageBreakBefore w:val="0"/>
                    <w:widowControl w:val="0"/>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402" w:type="pct"/>
                  <w:noWrap w:val="0"/>
                  <w:vAlign w:val="center"/>
                </w:tcPr>
                <w:p w14:paraId="6539D1AB">
                  <w:pPr>
                    <w:keepNext w:val="0"/>
                    <w:keepLines w:val="0"/>
                    <w:pageBreakBefore w:val="0"/>
                    <w:widowControl w:val="0"/>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噪声</w:t>
                  </w:r>
                </w:p>
              </w:tc>
              <w:tc>
                <w:tcPr>
                  <w:tcW w:w="1221" w:type="pct"/>
                  <w:gridSpan w:val="3"/>
                  <w:tcBorders>
                    <w:left w:val="single" w:color="000000" w:sz="4" w:space="0"/>
                    <w:right w:val="single" w:color="000000" w:sz="4" w:space="0"/>
                  </w:tcBorders>
                  <w:noWrap w:val="0"/>
                  <w:vAlign w:val="center"/>
                </w:tcPr>
                <w:p w14:paraId="04A3402E">
                  <w:pPr>
                    <w:keepNext w:val="0"/>
                    <w:keepLines w:val="0"/>
                    <w:pageBreakBefore w:val="0"/>
                    <w:widowControl w:val="0"/>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rPr>
                    <w:t>生产设备</w:t>
                  </w:r>
                </w:p>
              </w:tc>
              <w:tc>
                <w:tcPr>
                  <w:tcW w:w="932" w:type="pct"/>
                  <w:tcBorders>
                    <w:left w:val="single" w:color="000000" w:sz="4" w:space="0"/>
                    <w:right w:val="single" w:color="000000" w:sz="4" w:space="0"/>
                  </w:tcBorders>
                  <w:noWrap w:val="0"/>
                  <w:vAlign w:val="center"/>
                </w:tcPr>
                <w:p w14:paraId="1D77C53D">
                  <w:pPr>
                    <w:keepNext w:val="0"/>
                    <w:keepLines w:val="0"/>
                    <w:pageBreakBefore w:val="0"/>
                    <w:widowControl w:val="0"/>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Leq</w:t>
                  </w:r>
                </w:p>
              </w:tc>
              <w:tc>
                <w:tcPr>
                  <w:tcW w:w="2014" w:type="pct"/>
                  <w:tcBorders>
                    <w:left w:val="single" w:color="000000" w:sz="4" w:space="0"/>
                  </w:tcBorders>
                  <w:noWrap w:val="0"/>
                  <w:vAlign w:val="center"/>
                </w:tcPr>
                <w:p w14:paraId="1FEACF8D">
                  <w:pPr>
                    <w:keepNext w:val="0"/>
                    <w:keepLines w:val="0"/>
                    <w:pageBreakBefore w:val="0"/>
                    <w:widowControl w:val="0"/>
                    <w:kinsoku/>
                    <w:wordWrap/>
                    <w:overflowPunct/>
                    <w:topLinePunct w:val="0"/>
                    <w:bidi w:val="0"/>
                    <w:adjustRightInd w:val="0"/>
                    <w:snapToGrid w:val="0"/>
                    <w:spacing w:line="320" w:lineRule="exact"/>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厂房隔声、设备基础减振等综合降噪措施</w:t>
                  </w:r>
                </w:p>
              </w:tc>
            </w:tr>
          </w:tbl>
          <w:p w14:paraId="3A786040">
            <w:pPr>
              <w:rPr>
                <w:rFonts w:hint="default" w:ascii="Times New Roman" w:hAnsi="Times New Roman" w:eastAsia="宋体" w:cs="Times New Roman"/>
                <w:color w:val="auto"/>
                <w:sz w:val="24"/>
                <w:szCs w:val="24"/>
                <w:highlight w:val="none"/>
              </w:rPr>
            </w:pPr>
          </w:p>
        </w:tc>
      </w:tr>
      <w:tr w14:paraId="42FF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680" w:type="dxa"/>
            <w:noWrap w:val="0"/>
            <w:vAlign w:val="center"/>
          </w:tcPr>
          <w:p w14:paraId="26AD1935">
            <w:pPr>
              <w:pStyle w:val="17"/>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SA"/>
              </w:rPr>
              <w:t>与项目有关的原有环境污染问题</w:t>
            </w:r>
          </w:p>
        </w:tc>
        <w:tc>
          <w:tcPr>
            <w:tcW w:w="8245" w:type="dxa"/>
            <w:noWrap w:val="0"/>
            <w:vAlign w:val="center"/>
          </w:tcPr>
          <w:p w14:paraId="4C3B4AB1">
            <w:pPr>
              <w:pStyle w:val="17"/>
              <w:keepNext w:val="0"/>
              <w:keepLines w:val="0"/>
              <w:pageBreakBefore w:val="0"/>
              <w:widowControl/>
              <w:kinsoku/>
              <w:wordWrap/>
              <w:overflowPunct/>
              <w:topLinePunct w:val="0"/>
              <w:autoSpaceDE/>
              <w:autoSpaceDN/>
              <w:bidi w:val="0"/>
              <w:adjustRightInd w:val="0"/>
              <w:snapToGrid w:val="0"/>
              <w:spacing w:before="157" w:beforeLines="5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Cs/>
                <w:color w:val="auto"/>
                <w:kern w:val="2"/>
                <w:sz w:val="24"/>
                <w:szCs w:val="24"/>
                <w:lang w:val="en-US" w:eastAsia="zh-CN"/>
              </w:rPr>
              <w:t>项目租赁位于福州市长乐区松下镇山前村新村东区66号的现有工业厂区，该厂区历史于1994年归属福建省长乐县航融水泥厂从事水泥制品生产，于2007年由福建联翔针纺有限公司拍卖取得使用权，从事纺织生产。2022年5月25日由出租方福州坤鑫废旧物资回收有限公司拍卖取得使用权，至出租于建设单位期间，仅作为塑料、废钢等废旧物资仓库使用，未进行拆解加工作业。相关厂区土地及厂房材料详见附件四。</w:t>
            </w:r>
          </w:p>
        </w:tc>
      </w:tr>
    </w:tbl>
    <w:p w14:paraId="6E636367">
      <w:pPr>
        <w:rPr>
          <w:rFonts w:hint="default" w:ascii="Times New Roman" w:hAnsi="Times New Roman"/>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0E1F4393">
      <w:pPr>
        <w:pStyle w:val="17"/>
        <w:jc w:val="center"/>
        <w:outlineLvl w:val="0"/>
        <w:rPr>
          <w:rFonts w:hint="default" w:ascii="Times New Roman" w:hAnsi="Times New Roman" w:eastAsia="黑体" w:cs="Times New Roman"/>
          <w:snapToGrid w:val="0"/>
          <w:color w:val="auto"/>
          <w:sz w:val="30"/>
          <w:szCs w:val="30"/>
        </w:rPr>
      </w:pPr>
      <w:bookmarkStart w:id="12" w:name="_Toc28410"/>
      <w:r>
        <w:rPr>
          <w:rFonts w:hint="default" w:ascii="Times New Roman" w:hAnsi="Times New Roman" w:eastAsia="黑体" w:cs="Times New Roman"/>
          <w:snapToGrid w:val="0"/>
          <w:color w:val="auto"/>
          <w:sz w:val="30"/>
          <w:szCs w:val="30"/>
        </w:rPr>
        <w:t>三、区域环境质量现状、环境保护目标及评价标准</w:t>
      </w:r>
      <w:bookmarkEnd w:id="12"/>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8310"/>
      </w:tblGrid>
      <w:tr w14:paraId="0519F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80" w:type="dxa"/>
            <w:noWrap w:val="0"/>
            <w:vAlign w:val="center"/>
          </w:tcPr>
          <w:p w14:paraId="7D6F41DC">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区域</w:t>
            </w:r>
          </w:p>
          <w:p w14:paraId="32DE1C8E">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14:paraId="26773731">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质量</w:t>
            </w:r>
          </w:p>
          <w:p w14:paraId="23A7C7D4">
            <w:pPr>
              <w:adjustRightInd w:val="0"/>
              <w:snapToGrid w:val="0"/>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kern w:val="0"/>
                <w:szCs w:val="21"/>
              </w:rPr>
              <w:t>现状</w:t>
            </w:r>
          </w:p>
        </w:tc>
        <w:tc>
          <w:tcPr>
            <w:tcW w:w="8190" w:type="dxa"/>
            <w:noWrap w:val="0"/>
            <w:vAlign w:val="center"/>
          </w:tcPr>
          <w:p w14:paraId="4F50C3A5">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3.</w:t>
            </w:r>
            <w:r>
              <w:rPr>
                <w:rFonts w:hint="default" w:ascii="Times New Roman" w:hAnsi="Times New Roman" w:eastAsia="黑体" w:cs="Times New Roman"/>
                <w:b/>
                <w:color w:val="auto"/>
                <w:sz w:val="28"/>
                <w:szCs w:val="28"/>
                <w:lang w:val="en-US" w:eastAsia="zh-CN"/>
              </w:rPr>
              <w:t>1</w:t>
            </w:r>
            <w:r>
              <w:rPr>
                <w:rFonts w:hint="default" w:ascii="Times New Roman" w:hAnsi="Times New Roman" w:eastAsia="黑体" w:cs="Times New Roman"/>
                <w:b/>
                <w:color w:val="auto"/>
                <w:sz w:val="28"/>
                <w:szCs w:val="28"/>
              </w:rPr>
              <w:t>大气环境质量现状</w:t>
            </w:r>
          </w:p>
          <w:p w14:paraId="20ED1E04">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3.1.1环境空气质量功能区划</w:t>
            </w:r>
          </w:p>
          <w:p w14:paraId="74223AAF">
            <w:pPr>
              <w:spacing w:line="360" w:lineRule="auto"/>
              <w:ind w:firstLine="480" w:firstLineChars="200"/>
              <w:rPr>
                <w:rFonts w:hint="default" w:ascii="Times New Roman" w:hAnsi="Times New Roman" w:cs="Times New Roman"/>
                <w:color w:val="auto"/>
                <w:sz w:val="24"/>
                <w:szCs w:val="24"/>
                <w:highlight w:val="none"/>
              </w:rPr>
            </w:pPr>
            <w:bookmarkStart w:id="13" w:name="_Toc338850492"/>
            <w:bookmarkStart w:id="14" w:name="_Toc339964236"/>
            <w:r>
              <w:rPr>
                <w:rFonts w:hint="default" w:ascii="Times New Roman" w:hAnsi="Times New Roman" w:cs="Times New Roman"/>
                <w:color w:val="auto"/>
                <w:sz w:val="24"/>
                <w:highlight w:val="none"/>
              </w:rPr>
              <w:t>根据福州市人民政府榕政综[2014]30号文件正式批准实施《福州市环境空气质量功能区划(报批稿)》的规定，</w:t>
            </w:r>
            <w:r>
              <w:rPr>
                <w:rFonts w:hint="default" w:ascii="Times New Roman" w:hAnsi="Times New Roman" w:cs="Times New Roman"/>
                <w:color w:val="auto"/>
                <w:sz w:val="24"/>
                <w:highlight w:val="none"/>
                <w:lang w:eastAsia="zh-CN"/>
              </w:rPr>
              <w:t>项目所在区域</w:t>
            </w:r>
            <w:r>
              <w:rPr>
                <w:rFonts w:hint="default" w:ascii="Times New Roman" w:hAnsi="Times New Roman" w:cs="Times New Roman"/>
                <w:color w:val="auto"/>
                <w:sz w:val="24"/>
                <w:highlight w:val="none"/>
              </w:rPr>
              <w:t>环境空气功能规划为二类区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szCs w:val="24"/>
                <w:highlight w:val="none"/>
              </w:rPr>
              <w:t>环境空气质量执行</w:t>
            </w:r>
            <w:r>
              <w:rPr>
                <w:rFonts w:hint="default" w:ascii="Times New Roman" w:hAnsi="Times New Roman" w:cs="Times New Roman"/>
                <w:color w:val="auto"/>
                <w:sz w:val="24"/>
                <w:szCs w:val="24"/>
                <w:highlight w:val="none"/>
                <w:lang w:eastAsia="zh-CN"/>
              </w:rPr>
              <w:t>《环境空气质量标准》(GB3095-2012)及其修改单</w:t>
            </w:r>
            <w:r>
              <w:rPr>
                <w:rFonts w:hint="default" w:ascii="Times New Roman" w:hAnsi="Times New Roman" w:cs="Times New Roman"/>
                <w:color w:val="auto"/>
                <w:sz w:val="24"/>
                <w:szCs w:val="24"/>
                <w:highlight w:val="none"/>
              </w:rPr>
              <w:t>中的二级标准。项目</w:t>
            </w:r>
            <w:r>
              <w:rPr>
                <w:rFonts w:hint="eastAsia" w:ascii="Times New Roman" w:hAnsi="Times New Roman" w:cs="Times New Roman"/>
                <w:color w:val="auto"/>
                <w:sz w:val="24"/>
                <w:highlight w:val="none"/>
                <w:lang w:val="en-US" w:eastAsia="zh-CN"/>
              </w:rPr>
              <w:t>其他污染因子</w:t>
            </w:r>
            <w:r>
              <w:rPr>
                <w:rFonts w:hint="default" w:ascii="Times New Roman" w:hAnsi="Times New Roman" w:cs="Times New Roman"/>
                <w:color w:val="auto"/>
                <w:sz w:val="24"/>
                <w:szCs w:val="24"/>
                <w:highlight w:val="none"/>
                <w:lang w:val="en-US" w:eastAsia="zh-CN"/>
              </w:rPr>
              <w:t>非甲烷总烃参照执行</w:t>
            </w:r>
            <w:r>
              <w:rPr>
                <w:rFonts w:hint="default" w:ascii="Times New Roman" w:hAnsi="Times New Roman" w:cs="Times New Roman"/>
                <w:color w:val="auto"/>
                <w:sz w:val="24"/>
                <w:szCs w:val="24"/>
                <w:highlight w:val="none"/>
              </w:rPr>
              <w:t>《大气污染物综合排放标准详解》(国家环境保护局科技标准司)</w:t>
            </w:r>
            <w:r>
              <w:rPr>
                <w:rFonts w:hint="default" w:ascii="Times New Roman" w:hAnsi="Times New Roman" w:cs="Times New Roman"/>
                <w:color w:val="auto"/>
                <w:sz w:val="24"/>
                <w:szCs w:val="24"/>
                <w:highlight w:val="none"/>
                <w:lang w:eastAsia="zh-CN"/>
              </w:rPr>
              <w:t>中</w:t>
            </w:r>
            <w:r>
              <w:rPr>
                <w:rFonts w:hint="default" w:ascii="Times New Roman" w:hAnsi="Times New Roman" w:cs="Times New Roman"/>
                <w:color w:val="auto"/>
                <w:sz w:val="24"/>
                <w:highlight w:val="none"/>
                <w:lang w:eastAsia="zh-CN"/>
              </w:rPr>
              <w:t>规定的标准限值，</w:t>
            </w:r>
            <w:r>
              <w:rPr>
                <w:rFonts w:hint="default" w:ascii="Times New Roman" w:hAnsi="Times New Roman" w:cs="Times New Roman"/>
                <w:color w:val="auto"/>
                <w:sz w:val="24"/>
                <w:szCs w:val="24"/>
                <w:highlight w:val="none"/>
              </w:rPr>
              <w:t>具体详见表</w:t>
            </w:r>
            <w:r>
              <w:rPr>
                <w:rFonts w:hint="default" w:ascii="Times New Roman" w:hAnsi="Times New Roman" w:cs="Times New Roman"/>
                <w:color w:val="auto"/>
                <w:sz w:val="24"/>
                <w:szCs w:val="24"/>
                <w:highlight w:val="none"/>
                <w:lang w:eastAsia="zh-CN"/>
              </w:rPr>
              <w:t>3.</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bookmarkEnd w:id="13"/>
          <w:bookmarkEnd w:id="14"/>
          <w:p w14:paraId="27589994">
            <w:pPr>
              <w:spacing w:before="120" w:beforeLines="50"/>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w:t>
            </w:r>
            <w:r>
              <w:rPr>
                <w:rFonts w:hint="default" w:ascii="Times New Roman" w:hAnsi="Times New Roman" w:eastAsia="黑体" w:cs="Times New Roman"/>
                <w:color w:val="auto"/>
                <w:sz w:val="24"/>
                <w:highlight w:val="none"/>
                <w:lang w:eastAsia="zh-CN"/>
              </w:rPr>
              <w:t>3.</w:t>
            </w:r>
            <w:r>
              <w:rPr>
                <w:rFonts w:hint="default" w:ascii="Times New Roman" w:hAnsi="Times New Roman" w:eastAsia="黑体" w:cs="Times New Roman"/>
                <w:color w:val="auto"/>
                <w:sz w:val="24"/>
                <w:highlight w:val="none"/>
                <w:lang w:val="en-US" w:eastAsia="zh-CN"/>
              </w:rPr>
              <w:t>1</w:t>
            </w:r>
            <w:r>
              <w:rPr>
                <w:rFonts w:hint="default" w:ascii="Times New Roman" w:hAnsi="Times New Roman" w:eastAsia="黑体" w:cs="Times New Roman"/>
                <w:color w:val="auto"/>
                <w:sz w:val="24"/>
                <w:highlight w:val="none"/>
              </w:rPr>
              <w:t>-</w:t>
            </w:r>
            <w:r>
              <w:rPr>
                <w:rFonts w:hint="default" w:ascii="Times New Roman" w:hAnsi="Times New Roman" w:eastAsia="黑体" w:cs="Times New Roman"/>
                <w:color w:val="auto"/>
                <w:sz w:val="24"/>
                <w:highlight w:val="none"/>
                <w:lang w:val="en-US" w:eastAsia="zh-CN"/>
              </w:rPr>
              <w:t>1</w:t>
            </w:r>
            <w:r>
              <w:rPr>
                <w:rFonts w:hint="default" w:ascii="Times New Roman" w:hAnsi="Times New Roman" w:eastAsia="黑体" w:cs="Times New Roman"/>
                <w:color w:val="auto"/>
                <w:sz w:val="24"/>
                <w:highlight w:val="none"/>
              </w:rPr>
              <w:t xml:space="preserve">  本项目环境空气标准一览表</w:t>
            </w:r>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506"/>
              <w:gridCol w:w="2049"/>
              <w:gridCol w:w="1577"/>
              <w:gridCol w:w="2962"/>
            </w:tblGrid>
            <w:tr w14:paraId="1A5C10B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noWrap w:val="0"/>
                  <w:vAlign w:val="center"/>
                </w:tcPr>
                <w:p w14:paraId="2C683E8B">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1265" w:type="pct"/>
                  <w:noWrap w:val="0"/>
                  <w:vAlign w:val="center"/>
                </w:tcPr>
                <w:p w14:paraId="3E1C5C3E">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取值时间</w:t>
                  </w:r>
                </w:p>
              </w:tc>
              <w:tc>
                <w:tcPr>
                  <w:tcW w:w="974" w:type="pct"/>
                  <w:noWrap w:val="0"/>
                  <w:vAlign w:val="center"/>
                </w:tcPr>
                <w:p w14:paraId="2EBBCE65">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浓度限值</w:t>
                  </w:r>
                </w:p>
              </w:tc>
              <w:tc>
                <w:tcPr>
                  <w:tcW w:w="1829" w:type="pct"/>
                  <w:noWrap w:val="0"/>
                  <w:vAlign w:val="center"/>
                </w:tcPr>
                <w:p w14:paraId="62C4C220">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14:paraId="33620D1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restart"/>
                  <w:noWrap w:val="0"/>
                  <w:vAlign w:val="center"/>
                </w:tcPr>
                <w:p w14:paraId="717A65AA">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1265" w:type="pct"/>
                  <w:noWrap w:val="0"/>
                  <w:vAlign w:val="center"/>
                </w:tcPr>
                <w:p w14:paraId="48287313">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974" w:type="pct"/>
                  <w:noWrap w:val="0"/>
                  <w:vAlign w:val="center"/>
                </w:tcPr>
                <w:p w14:paraId="24A176B1">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70μg/m</w:t>
                  </w:r>
                  <w:r>
                    <w:rPr>
                      <w:rFonts w:hint="default" w:ascii="Times New Roman" w:hAnsi="Times New Roman" w:cs="Times New Roman"/>
                      <w:color w:val="auto"/>
                      <w:sz w:val="21"/>
                      <w:szCs w:val="21"/>
                      <w:highlight w:val="none"/>
                      <w:vertAlign w:val="superscript"/>
                    </w:rPr>
                    <w:t>3</w:t>
                  </w:r>
                </w:p>
              </w:tc>
              <w:tc>
                <w:tcPr>
                  <w:tcW w:w="1829" w:type="pct"/>
                  <w:vMerge w:val="restart"/>
                  <w:noWrap w:val="0"/>
                  <w:vAlign w:val="center"/>
                </w:tcPr>
                <w:p w14:paraId="132C9EB5">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《环境空气质量标准》(GB3095-2012)及其修改</w:t>
                  </w:r>
                </w:p>
                <w:p w14:paraId="56619897">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单</w:t>
                  </w:r>
                  <w:r>
                    <w:rPr>
                      <w:rFonts w:hint="default" w:ascii="Times New Roman" w:hAnsi="Times New Roman" w:cs="Times New Roman"/>
                      <w:color w:val="auto"/>
                      <w:sz w:val="21"/>
                      <w:szCs w:val="21"/>
                      <w:highlight w:val="none"/>
                    </w:rPr>
                    <w:t>中的二级标准</w:t>
                  </w:r>
                </w:p>
              </w:tc>
            </w:tr>
            <w:tr w14:paraId="7F5C44B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continue"/>
                  <w:noWrap w:val="0"/>
                  <w:vAlign w:val="center"/>
                </w:tcPr>
                <w:p w14:paraId="2244B004">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1265" w:type="pct"/>
                  <w:noWrap w:val="0"/>
                  <w:vAlign w:val="center"/>
                </w:tcPr>
                <w:p w14:paraId="655A9B79">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974" w:type="pct"/>
                  <w:noWrap w:val="0"/>
                  <w:vAlign w:val="center"/>
                </w:tcPr>
                <w:p w14:paraId="4767DAF8">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394EF984">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2665544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restart"/>
                  <w:noWrap w:val="0"/>
                  <w:vAlign w:val="center"/>
                </w:tcPr>
                <w:p w14:paraId="34891E58">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PM</w:t>
                  </w:r>
                  <w:r>
                    <w:rPr>
                      <w:rFonts w:hint="default" w:ascii="Times New Roman" w:hAnsi="Times New Roman" w:cs="Times New Roman"/>
                      <w:color w:val="auto"/>
                      <w:sz w:val="21"/>
                      <w:szCs w:val="21"/>
                      <w:highlight w:val="none"/>
                      <w:vertAlign w:val="subscript"/>
                      <w:lang w:val="en-US" w:eastAsia="zh-CN"/>
                    </w:rPr>
                    <w:t>2.5</w:t>
                  </w:r>
                </w:p>
              </w:tc>
              <w:tc>
                <w:tcPr>
                  <w:tcW w:w="1265" w:type="pct"/>
                  <w:noWrap w:val="0"/>
                  <w:vAlign w:val="center"/>
                </w:tcPr>
                <w:p w14:paraId="33650BB9">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974" w:type="pct"/>
                  <w:noWrap w:val="0"/>
                  <w:vAlign w:val="center"/>
                </w:tcPr>
                <w:p w14:paraId="65CA304E">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35</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3D94BFC1">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0FD5AC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continue"/>
                  <w:noWrap w:val="0"/>
                  <w:vAlign w:val="center"/>
                </w:tcPr>
                <w:p w14:paraId="2763E984">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1265" w:type="pct"/>
                  <w:noWrap w:val="0"/>
                  <w:vAlign w:val="center"/>
                </w:tcPr>
                <w:p w14:paraId="46AD9EF5">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974" w:type="pct"/>
                  <w:noWrap w:val="0"/>
                  <w:vAlign w:val="center"/>
                </w:tcPr>
                <w:p w14:paraId="1948B5B6">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75</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7BE27A7D">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73DBFC7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restart"/>
                  <w:noWrap w:val="0"/>
                  <w:vAlign w:val="center"/>
                </w:tcPr>
                <w:p w14:paraId="7844DE99">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265" w:type="pct"/>
                  <w:noWrap w:val="0"/>
                  <w:vAlign w:val="center"/>
                </w:tcPr>
                <w:p w14:paraId="640F7BA0">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974" w:type="pct"/>
                  <w:noWrap w:val="0"/>
                  <w:vAlign w:val="center"/>
                </w:tcPr>
                <w:p w14:paraId="0A503F6E">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4806047A">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7F4A0DA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continue"/>
                  <w:noWrap w:val="0"/>
                  <w:vAlign w:val="center"/>
                </w:tcPr>
                <w:p w14:paraId="18036FE5">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1265" w:type="pct"/>
                  <w:noWrap w:val="0"/>
                  <w:vAlign w:val="center"/>
                </w:tcPr>
                <w:p w14:paraId="6C3C51E3">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974" w:type="pct"/>
                  <w:noWrap w:val="0"/>
                  <w:vAlign w:val="center"/>
                </w:tcPr>
                <w:p w14:paraId="770D6186">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62546AEE">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1DBA15D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continue"/>
                  <w:noWrap w:val="0"/>
                  <w:vAlign w:val="center"/>
                </w:tcPr>
                <w:p w14:paraId="12E8C200">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1265" w:type="pct"/>
                  <w:noWrap w:val="0"/>
                  <w:vAlign w:val="center"/>
                </w:tcPr>
                <w:p w14:paraId="68147042">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974" w:type="pct"/>
                  <w:noWrap w:val="0"/>
                  <w:vAlign w:val="center"/>
                </w:tcPr>
                <w:p w14:paraId="7A6EA489">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500</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03FF3715">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7756475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restart"/>
                  <w:noWrap w:val="0"/>
                  <w:vAlign w:val="center"/>
                </w:tcPr>
                <w:p w14:paraId="2F7462B3">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1265" w:type="pct"/>
                  <w:noWrap w:val="0"/>
                  <w:vAlign w:val="center"/>
                </w:tcPr>
                <w:p w14:paraId="7EA54906">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w:t>
                  </w:r>
                </w:p>
              </w:tc>
              <w:tc>
                <w:tcPr>
                  <w:tcW w:w="974" w:type="pct"/>
                  <w:noWrap w:val="0"/>
                  <w:vAlign w:val="center"/>
                </w:tcPr>
                <w:p w14:paraId="09329DB8">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77EFE438">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33F945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continue"/>
                  <w:noWrap w:val="0"/>
                  <w:vAlign w:val="center"/>
                </w:tcPr>
                <w:p w14:paraId="7F4023A3">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1265" w:type="pct"/>
                  <w:noWrap w:val="0"/>
                  <w:vAlign w:val="center"/>
                </w:tcPr>
                <w:p w14:paraId="5A54CF1E">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974" w:type="pct"/>
                  <w:noWrap w:val="0"/>
                  <w:vAlign w:val="center"/>
                </w:tcPr>
                <w:p w14:paraId="0B610775">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64EC81C1">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4C93484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continue"/>
                  <w:noWrap w:val="0"/>
                  <w:vAlign w:val="center"/>
                </w:tcPr>
                <w:p w14:paraId="1DC910C8">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c>
                <w:tcPr>
                  <w:tcW w:w="1265" w:type="pct"/>
                  <w:noWrap w:val="0"/>
                  <w:vAlign w:val="center"/>
                </w:tcPr>
                <w:p w14:paraId="18E1B598">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w:t>
                  </w:r>
                </w:p>
              </w:tc>
              <w:tc>
                <w:tcPr>
                  <w:tcW w:w="974" w:type="pct"/>
                  <w:noWrap w:val="0"/>
                  <w:vAlign w:val="center"/>
                </w:tcPr>
                <w:p w14:paraId="698ED3D9">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7DF2CCCC">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32BAE8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restart"/>
                  <w:noWrap w:val="0"/>
                  <w:vAlign w:val="center"/>
                </w:tcPr>
                <w:p w14:paraId="40E1A6CD">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CO</w:t>
                  </w:r>
                </w:p>
              </w:tc>
              <w:tc>
                <w:tcPr>
                  <w:tcW w:w="1265" w:type="pct"/>
                  <w:noWrap w:val="0"/>
                  <w:vAlign w:val="center"/>
                </w:tcPr>
                <w:p w14:paraId="23400AB1">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24小时平均</w:t>
                  </w:r>
                </w:p>
              </w:tc>
              <w:tc>
                <w:tcPr>
                  <w:tcW w:w="974" w:type="pct"/>
                  <w:noWrap w:val="0"/>
                  <w:vAlign w:val="center"/>
                </w:tcPr>
                <w:p w14:paraId="6C8306BC">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4mg/m</w:t>
                  </w:r>
                  <w:r>
                    <w:rPr>
                      <w:rFonts w:hint="default" w:ascii="Times New Roman" w:hAnsi="Times New Roman" w:eastAsia="宋体" w:cs="Times New Roman"/>
                      <w:color w:val="auto"/>
                      <w:kern w:val="2"/>
                      <w:sz w:val="21"/>
                      <w:szCs w:val="21"/>
                      <w:highlight w:val="none"/>
                      <w:vertAlign w:val="superscript"/>
                      <w:lang w:val="en-US" w:eastAsia="zh-CN" w:bidi="ar"/>
                    </w:rPr>
                    <w:t>3</w:t>
                  </w:r>
                </w:p>
              </w:tc>
              <w:tc>
                <w:tcPr>
                  <w:tcW w:w="1829" w:type="pct"/>
                  <w:vMerge w:val="continue"/>
                  <w:noWrap w:val="0"/>
                  <w:vAlign w:val="center"/>
                </w:tcPr>
                <w:p w14:paraId="3194DDE6">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6E14025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continue"/>
                  <w:noWrap w:val="0"/>
                  <w:vAlign w:val="center"/>
                </w:tcPr>
                <w:p w14:paraId="220F348E">
                  <w:pPr>
                    <w:keepNext w:val="0"/>
                    <w:keepLines w:val="0"/>
                    <w:pageBreakBefore w:val="0"/>
                    <w:widowControl w:val="0"/>
                    <w:kinsoku/>
                    <w:wordWrap/>
                    <w:overflowPunct/>
                    <w:topLinePunct w:val="0"/>
                    <w:autoSpaceDE/>
                    <w:bidi w:val="0"/>
                    <w:adjustRightInd w:val="0"/>
                    <w:snapToGrid w:val="0"/>
                    <w:spacing w:line="340" w:lineRule="exact"/>
                    <w:ind w:firstLine="0"/>
                    <w:rPr>
                      <w:rFonts w:hint="default" w:ascii="Times New Roman" w:hAnsi="Times New Roman" w:cs="Times New Roman"/>
                      <w:color w:val="auto"/>
                      <w:sz w:val="21"/>
                      <w:szCs w:val="21"/>
                      <w:highlight w:val="none"/>
                    </w:rPr>
                  </w:pPr>
                </w:p>
              </w:tc>
              <w:tc>
                <w:tcPr>
                  <w:tcW w:w="1265" w:type="pct"/>
                  <w:noWrap w:val="0"/>
                  <w:vAlign w:val="center"/>
                </w:tcPr>
                <w:p w14:paraId="2937D7A1">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1小时平均</w:t>
                  </w:r>
                </w:p>
              </w:tc>
              <w:tc>
                <w:tcPr>
                  <w:tcW w:w="974" w:type="pct"/>
                  <w:noWrap w:val="0"/>
                  <w:vAlign w:val="center"/>
                </w:tcPr>
                <w:p w14:paraId="35EE7FB9">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10mg/m</w:t>
                  </w:r>
                  <w:r>
                    <w:rPr>
                      <w:rFonts w:hint="default" w:ascii="Times New Roman" w:hAnsi="Times New Roman" w:eastAsia="宋体" w:cs="Times New Roman"/>
                      <w:color w:val="auto"/>
                      <w:kern w:val="2"/>
                      <w:sz w:val="21"/>
                      <w:szCs w:val="21"/>
                      <w:highlight w:val="none"/>
                      <w:vertAlign w:val="superscript"/>
                      <w:lang w:val="en-US" w:eastAsia="zh-CN" w:bidi="ar"/>
                    </w:rPr>
                    <w:t>3</w:t>
                  </w:r>
                </w:p>
              </w:tc>
              <w:tc>
                <w:tcPr>
                  <w:tcW w:w="1829" w:type="pct"/>
                  <w:vMerge w:val="continue"/>
                  <w:noWrap w:val="0"/>
                  <w:vAlign w:val="center"/>
                </w:tcPr>
                <w:p w14:paraId="234FAA17">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6406F2F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restart"/>
                  <w:noWrap w:val="0"/>
                  <w:vAlign w:val="center"/>
                </w:tcPr>
                <w:p w14:paraId="4EF49374">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O</w:t>
                  </w:r>
                  <w:r>
                    <w:rPr>
                      <w:rFonts w:hint="default" w:ascii="Times New Roman" w:hAnsi="Times New Roman" w:eastAsia="宋体" w:cs="Times New Roman"/>
                      <w:color w:val="auto"/>
                      <w:kern w:val="2"/>
                      <w:sz w:val="21"/>
                      <w:szCs w:val="21"/>
                      <w:highlight w:val="none"/>
                      <w:vertAlign w:val="subscript"/>
                      <w:lang w:val="en-US" w:eastAsia="zh-CN" w:bidi="ar"/>
                    </w:rPr>
                    <w:t>3</w:t>
                  </w:r>
                </w:p>
              </w:tc>
              <w:tc>
                <w:tcPr>
                  <w:tcW w:w="1265" w:type="pct"/>
                  <w:noWrap w:val="0"/>
                  <w:vAlign w:val="center"/>
                </w:tcPr>
                <w:p w14:paraId="052296E1">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日最大8小时平均</w:t>
                  </w:r>
                </w:p>
              </w:tc>
              <w:tc>
                <w:tcPr>
                  <w:tcW w:w="974" w:type="pct"/>
                  <w:noWrap w:val="0"/>
                  <w:vAlign w:val="center"/>
                </w:tcPr>
                <w:p w14:paraId="0CF57833">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160</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3461D867">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343FE4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continue"/>
                  <w:noWrap w:val="0"/>
                  <w:vAlign w:val="center"/>
                </w:tcPr>
                <w:p w14:paraId="13F8A8FF">
                  <w:pPr>
                    <w:keepNext w:val="0"/>
                    <w:keepLines w:val="0"/>
                    <w:pageBreakBefore w:val="0"/>
                    <w:widowControl w:val="0"/>
                    <w:kinsoku/>
                    <w:wordWrap/>
                    <w:overflowPunct/>
                    <w:topLinePunct w:val="0"/>
                    <w:autoSpaceDE/>
                    <w:bidi w:val="0"/>
                    <w:adjustRightInd w:val="0"/>
                    <w:snapToGrid w:val="0"/>
                    <w:spacing w:line="340" w:lineRule="exact"/>
                    <w:ind w:firstLine="0"/>
                    <w:rPr>
                      <w:rFonts w:hint="default" w:ascii="Times New Roman" w:hAnsi="Times New Roman" w:cs="Times New Roman"/>
                      <w:color w:val="auto"/>
                      <w:sz w:val="21"/>
                      <w:szCs w:val="21"/>
                      <w:highlight w:val="none"/>
                    </w:rPr>
                  </w:pPr>
                </w:p>
              </w:tc>
              <w:tc>
                <w:tcPr>
                  <w:tcW w:w="1265" w:type="pct"/>
                  <w:noWrap w:val="0"/>
                  <w:vAlign w:val="center"/>
                </w:tcPr>
                <w:p w14:paraId="0929F89C">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1小时平均</w:t>
                  </w:r>
                </w:p>
              </w:tc>
              <w:tc>
                <w:tcPr>
                  <w:tcW w:w="974" w:type="pct"/>
                  <w:noWrap w:val="0"/>
                  <w:vAlign w:val="center"/>
                </w:tcPr>
                <w:p w14:paraId="3A9BC521">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200</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065B18D0">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637B315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restart"/>
                  <w:noWrap w:val="0"/>
                  <w:vAlign w:val="center"/>
                </w:tcPr>
                <w:p w14:paraId="188A84E0">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TSP</w:t>
                  </w:r>
                </w:p>
              </w:tc>
              <w:tc>
                <w:tcPr>
                  <w:tcW w:w="1265" w:type="pct"/>
                  <w:noWrap w:val="0"/>
                  <w:vAlign w:val="center"/>
                </w:tcPr>
                <w:p w14:paraId="486EB596">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年平均</w:t>
                  </w:r>
                </w:p>
              </w:tc>
              <w:tc>
                <w:tcPr>
                  <w:tcW w:w="974" w:type="pct"/>
                  <w:noWrap w:val="0"/>
                  <w:vAlign w:val="center"/>
                </w:tcPr>
                <w:p w14:paraId="39A78986">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200</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6352EAA8">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242056E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vMerge w:val="continue"/>
                  <w:noWrap w:val="0"/>
                  <w:vAlign w:val="center"/>
                </w:tcPr>
                <w:p w14:paraId="217044FF">
                  <w:pPr>
                    <w:keepNext w:val="0"/>
                    <w:keepLines w:val="0"/>
                    <w:pageBreakBefore w:val="0"/>
                    <w:widowControl w:val="0"/>
                    <w:kinsoku/>
                    <w:wordWrap/>
                    <w:overflowPunct/>
                    <w:topLinePunct w:val="0"/>
                    <w:autoSpaceDE/>
                    <w:bidi w:val="0"/>
                    <w:adjustRightInd w:val="0"/>
                    <w:snapToGrid w:val="0"/>
                    <w:spacing w:line="340" w:lineRule="exact"/>
                    <w:ind w:firstLine="0"/>
                    <w:rPr>
                      <w:rFonts w:hint="default" w:ascii="Times New Roman" w:hAnsi="Times New Roman" w:cs="Times New Roman"/>
                      <w:color w:val="auto"/>
                      <w:sz w:val="21"/>
                      <w:szCs w:val="21"/>
                      <w:highlight w:val="none"/>
                    </w:rPr>
                  </w:pPr>
                </w:p>
              </w:tc>
              <w:tc>
                <w:tcPr>
                  <w:tcW w:w="1265" w:type="pct"/>
                  <w:noWrap w:val="0"/>
                  <w:vAlign w:val="center"/>
                </w:tcPr>
                <w:p w14:paraId="2556CE52">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sz w:val="21"/>
                      <w:szCs w:val="21"/>
                      <w:highlight w:val="none"/>
                    </w:rPr>
                    <w:t>24小时平均</w:t>
                  </w:r>
                </w:p>
              </w:tc>
              <w:tc>
                <w:tcPr>
                  <w:tcW w:w="974" w:type="pct"/>
                  <w:noWrap w:val="0"/>
                  <w:vAlign w:val="center"/>
                </w:tcPr>
                <w:p w14:paraId="5CA2AF71">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00</w:t>
                  </w: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829" w:type="pct"/>
                  <w:vMerge w:val="continue"/>
                  <w:noWrap w:val="0"/>
                  <w:vAlign w:val="center"/>
                </w:tcPr>
                <w:p w14:paraId="14A96BC3">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p>
              </w:tc>
            </w:tr>
            <w:tr w14:paraId="328608E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930" w:type="pct"/>
                  <w:noWrap w:val="0"/>
                  <w:vAlign w:val="center"/>
                </w:tcPr>
                <w:p w14:paraId="4A9FA305">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非甲烷总烃</w:t>
                  </w:r>
                </w:p>
              </w:tc>
              <w:tc>
                <w:tcPr>
                  <w:tcW w:w="1265" w:type="pct"/>
                  <w:noWrap w:val="0"/>
                  <w:vAlign w:val="center"/>
                </w:tcPr>
                <w:p w14:paraId="5D51DC95">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小时均值</w:t>
                  </w:r>
                </w:p>
              </w:tc>
              <w:tc>
                <w:tcPr>
                  <w:tcW w:w="974" w:type="pct"/>
                  <w:noWrap w:val="0"/>
                  <w:vAlign w:val="center"/>
                </w:tcPr>
                <w:p w14:paraId="5D08FA39">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2.0mg/m</w:t>
                  </w:r>
                  <w:r>
                    <w:rPr>
                      <w:rFonts w:hint="default" w:ascii="Times New Roman" w:hAnsi="Times New Roman" w:cs="Times New Roman"/>
                      <w:color w:val="auto"/>
                      <w:sz w:val="21"/>
                      <w:szCs w:val="21"/>
                      <w:highlight w:val="none"/>
                      <w:vertAlign w:val="superscript"/>
                    </w:rPr>
                    <w:t>3</w:t>
                  </w:r>
                </w:p>
              </w:tc>
              <w:tc>
                <w:tcPr>
                  <w:tcW w:w="1829" w:type="pct"/>
                  <w:noWrap w:val="0"/>
                  <w:vAlign w:val="center"/>
                </w:tcPr>
                <w:p w14:paraId="28A2E6EB">
                  <w:pPr>
                    <w:keepNext w:val="0"/>
                    <w:keepLines w:val="0"/>
                    <w:pageBreakBefore w:val="0"/>
                    <w:widowControl w:val="0"/>
                    <w:kinsoku/>
                    <w:wordWrap/>
                    <w:overflowPunct/>
                    <w:topLinePunct w:val="0"/>
                    <w:autoSpaceDE/>
                    <w:bidi w:val="0"/>
                    <w:adjustRightInd w:val="0"/>
                    <w:snapToGrid w:val="0"/>
                    <w:spacing w:line="340" w:lineRule="exact"/>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《大气污染物综合排放标准详解》(GB16297-1996)</w:t>
                  </w:r>
                </w:p>
              </w:tc>
            </w:tr>
          </w:tbl>
          <w:p w14:paraId="04B0D75E">
            <w:pPr>
              <w:pStyle w:val="39"/>
              <w:keepNext w:val="0"/>
              <w:keepLines w:val="0"/>
              <w:pageBreakBefore w:val="0"/>
              <w:widowControl/>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3.1.2</w:t>
            </w:r>
            <w:r>
              <w:rPr>
                <w:rFonts w:hint="default" w:ascii="Times New Roman" w:hAnsi="Times New Roman" w:cs="Times New Roman"/>
                <w:b/>
                <w:bCs/>
                <w:color w:val="auto"/>
                <w:kern w:val="0"/>
                <w:sz w:val="24"/>
              </w:rPr>
              <w:t>区域大气环境质量现状</w:t>
            </w:r>
          </w:p>
          <w:p w14:paraId="181CE0CD">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(1)城市达标区域判断</w:t>
            </w:r>
          </w:p>
          <w:p w14:paraId="2056FEA5">
            <w:pPr>
              <w:spacing w:line="360" w:lineRule="auto"/>
              <w:ind w:firstLine="480"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cs="Times New Roman"/>
                <w:color w:val="auto"/>
                <w:sz w:val="24"/>
                <w:szCs w:val="24"/>
              </w:rPr>
              <w:t>城市环境</w:t>
            </w:r>
            <w:r>
              <w:rPr>
                <w:rFonts w:hint="default" w:ascii="Times New Roman" w:hAnsi="Times New Roman" w:eastAsia="宋体" w:cs="Times New Roman"/>
                <w:color w:val="auto"/>
                <w:sz w:val="24"/>
              </w:rPr>
              <w:t>空气</w:t>
            </w:r>
            <w:r>
              <w:rPr>
                <w:rFonts w:hint="default" w:ascii="Times New Roman" w:hAnsi="Times New Roman" w:cs="Times New Roman"/>
                <w:color w:val="auto"/>
                <w:sz w:val="24"/>
                <w:szCs w:val="24"/>
              </w:rPr>
              <w:t>质量达标情况评价指标为SO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、CO和O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w:t>
            </w:r>
            <w:r>
              <w:rPr>
                <w:rFonts w:hint="default" w:ascii="Times New Roman" w:hAnsi="Times New Roman" w:eastAsia="宋体" w:cs="Times New Roman"/>
                <w:color w:val="auto"/>
                <w:kern w:val="0"/>
                <w:sz w:val="24"/>
                <w:lang w:val="en-US" w:eastAsia="zh-CN"/>
              </w:rPr>
              <w:t>六项污染物全部达标即为城市环境空气质量达标。</w:t>
            </w:r>
          </w:p>
          <w:p w14:paraId="2903EFA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根据福州市长乐区人民政府网站公布的202</w:t>
            </w:r>
            <w:r>
              <w:rPr>
                <w:rFonts w:hint="eastAsia" w:cs="Times New Roman"/>
                <w:color w:val="auto"/>
                <w:kern w:val="0"/>
                <w:sz w:val="24"/>
                <w:lang w:val="en-US" w:eastAsia="zh-CN"/>
              </w:rPr>
              <w:t>4</w:t>
            </w:r>
            <w:r>
              <w:rPr>
                <w:rFonts w:hint="eastAsia" w:ascii="Times New Roman" w:hAnsi="Times New Roman" w:eastAsia="宋体" w:cs="Times New Roman"/>
                <w:color w:val="auto"/>
                <w:kern w:val="0"/>
                <w:sz w:val="24"/>
                <w:lang w:val="en-US" w:eastAsia="zh-CN"/>
              </w:rPr>
              <w:t>年1月-12月福州市长乐区环境质量月通报报表可知</w:t>
            </w:r>
            <w:r>
              <w:rPr>
                <w:rFonts w:hint="eastAsia" w:cs="Times New Roman"/>
                <w:color w:val="auto"/>
                <w:kern w:val="0"/>
                <w:sz w:val="24"/>
                <w:lang w:val="en-US" w:eastAsia="zh-CN"/>
              </w:rPr>
              <w:t>（网址：http://www.fzcl.gov.cn/xjwz/zwgk/zfxxgkzdgz/hjbh/kqzlyb/）</w:t>
            </w:r>
            <w:r>
              <w:rPr>
                <w:rFonts w:hint="eastAsia" w:ascii="Times New Roman" w:hAnsi="Times New Roman" w:eastAsia="宋体" w:cs="Times New Roman"/>
                <w:color w:val="auto"/>
                <w:kern w:val="0"/>
                <w:sz w:val="24"/>
                <w:lang w:val="en-US" w:eastAsia="zh-CN"/>
              </w:rPr>
              <w:t>，</w:t>
            </w:r>
            <w:r>
              <w:rPr>
                <w:rFonts w:hint="eastAsia" w:cs="Times New Roman"/>
                <w:color w:val="auto"/>
                <w:kern w:val="0"/>
                <w:sz w:val="24"/>
                <w:lang w:val="en-US" w:eastAsia="zh-CN"/>
              </w:rPr>
              <w:t>长乐区</w:t>
            </w:r>
            <w:r>
              <w:rPr>
                <w:rFonts w:hint="eastAsia" w:ascii="Times New Roman" w:hAnsi="Times New Roman" w:eastAsia="宋体" w:cs="Times New Roman"/>
                <w:color w:val="auto"/>
                <w:kern w:val="0"/>
                <w:sz w:val="24"/>
                <w:lang w:val="en-US" w:eastAsia="zh-CN"/>
              </w:rPr>
              <w:t>202</w:t>
            </w:r>
            <w:r>
              <w:rPr>
                <w:rFonts w:hint="eastAsia" w:cs="Times New Roman"/>
                <w:color w:val="auto"/>
                <w:kern w:val="0"/>
                <w:sz w:val="24"/>
                <w:lang w:val="en-US" w:eastAsia="zh-CN"/>
              </w:rPr>
              <w:t>4</w:t>
            </w:r>
            <w:r>
              <w:rPr>
                <w:rFonts w:hint="eastAsia" w:ascii="Times New Roman" w:hAnsi="Times New Roman" w:eastAsia="宋体" w:cs="Times New Roman"/>
                <w:color w:val="auto"/>
                <w:kern w:val="0"/>
                <w:sz w:val="24"/>
                <w:lang w:val="en-US" w:eastAsia="zh-CN"/>
              </w:rPr>
              <w:t>年连续1年的大气常规因子环境空气质量监测数据如下。</w:t>
            </w:r>
          </w:p>
          <w:p w14:paraId="0BE94F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表3.1-</w:t>
            </w:r>
            <w:r>
              <w:rPr>
                <w:rFonts w:hint="eastAsia" w:ascii="Times New Roman" w:hAnsi="Times New Roman" w:eastAsia="宋体" w:cs="Times New Roman"/>
                <w:b/>
                <w:bCs/>
                <w:color w:val="auto"/>
                <w:sz w:val="24"/>
                <w:highlight w:val="none"/>
                <w:lang w:val="en-US" w:eastAsia="zh-CN"/>
              </w:rPr>
              <w:t xml:space="preserve">2  </w:t>
            </w:r>
            <w:r>
              <w:rPr>
                <w:rFonts w:hint="eastAsia" w:ascii="Times New Roman" w:hAnsi="Times New Roman" w:eastAsia="宋体" w:cs="Times New Roman"/>
                <w:b/>
                <w:bCs/>
                <w:color w:val="auto"/>
                <w:sz w:val="24"/>
                <w:highlight w:val="none"/>
                <w:lang w:val="zh-CN" w:eastAsia="zh-CN"/>
              </w:rPr>
              <w:t>福州</w:t>
            </w:r>
            <w:r>
              <w:rPr>
                <w:rFonts w:hint="eastAsia" w:ascii="Times New Roman" w:hAnsi="Times New Roman" w:eastAsia="宋体" w:cs="Times New Roman"/>
                <w:b/>
                <w:bCs/>
                <w:color w:val="auto"/>
                <w:sz w:val="24"/>
                <w:highlight w:val="none"/>
                <w:lang w:val="en-US" w:eastAsia="zh-CN"/>
              </w:rPr>
              <w:t>市长乐区</w:t>
            </w:r>
            <w:r>
              <w:rPr>
                <w:rFonts w:hint="default" w:ascii="Times New Roman" w:hAnsi="Times New Roman" w:eastAsia="宋体" w:cs="Times New Roman"/>
                <w:b/>
                <w:bCs/>
                <w:color w:val="auto"/>
                <w:sz w:val="24"/>
                <w:highlight w:val="none"/>
                <w:lang w:val="zh-CN" w:eastAsia="zh-CN"/>
              </w:rPr>
              <w:t>202</w:t>
            </w: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zh-CN" w:eastAsia="zh-CN"/>
              </w:rPr>
              <w:t>年1月份</w:t>
            </w:r>
            <w:r>
              <w:rPr>
                <w:rFonts w:hint="eastAsia" w:ascii="Times New Roman" w:hAnsi="Times New Roman" w:eastAsia="宋体" w:cs="Times New Roman"/>
                <w:b/>
                <w:bCs/>
                <w:color w:val="auto"/>
                <w:sz w:val="24"/>
                <w:highlight w:val="none"/>
                <w:lang w:val="zh-CN" w:eastAsia="zh-CN"/>
              </w:rPr>
              <w:t>～</w:t>
            </w:r>
            <w:r>
              <w:rPr>
                <w:rFonts w:hint="default" w:ascii="Times New Roman" w:hAnsi="Times New Roman" w:eastAsia="宋体" w:cs="Times New Roman"/>
                <w:b/>
                <w:bCs/>
                <w:color w:val="auto"/>
                <w:sz w:val="24"/>
                <w:highlight w:val="none"/>
                <w:lang w:val="zh-CN" w:eastAsia="zh-CN"/>
              </w:rPr>
              <w:t>202</w:t>
            </w: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zh-CN" w:eastAsia="zh-CN"/>
              </w:rPr>
              <w:t>年1</w:t>
            </w: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eastAsia="zh-CN"/>
              </w:rPr>
              <w:t>月份环境空气质量统计</w:t>
            </w:r>
          </w:p>
          <w:tbl>
            <w:tblPr>
              <w:tblStyle w:val="20"/>
              <w:tblW w:w="80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953"/>
              <w:gridCol w:w="942"/>
              <w:gridCol w:w="1008"/>
              <w:gridCol w:w="1008"/>
              <w:gridCol w:w="1019"/>
              <w:gridCol w:w="1119"/>
              <w:gridCol w:w="1045"/>
            </w:tblGrid>
            <w:tr w14:paraId="31F88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vMerge w:val="restart"/>
                  <w:tcBorders>
                    <w:tl2br w:val="nil"/>
                    <w:tr2bl w:val="nil"/>
                  </w:tcBorders>
                  <w:noWrap w:val="0"/>
                  <w:vAlign w:val="center"/>
                </w:tcPr>
                <w:p w14:paraId="707ACE6B">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c>
                <w:tcPr>
                  <w:tcW w:w="6141" w:type="dxa"/>
                  <w:gridSpan w:val="6"/>
                  <w:tcBorders>
                    <w:tl2br w:val="nil"/>
                    <w:tr2bl w:val="nil"/>
                  </w:tcBorders>
                  <w:noWrap w:val="0"/>
                  <w:vAlign w:val="center"/>
                </w:tcPr>
                <w:p w14:paraId="4B139F21">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月均值m</w:t>
                  </w:r>
                  <w:r>
                    <w:rPr>
                      <w:rFonts w:hint="default" w:ascii="Times New Roman" w:hAnsi="Times New Roman" w:eastAsia="宋体" w:cs="Times New Roman"/>
                      <w:b/>
                      <w:bCs/>
                      <w:color w:val="auto"/>
                      <w:sz w:val="21"/>
                      <w:szCs w:val="21"/>
                      <w:highlight w:val="none"/>
                    </w:rPr>
                    <w:t>g/m³</w:t>
                  </w:r>
                </w:p>
              </w:tc>
            </w:tr>
            <w:tr w14:paraId="7C529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vMerge w:val="continue"/>
                  <w:tcBorders>
                    <w:tl2br w:val="nil"/>
                    <w:tr2bl w:val="nil"/>
                  </w:tcBorders>
                  <w:noWrap w:val="0"/>
                  <w:vAlign w:val="center"/>
                </w:tcPr>
                <w:p w14:paraId="778070C2">
                  <w:pPr>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942" w:type="dxa"/>
                  <w:tcBorders>
                    <w:tl2br w:val="nil"/>
                    <w:tr2bl w:val="nil"/>
                  </w:tcBorders>
                  <w:noWrap w:val="0"/>
                  <w:vAlign w:val="center"/>
                </w:tcPr>
                <w:p w14:paraId="79C24795">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p>
              </w:tc>
              <w:tc>
                <w:tcPr>
                  <w:tcW w:w="1008" w:type="dxa"/>
                  <w:tcBorders>
                    <w:tl2br w:val="nil"/>
                    <w:tr2bl w:val="nil"/>
                  </w:tcBorders>
                  <w:noWrap w:val="0"/>
                  <w:vAlign w:val="center"/>
                </w:tcPr>
                <w:p w14:paraId="22872B93">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p>
              </w:tc>
              <w:tc>
                <w:tcPr>
                  <w:tcW w:w="1008" w:type="dxa"/>
                  <w:tcBorders>
                    <w:tl2br w:val="nil"/>
                    <w:tr2bl w:val="nil"/>
                  </w:tcBorders>
                  <w:noWrap w:val="0"/>
                  <w:vAlign w:val="center"/>
                </w:tcPr>
                <w:p w14:paraId="35D292DE">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p>
              </w:tc>
              <w:tc>
                <w:tcPr>
                  <w:tcW w:w="1019" w:type="dxa"/>
                  <w:tcBorders>
                    <w:tl2br w:val="nil"/>
                    <w:tr2bl w:val="nil"/>
                  </w:tcBorders>
                  <w:noWrap w:val="0"/>
                  <w:vAlign w:val="center"/>
                </w:tcPr>
                <w:p w14:paraId="3EF96620">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w:t>
                  </w:r>
                </w:p>
              </w:tc>
              <w:tc>
                <w:tcPr>
                  <w:tcW w:w="1119" w:type="dxa"/>
                  <w:tcBorders>
                    <w:tl2br w:val="nil"/>
                    <w:tr2bl w:val="nil"/>
                  </w:tcBorders>
                  <w:noWrap w:val="0"/>
                  <w:vAlign w:val="center"/>
                </w:tcPr>
                <w:p w14:paraId="17501174">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O</w:t>
                  </w:r>
                  <w:r>
                    <w:rPr>
                      <w:rFonts w:hint="default" w:ascii="Times New Roman" w:hAnsi="Times New Roman" w:eastAsia="宋体" w:cs="Times New Roman"/>
                      <w:b/>
                      <w:bCs/>
                      <w:color w:val="auto"/>
                      <w:sz w:val="21"/>
                      <w:szCs w:val="21"/>
                      <w:highlight w:val="none"/>
                      <w:vertAlign w:val="subscript"/>
                    </w:rPr>
                    <w:t>3</w:t>
                  </w:r>
                  <w:r>
                    <w:rPr>
                      <w:rFonts w:hint="eastAsia" w:ascii="Times New Roman" w:hAnsi="Times New Roman" w:eastAsia="宋体" w:cs="Times New Roman"/>
                      <w:b/>
                      <w:bCs/>
                      <w:color w:val="auto"/>
                      <w:sz w:val="21"/>
                      <w:szCs w:val="21"/>
                      <w:highlight w:val="none"/>
                      <w:vertAlign w:val="baseline"/>
                      <w:lang w:val="en-US" w:eastAsia="zh-CN"/>
                    </w:rPr>
                    <w:t>-8h</w:t>
                  </w:r>
                </w:p>
              </w:tc>
              <w:tc>
                <w:tcPr>
                  <w:tcW w:w="1045" w:type="dxa"/>
                  <w:tcBorders>
                    <w:tl2br w:val="nil"/>
                    <w:tr2bl w:val="nil"/>
                  </w:tcBorders>
                  <w:noWrap w:val="0"/>
                  <w:vAlign w:val="center"/>
                </w:tcPr>
                <w:p w14:paraId="010D36E1">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2.5</w:t>
                  </w:r>
                </w:p>
              </w:tc>
            </w:tr>
            <w:tr w14:paraId="4CEEA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648BE748">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年1月</w:t>
                  </w:r>
                </w:p>
              </w:tc>
              <w:tc>
                <w:tcPr>
                  <w:tcW w:w="942" w:type="dxa"/>
                  <w:tcBorders>
                    <w:tl2br w:val="nil"/>
                    <w:tr2bl w:val="nil"/>
                  </w:tcBorders>
                  <w:noWrap w:val="0"/>
                  <w:vAlign w:val="center"/>
                </w:tcPr>
                <w:p w14:paraId="3705D3D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1008" w:type="dxa"/>
                  <w:tcBorders>
                    <w:tl2br w:val="nil"/>
                    <w:tr2bl w:val="nil"/>
                  </w:tcBorders>
                  <w:noWrap w:val="0"/>
                  <w:vAlign w:val="center"/>
                </w:tcPr>
                <w:p w14:paraId="3FDCD25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0.021</w:t>
                  </w:r>
                </w:p>
              </w:tc>
              <w:tc>
                <w:tcPr>
                  <w:tcW w:w="1008" w:type="dxa"/>
                  <w:tcBorders>
                    <w:tl2br w:val="nil"/>
                    <w:tr2bl w:val="nil"/>
                  </w:tcBorders>
                  <w:noWrap w:val="0"/>
                  <w:vAlign w:val="center"/>
                </w:tcPr>
                <w:p w14:paraId="2BDE446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0.049</w:t>
                  </w:r>
                </w:p>
              </w:tc>
              <w:tc>
                <w:tcPr>
                  <w:tcW w:w="1019" w:type="dxa"/>
                  <w:tcBorders>
                    <w:tl2br w:val="nil"/>
                    <w:tr2bl w:val="nil"/>
                  </w:tcBorders>
                  <w:noWrap w:val="0"/>
                  <w:vAlign w:val="center"/>
                </w:tcPr>
                <w:p w14:paraId="02AF88C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w:t>
                  </w:r>
                </w:p>
              </w:tc>
              <w:tc>
                <w:tcPr>
                  <w:tcW w:w="1119" w:type="dxa"/>
                  <w:tcBorders>
                    <w:tl2br w:val="nil"/>
                    <w:tr2bl w:val="nil"/>
                  </w:tcBorders>
                  <w:noWrap w:val="0"/>
                  <w:vAlign w:val="center"/>
                </w:tcPr>
                <w:p w14:paraId="4A87ED8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0.089</w:t>
                  </w:r>
                </w:p>
              </w:tc>
              <w:tc>
                <w:tcPr>
                  <w:tcW w:w="1045" w:type="dxa"/>
                  <w:tcBorders>
                    <w:tl2br w:val="nil"/>
                    <w:tr2bl w:val="nil"/>
                  </w:tcBorders>
                  <w:noWrap w:val="0"/>
                  <w:vAlign w:val="center"/>
                </w:tcPr>
                <w:p w14:paraId="0554032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0.032</w:t>
                  </w:r>
                </w:p>
              </w:tc>
            </w:tr>
            <w:tr w14:paraId="640DF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429148F7">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年2月</w:t>
                  </w:r>
                </w:p>
              </w:tc>
              <w:tc>
                <w:tcPr>
                  <w:tcW w:w="942" w:type="dxa"/>
                  <w:tcBorders>
                    <w:tl2br w:val="nil"/>
                    <w:tr2bl w:val="nil"/>
                  </w:tcBorders>
                  <w:noWrap w:val="0"/>
                  <w:vAlign w:val="center"/>
                </w:tcPr>
                <w:p w14:paraId="2E951DC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1008" w:type="dxa"/>
                  <w:tcBorders>
                    <w:tl2br w:val="nil"/>
                    <w:tr2bl w:val="nil"/>
                  </w:tcBorders>
                  <w:noWrap w:val="0"/>
                  <w:vAlign w:val="center"/>
                </w:tcPr>
                <w:p w14:paraId="29C96D2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c>
                <w:tcPr>
                  <w:tcW w:w="1008" w:type="dxa"/>
                  <w:tcBorders>
                    <w:tl2br w:val="nil"/>
                    <w:tr2bl w:val="nil"/>
                  </w:tcBorders>
                  <w:noWrap w:val="0"/>
                  <w:vAlign w:val="center"/>
                </w:tcPr>
                <w:p w14:paraId="6651AB2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0.031</w:t>
                  </w:r>
                </w:p>
              </w:tc>
              <w:tc>
                <w:tcPr>
                  <w:tcW w:w="1019" w:type="dxa"/>
                  <w:tcBorders>
                    <w:tl2br w:val="nil"/>
                    <w:tr2bl w:val="nil"/>
                  </w:tcBorders>
                  <w:noWrap w:val="0"/>
                  <w:vAlign w:val="center"/>
                </w:tcPr>
                <w:p w14:paraId="20A8810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119" w:type="dxa"/>
                  <w:tcBorders>
                    <w:tl2br w:val="nil"/>
                    <w:tr2bl w:val="nil"/>
                  </w:tcBorders>
                  <w:noWrap w:val="0"/>
                  <w:vAlign w:val="center"/>
                </w:tcPr>
                <w:p w14:paraId="68CD047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0.078</w:t>
                  </w:r>
                </w:p>
              </w:tc>
              <w:tc>
                <w:tcPr>
                  <w:tcW w:w="1045" w:type="dxa"/>
                  <w:tcBorders>
                    <w:tl2br w:val="nil"/>
                    <w:tr2bl w:val="nil"/>
                  </w:tcBorders>
                  <w:noWrap w:val="0"/>
                  <w:vAlign w:val="center"/>
                </w:tcPr>
                <w:p w14:paraId="624F298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r>
            <w:tr w14:paraId="5E646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7440CFE1">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年3月</w:t>
                  </w:r>
                </w:p>
              </w:tc>
              <w:tc>
                <w:tcPr>
                  <w:tcW w:w="942" w:type="dxa"/>
                  <w:tcBorders>
                    <w:tl2br w:val="nil"/>
                    <w:tr2bl w:val="nil"/>
                  </w:tcBorders>
                  <w:noWrap w:val="0"/>
                  <w:vAlign w:val="center"/>
                </w:tcPr>
                <w:p w14:paraId="549FD22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c>
                <w:tcPr>
                  <w:tcW w:w="1008" w:type="dxa"/>
                  <w:tcBorders>
                    <w:tl2br w:val="nil"/>
                    <w:tr2bl w:val="nil"/>
                  </w:tcBorders>
                  <w:noWrap w:val="0"/>
                  <w:vAlign w:val="center"/>
                </w:tcPr>
                <w:p w14:paraId="35A3F8D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0.019</w:t>
                  </w:r>
                </w:p>
              </w:tc>
              <w:tc>
                <w:tcPr>
                  <w:tcW w:w="1008" w:type="dxa"/>
                  <w:tcBorders>
                    <w:tl2br w:val="nil"/>
                    <w:tr2bl w:val="nil"/>
                  </w:tcBorders>
                  <w:noWrap w:val="0"/>
                  <w:vAlign w:val="center"/>
                </w:tcPr>
                <w:p w14:paraId="379484E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0.044</w:t>
                  </w:r>
                </w:p>
              </w:tc>
              <w:tc>
                <w:tcPr>
                  <w:tcW w:w="1019" w:type="dxa"/>
                  <w:tcBorders>
                    <w:tl2br w:val="nil"/>
                    <w:tr2bl w:val="nil"/>
                  </w:tcBorders>
                  <w:noWrap w:val="0"/>
                  <w:vAlign w:val="center"/>
                </w:tcPr>
                <w:p w14:paraId="0E6DCCE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119" w:type="dxa"/>
                  <w:tcBorders>
                    <w:tl2br w:val="nil"/>
                    <w:tr2bl w:val="nil"/>
                  </w:tcBorders>
                  <w:noWrap w:val="0"/>
                  <w:vAlign w:val="center"/>
                </w:tcPr>
                <w:p w14:paraId="0BD12A6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0.101</w:t>
                  </w:r>
                </w:p>
              </w:tc>
              <w:tc>
                <w:tcPr>
                  <w:tcW w:w="1045" w:type="dxa"/>
                  <w:tcBorders>
                    <w:tl2br w:val="nil"/>
                    <w:tr2bl w:val="nil"/>
                  </w:tcBorders>
                  <w:noWrap w:val="0"/>
                  <w:vAlign w:val="center"/>
                </w:tcPr>
                <w:p w14:paraId="29B0C41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0.024</w:t>
                  </w:r>
                </w:p>
              </w:tc>
            </w:tr>
            <w:tr w14:paraId="2C2A2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3D52B905">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年4月</w:t>
                  </w:r>
                </w:p>
              </w:tc>
              <w:tc>
                <w:tcPr>
                  <w:tcW w:w="942" w:type="dxa"/>
                  <w:tcBorders>
                    <w:tl2br w:val="nil"/>
                    <w:tr2bl w:val="nil"/>
                  </w:tcBorders>
                  <w:noWrap w:val="0"/>
                  <w:vAlign w:val="center"/>
                </w:tcPr>
                <w:p w14:paraId="460BB7D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noWrap w:val="0"/>
                  <w:vAlign w:val="center"/>
                </w:tcPr>
                <w:p w14:paraId="4FC496D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c>
                <w:tcPr>
                  <w:tcW w:w="1008" w:type="dxa"/>
                  <w:tcBorders>
                    <w:tl2br w:val="nil"/>
                    <w:tr2bl w:val="nil"/>
                  </w:tcBorders>
                  <w:noWrap w:val="0"/>
                  <w:vAlign w:val="center"/>
                </w:tcPr>
                <w:p w14:paraId="5BC3F75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0.038</w:t>
                  </w:r>
                </w:p>
              </w:tc>
              <w:tc>
                <w:tcPr>
                  <w:tcW w:w="1019" w:type="dxa"/>
                  <w:tcBorders>
                    <w:tl2br w:val="nil"/>
                    <w:tr2bl w:val="nil"/>
                  </w:tcBorders>
                  <w:noWrap w:val="0"/>
                  <w:vAlign w:val="center"/>
                </w:tcPr>
                <w:p w14:paraId="1BF3433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119" w:type="dxa"/>
                  <w:tcBorders>
                    <w:tl2br w:val="nil"/>
                    <w:tr2bl w:val="nil"/>
                  </w:tcBorders>
                  <w:noWrap w:val="0"/>
                  <w:vAlign w:val="center"/>
                </w:tcPr>
                <w:p w14:paraId="4E447A3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0.101</w:t>
                  </w:r>
                </w:p>
              </w:tc>
              <w:tc>
                <w:tcPr>
                  <w:tcW w:w="1045" w:type="dxa"/>
                  <w:tcBorders>
                    <w:tl2br w:val="nil"/>
                    <w:tr2bl w:val="nil"/>
                  </w:tcBorders>
                  <w:noWrap w:val="0"/>
                  <w:vAlign w:val="center"/>
                </w:tcPr>
                <w:p w14:paraId="32E58F7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r>
            <w:tr w14:paraId="3AB32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542E48DC">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年5月</w:t>
                  </w:r>
                </w:p>
              </w:tc>
              <w:tc>
                <w:tcPr>
                  <w:tcW w:w="942" w:type="dxa"/>
                  <w:tcBorders>
                    <w:tl2br w:val="nil"/>
                    <w:tr2bl w:val="nil"/>
                  </w:tcBorders>
                  <w:noWrap w:val="0"/>
                  <w:vAlign w:val="center"/>
                </w:tcPr>
                <w:p w14:paraId="6DFE760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noWrap w:val="0"/>
                  <w:vAlign w:val="center"/>
                </w:tcPr>
                <w:p w14:paraId="25B7A9C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c>
                <w:tcPr>
                  <w:tcW w:w="1008" w:type="dxa"/>
                  <w:tcBorders>
                    <w:tl2br w:val="nil"/>
                    <w:tr2bl w:val="nil"/>
                  </w:tcBorders>
                  <w:noWrap w:val="0"/>
                  <w:vAlign w:val="center"/>
                </w:tcPr>
                <w:p w14:paraId="26F4483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0.025</w:t>
                  </w:r>
                </w:p>
              </w:tc>
              <w:tc>
                <w:tcPr>
                  <w:tcW w:w="1019" w:type="dxa"/>
                  <w:tcBorders>
                    <w:tl2br w:val="nil"/>
                    <w:tr2bl w:val="nil"/>
                  </w:tcBorders>
                  <w:noWrap w:val="0"/>
                  <w:vAlign w:val="center"/>
                </w:tcPr>
                <w:p w14:paraId="0A23132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119" w:type="dxa"/>
                  <w:tcBorders>
                    <w:tl2br w:val="nil"/>
                    <w:tr2bl w:val="nil"/>
                  </w:tcBorders>
                  <w:noWrap w:val="0"/>
                  <w:vAlign w:val="center"/>
                </w:tcPr>
                <w:p w14:paraId="02C7DDD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0.105</w:t>
                  </w:r>
                </w:p>
              </w:tc>
              <w:tc>
                <w:tcPr>
                  <w:tcW w:w="1045" w:type="dxa"/>
                  <w:tcBorders>
                    <w:tl2br w:val="nil"/>
                    <w:tr2bl w:val="nil"/>
                  </w:tcBorders>
                  <w:noWrap w:val="0"/>
                  <w:vAlign w:val="center"/>
                </w:tcPr>
                <w:p w14:paraId="4D09704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0.014</w:t>
                  </w:r>
                </w:p>
              </w:tc>
            </w:tr>
            <w:tr w14:paraId="0EE67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25FAB7E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年6月</w:t>
                  </w:r>
                </w:p>
              </w:tc>
              <w:tc>
                <w:tcPr>
                  <w:tcW w:w="942" w:type="dxa"/>
                  <w:tcBorders>
                    <w:tl2br w:val="nil"/>
                    <w:tr2bl w:val="nil"/>
                  </w:tcBorders>
                  <w:noWrap w:val="0"/>
                  <w:vAlign w:val="center"/>
                </w:tcPr>
                <w:p w14:paraId="3C69EC6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noWrap w:val="0"/>
                  <w:vAlign w:val="center"/>
                </w:tcPr>
                <w:p w14:paraId="683EA21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008" w:type="dxa"/>
                  <w:tcBorders>
                    <w:tl2br w:val="nil"/>
                    <w:tr2bl w:val="nil"/>
                  </w:tcBorders>
                  <w:noWrap w:val="0"/>
                  <w:vAlign w:val="center"/>
                </w:tcPr>
                <w:p w14:paraId="2224356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0.019</w:t>
                  </w:r>
                </w:p>
              </w:tc>
              <w:tc>
                <w:tcPr>
                  <w:tcW w:w="1019" w:type="dxa"/>
                  <w:tcBorders>
                    <w:tl2br w:val="nil"/>
                    <w:tr2bl w:val="nil"/>
                  </w:tcBorders>
                  <w:noWrap w:val="0"/>
                  <w:vAlign w:val="center"/>
                </w:tcPr>
                <w:p w14:paraId="2E4E3D9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119" w:type="dxa"/>
                  <w:tcBorders>
                    <w:tl2br w:val="nil"/>
                    <w:tr2bl w:val="nil"/>
                  </w:tcBorders>
                  <w:noWrap w:val="0"/>
                  <w:vAlign w:val="center"/>
                </w:tcPr>
                <w:p w14:paraId="35288A9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0.085</w:t>
                  </w:r>
                </w:p>
              </w:tc>
              <w:tc>
                <w:tcPr>
                  <w:tcW w:w="1045" w:type="dxa"/>
                  <w:tcBorders>
                    <w:tl2br w:val="nil"/>
                    <w:tr2bl w:val="nil"/>
                  </w:tcBorders>
                  <w:noWrap w:val="0"/>
                  <w:vAlign w:val="center"/>
                </w:tcPr>
                <w:p w14:paraId="07702F8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r>
            <w:tr w14:paraId="236BD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10A2C0E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年7月</w:t>
                  </w:r>
                </w:p>
              </w:tc>
              <w:tc>
                <w:tcPr>
                  <w:tcW w:w="942" w:type="dxa"/>
                  <w:tcBorders>
                    <w:tl2br w:val="nil"/>
                    <w:tr2bl w:val="nil"/>
                  </w:tcBorders>
                  <w:noWrap w:val="0"/>
                  <w:vAlign w:val="center"/>
                </w:tcPr>
                <w:p w14:paraId="0BCD474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1008" w:type="dxa"/>
                  <w:tcBorders>
                    <w:tl2br w:val="nil"/>
                    <w:tr2bl w:val="nil"/>
                  </w:tcBorders>
                  <w:noWrap w:val="0"/>
                  <w:vAlign w:val="center"/>
                </w:tcPr>
                <w:p w14:paraId="750D1DE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0.006</w:t>
                  </w:r>
                </w:p>
              </w:tc>
              <w:tc>
                <w:tcPr>
                  <w:tcW w:w="1008" w:type="dxa"/>
                  <w:tcBorders>
                    <w:tl2br w:val="nil"/>
                    <w:tr2bl w:val="nil"/>
                  </w:tcBorders>
                  <w:noWrap w:val="0"/>
                  <w:vAlign w:val="center"/>
                </w:tcPr>
                <w:p w14:paraId="172C5B4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0.018</w:t>
                  </w:r>
                </w:p>
              </w:tc>
              <w:tc>
                <w:tcPr>
                  <w:tcW w:w="1019" w:type="dxa"/>
                  <w:tcBorders>
                    <w:tl2br w:val="nil"/>
                    <w:tr2bl w:val="nil"/>
                  </w:tcBorders>
                  <w:noWrap w:val="0"/>
                  <w:vAlign w:val="center"/>
                </w:tcPr>
                <w:p w14:paraId="0A83CDA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119" w:type="dxa"/>
                  <w:tcBorders>
                    <w:tl2br w:val="nil"/>
                    <w:tr2bl w:val="nil"/>
                  </w:tcBorders>
                  <w:noWrap w:val="0"/>
                  <w:vAlign w:val="center"/>
                </w:tcPr>
                <w:p w14:paraId="408CFAD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0.081</w:t>
                  </w:r>
                </w:p>
              </w:tc>
              <w:tc>
                <w:tcPr>
                  <w:tcW w:w="1045" w:type="dxa"/>
                  <w:tcBorders>
                    <w:tl2br w:val="nil"/>
                    <w:tr2bl w:val="nil"/>
                  </w:tcBorders>
                  <w:noWrap w:val="0"/>
                  <w:vAlign w:val="center"/>
                </w:tcPr>
                <w:p w14:paraId="53E09D5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r>
            <w:tr w14:paraId="3AF30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39637E3F">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年8月</w:t>
                  </w:r>
                </w:p>
              </w:tc>
              <w:tc>
                <w:tcPr>
                  <w:tcW w:w="942" w:type="dxa"/>
                  <w:tcBorders>
                    <w:tl2br w:val="nil"/>
                    <w:tr2bl w:val="nil"/>
                  </w:tcBorders>
                  <w:noWrap w:val="0"/>
                  <w:vAlign w:val="center"/>
                </w:tcPr>
                <w:p w14:paraId="40F8A6E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1008" w:type="dxa"/>
                  <w:tcBorders>
                    <w:tl2br w:val="nil"/>
                    <w:tr2bl w:val="nil"/>
                  </w:tcBorders>
                  <w:noWrap w:val="0"/>
                  <w:vAlign w:val="center"/>
                </w:tcPr>
                <w:p w14:paraId="4A0A816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008" w:type="dxa"/>
                  <w:tcBorders>
                    <w:tl2br w:val="nil"/>
                    <w:tr2bl w:val="nil"/>
                  </w:tcBorders>
                  <w:noWrap w:val="0"/>
                  <w:vAlign w:val="center"/>
                </w:tcPr>
                <w:p w14:paraId="7CA193B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0.030</w:t>
                  </w:r>
                </w:p>
              </w:tc>
              <w:tc>
                <w:tcPr>
                  <w:tcW w:w="1019" w:type="dxa"/>
                  <w:tcBorders>
                    <w:tl2br w:val="nil"/>
                    <w:tr2bl w:val="nil"/>
                  </w:tcBorders>
                  <w:noWrap w:val="0"/>
                  <w:vAlign w:val="center"/>
                </w:tcPr>
                <w:p w14:paraId="5F7A5F2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119" w:type="dxa"/>
                  <w:tcBorders>
                    <w:tl2br w:val="nil"/>
                    <w:tr2bl w:val="nil"/>
                  </w:tcBorders>
                  <w:noWrap w:val="0"/>
                  <w:vAlign w:val="center"/>
                </w:tcPr>
                <w:p w14:paraId="09F6203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0.109</w:t>
                  </w:r>
                </w:p>
              </w:tc>
              <w:tc>
                <w:tcPr>
                  <w:tcW w:w="1045" w:type="dxa"/>
                  <w:tcBorders>
                    <w:tl2br w:val="nil"/>
                    <w:tr2bl w:val="nil"/>
                  </w:tcBorders>
                  <w:noWrap w:val="0"/>
                  <w:vAlign w:val="center"/>
                </w:tcPr>
                <w:p w14:paraId="033EE12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w:t>
                  </w:r>
                </w:p>
              </w:tc>
            </w:tr>
            <w:tr w14:paraId="32375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7CC0AE00">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年9月</w:t>
                  </w:r>
                </w:p>
              </w:tc>
              <w:tc>
                <w:tcPr>
                  <w:tcW w:w="942" w:type="dxa"/>
                  <w:tcBorders>
                    <w:tl2br w:val="nil"/>
                    <w:tr2bl w:val="nil"/>
                  </w:tcBorders>
                  <w:noWrap w:val="0"/>
                  <w:vAlign w:val="center"/>
                </w:tcPr>
                <w:p w14:paraId="284A96D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noWrap w:val="0"/>
                  <w:vAlign w:val="center"/>
                </w:tcPr>
                <w:p w14:paraId="1FDA373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0.006</w:t>
                  </w:r>
                </w:p>
              </w:tc>
              <w:tc>
                <w:tcPr>
                  <w:tcW w:w="1008" w:type="dxa"/>
                  <w:tcBorders>
                    <w:tl2br w:val="nil"/>
                    <w:tr2bl w:val="nil"/>
                  </w:tcBorders>
                  <w:noWrap w:val="0"/>
                  <w:vAlign w:val="center"/>
                </w:tcPr>
                <w:p w14:paraId="5755C6F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0.019</w:t>
                  </w:r>
                </w:p>
              </w:tc>
              <w:tc>
                <w:tcPr>
                  <w:tcW w:w="1019" w:type="dxa"/>
                  <w:tcBorders>
                    <w:tl2br w:val="nil"/>
                    <w:tr2bl w:val="nil"/>
                  </w:tcBorders>
                  <w:noWrap w:val="0"/>
                  <w:vAlign w:val="center"/>
                </w:tcPr>
                <w:p w14:paraId="42C20F7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119" w:type="dxa"/>
                  <w:tcBorders>
                    <w:tl2br w:val="nil"/>
                    <w:tr2bl w:val="nil"/>
                  </w:tcBorders>
                  <w:noWrap w:val="0"/>
                  <w:vAlign w:val="center"/>
                </w:tcPr>
                <w:p w14:paraId="4F093C2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0.095</w:t>
                  </w:r>
                </w:p>
              </w:tc>
              <w:tc>
                <w:tcPr>
                  <w:tcW w:w="1045" w:type="dxa"/>
                  <w:tcBorders>
                    <w:tl2br w:val="nil"/>
                    <w:tr2bl w:val="nil"/>
                  </w:tcBorders>
                  <w:noWrap w:val="0"/>
                  <w:vAlign w:val="center"/>
                </w:tcPr>
                <w:p w14:paraId="7882535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r>
            <w:tr w14:paraId="3DE80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4D95B01F">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年10月</w:t>
                  </w:r>
                </w:p>
              </w:tc>
              <w:tc>
                <w:tcPr>
                  <w:tcW w:w="942" w:type="dxa"/>
                  <w:tcBorders>
                    <w:tl2br w:val="nil"/>
                    <w:tr2bl w:val="nil"/>
                  </w:tcBorders>
                  <w:noWrap w:val="0"/>
                  <w:vAlign w:val="center"/>
                </w:tcPr>
                <w:p w14:paraId="6EBD725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14:paraId="4008098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0.008</w:t>
                  </w:r>
                </w:p>
              </w:tc>
              <w:tc>
                <w:tcPr>
                  <w:tcW w:w="1008" w:type="dxa"/>
                  <w:tcBorders>
                    <w:tl2br w:val="nil"/>
                    <w:tr2bl w:val="nil"/>
                  </w:tcBorders>
                  <w:noWrap w:val="0"/>
                  <w:vAlign w:val="center"/>
                </w:tcPr>
                <w:p w14:paraId="5AFA5D5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1019" w:type="dxa"/>
                  <w:tcBorders>
                    <w:tl2br w:val="nil"/>
                    <w:tr2bl w:val="nil"/>
                  </w:tcBorders>
                  <w:noWrap w:val="0"/>
                  <w:vAlign w:val="center"/>
                </w:tcPr>
                <w:p w14:paraId="5433F5F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119" w:type="dxa"/>
                  <w:tcBorders>
                    <w:tl2br w:val="nil"/>
                    <w:tr2bl w:val="nil"/>
                  </w:tcBorders>
                  <w:noWrap w:val="0"/>
                  <w:vAlign w:val="center"/>
                </w:tcPr>
                <w:p w14:paraId="4EF34078">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0.085</w:t>
                  </w:r>
                </w:p>
              </w:tc>
              <w:tc>
                <w:tcPr>
                  <w:tcW w:w="1045" w:type="dxa"/>
                  <w:tcBorders>
                    <w:tl2br w:val="nil"/>
                    <w:tr2bl w:val="nil"/>
                  </w:tcBorders>
                  <w:noWrap w:val="0"/>
                  <w:vAlign w:val="center"/>
                </w:tcPr>
                <w:p w14:paraId="72FB40A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r>
            <w:tr w14:paraId="2F6E4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78AF3B13">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年11月</w:t>
                  </w:r>
                </w:p>
              </w:tc>
              <w:tc>
                <w:tcPr>
                  <w:tcW w:w="942" w:type="dxa"/>
                  <w:tcBorders>
                    <w:tl2br w:val="nil"/>
                    <w:tr2bl w:val="nil"/>
                  </w:tcBorders>
                  <w:noWrap w:val="0"/>
                  <w:vAlign w:val="center"/>
                </w:tcPr>
                <w:p w14:paraId="6995664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14:paraId="6E8D533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008" w:type="dxa"/>
                  <w:tcBorders>
                    <w:tl2br w:val="nil"/>
                    <w:tr2bl w:val="nil"/>
                  </w:tcBorders>
                  <w:noWrap w:val="0"/>
                  <w:vAlign w:val="center"/>
                </w:tcPr>
                <w:p w14:paraId="32CBB14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0.024</w:t>
                  </w:r>
                </w:p>
              </w:tc>
              <w:tc>
                <w:tcPr>
                  <w:tcW w:w="1019" w:type="dxa"/>
                  <w:tcBorders>
                    <w:tl2br w:val="nil"/>
                    <w:tr2bl w:val="nil"/>
                  </w:tcBorders>
                  <w:noWrap w:val="0"/>
                  <w:vAlign w:val="center"/>
                </w:tcPr>
                <w:p w14:paraId="13DC0A1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119" w:type="dxa"/>
                  <w:tcBorders>
                    <w:tl2br w:val="nil"/>
                    <w:tr2bl w:val="nil"/>
                  </w:tcBorders>
                  <w:noWrap w:val="0"/>
                  <w:vAlign w:val="center"/>
                </w:tcPr>
                <w:p w14:paraId="4AEBF5C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0.104</w:t>
                  </w:r>
                </w:p>
              </w:tc>
              <w:tc>
                <w:tcPr>
                  <w:tcW w:w="1045" w:type="dxa"/>
                  <w:tcBorders>
                    <w:tl2br w:val="nil"/>
                    <w:tr2bl w:val="nil"/>
                  </w:tcBorders>
                  <w:noWrap w:val="0"/>
                  <w:vAlign w:val="center"/>
                </w:tcPr>
                <w:p w14:paraId="2D93502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r>
            <w:tr w14:paraId="53C7E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0BB8E52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年12月</w:t>
                  </w:r>
                </w:p>
              </w:tc>
              <w:tc>
                <w:tcPr>
                  <w:tcW w:w="942" w:type="dxa"/>
                  <w:tcBorders>
                    <w:tl2br w:val="nil"/>
                    <w:tr2bl w:val="nil"/>
                  </w:tcBorders>
                  <w:noWrap w:val="0"/>
                  <w:vAlign w:val="center"/>
                </w:tcPr>
                <w:p w14:paraId="3BCB463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noWrap w:val="0"/>
                  <w:vAlign w:val="center"/>
                </w:tcPr>
                <w:p w14:paraId="5AA5DEC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c>
                <w:tcPr>
                  <w:tcW w:w="1008" w:type="dxa"/>
                  <w:tcBorders>
                    <w:tl2br w:val="nil"/>
                    <w:tr2bl w:val="nil"/>
                  </w:tcBorders>
                  <w:noWrap w:val="0"/>
                  <w:vAlign w:val="center"/>
                </w:tcPr>
                <w:p w14:paraId="41D99A1B">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0.030</w:t>
                  </w:r>
                </w:p>
              </w:tc>
              <w:tc>
                <w:tcPr>
                  <w:tcW w:w="1019" w:type="dxa"/>
                  <w:tcBorders>
                    <w:tl2br w:val="nil"/>
                    <w:tr2bl w:val="nil"/>
                  </w:tcBorders>
                  <w:noWrap w:val="0"/>
                  <w:vAlign w:val="center"/>
                </w:tcPr>
                <w:p w14:paraId="4E8057E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119" w:type="dxa"/>
                  <w:tcBorders>
                    <w:tl2br w:val="nil"/>
                    <w:tr2bl w:val="nil"/>
                  </w:tcBorders>
                  <w:noWrap w:val="0"/>
                  <w:vAlign w:val="center"/>
                </w:tcPr>
                <w:p w14:paraId="67278B39">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0.110</w:t>
                  </w:r>
                </w:p>
              </w:tc>
              <w:tc>
                <w:tcPr>
                  <w:tcW w:w="1045" w:type="dxa"/>
                  <w:tcBorders>
                    <w:tl2br w:val="nil"/>
                    <w:tr2bl w:val="nil"/>
                  </w:tcBorders>
                  <w:noWrap w:val="0"/>
                  <w:vAlign w:val="center"/>
                </w:tcPr>
                <w:p w14:paraId="4E529DC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0.016</w:t>
                  </w:r>
                </w:p>
              </w:tc>
            </w:tr>
            <w:tr w14:paraId="7CE7D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201197AF">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w:t>
                  </w:r>
                </w:p>
              </w:tc>
              <w:tc>
                <w:tcPr>
                  <w:tcW w:w="942" w:type="dxa"/>
                  <w:tcBorders>
                    <w:tl2br w:val="nil"/>
                    <w:tr2bl w:val="nil"/>
                  </w:tcBorders>
                  <w:noWrap w:val="0"/>
                  <w:vAlign w:val="center"/>
                </w:tcPr>
                <w:p w14:paraId="2560F28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0.060</w:t>
                  </w:r>
                </w:p>
              </w:tc>
              <w:tc>
                <w:tcPr>
                  <w:tcW w:w="1008" w:type="dxa"/>
                  <w:tcBorders>
                    <w:tl2br w:val="nil"/>
                    <w:tr2bl w:val="nil"/>
                  </w:tcBorders>
                  <w:noWrap w:val="0"/>
                  <w:vAlign w:val="center"/>
                </w:tcPr>
                <w:p w14:paraId="5F908682">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0.040</w:t>
                  </w:r>
                </w:p>
              </w:tc>
              <w:tc>
                <w:tcPr>
                  <w:tcW w:w="1008" w:type="dxa"/>
                  <w:tcBorders>
                    <w:tl2br w:val="nil"/>
                    <w:tr2bl w:val="nil"/>
                  </w:tcBorders>
                  <w:noWrap w:val="0"/>
                  <w:vAlign w:val="center"/>
                </w:tcPr>
                <w:p w14:paraId="4E871CA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1019" w:type="dxa"/>
                  <w:tcBorders>
                    <w:tl2br w:val="nil"/>
                    <w:tr2bl w:val="nil"/>
                  </w:tcBorders>
                  <w:noWrap w:val="0"/>
                  <w:vAlign w:val="center"/>
                </w:tcPr>
                <w:p w14:paraId="5506478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119" w:type="dxa"/>
                  <w:tcBorders>
                    <w:tl2br w:val="nil"/>
                    <w:tr2bl w:val="nil"/>
                  </w:tcBorders>
                  <w:noWrap w:val="0"/>
                  <w:vAlign w:val="center"/>
                </w:tcPr>
                <w:p w14:paraId="7F5E0B1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0.160</w:t>
                  </w:r>
                </w:p>
              </w:tc>
              <w:tc>
                <w:tcPr>
                  <w:tcW w:w="1045" w:type="dxa"/>
                  <w:tcBorders>
                    <w:tl2br w:val="nil"/>
                    <w:tr2bl w:val="nil"/>
                  </w:tcBorders>
                  <w:noWrap w:val="0"/>
                  <w:vAlign w:val="center"/>
                </w:tcPr>
                <w:p w14:paraId="7E5302E6">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0.035</w:t>
                  </w:r>
                </w:p>
              </w:tc>
            </w:tr>
            <w:tr w14:paraId="0E291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953" w:type="dxa"/>
                  <w:tcBorders>
                    <w:tl2br w:val="nil"/>
                    <w:tr2bl w:val="nil"/>
                  </w:tcBorders>
                  <w:noWrap w:val="0"/>
                  <w:vAlign w:val="center"/>
                </w:tcPr>
                <w:p w14:paraId="7DC32FFF">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c>
                <w:tcPr>
                  <w:tcW w:w="6141" w:type="dxa"/>
                  <w:gridSpan w:val="6"/>
                  <w:tcBorders>
                    <w:tl2br w:val="nil"/>
                    <w:tr2bl w:val="nil"/>
                  </w:tcBorders>
                  <w:noWrap w:val="0"/>
                  <w:vAlign w:val="center"/>
                </w:tcPr>
                <w:p w14:paraId="74D88744">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7B99A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94" w:type="dxa"/>
                  <w:gridSpan w:val="7"/>
                  <w:tcBorders>
                    <w:tl2br w:val="nil"/>
                    <w:tr2bl w:val="nil"/>
                  </w:tcBorders>
                  <w:noWrap w:val="0"/>
                  <w:vAlign w:val="center"/>
                </w:tcPr>
                <w:p w14:paraId="24A1106C">
                  <w:pPr>
                    <w:spacing w:line="240" w:lineRule="auto"/>
                    <w:ind w:firstLine="0" w:firstLineChars="0"/>
                    <w:jc w:val="both"/>
                    <w:rPr>
                      <w:rFonts w:hint="default" w:ascii="Times New Roman" w:hAnsi="Times New Roman" w:eastAsia="宋体"/>
                      <w:color w:val="auto"/>
                      <w:highlight w:val="none"/>
                      <w:lang w:val="en-US" w:eastAsia="zh-CN"/>
                    </w:rPr>
                  </w:pPr>
                  <w:r>
                    <w:rPr>
                      <w:rFonts w:hint="default" w:ascii="Times New Roman" w:hAnsi="Times New Roman" w:eastAsia="宋体"/>
                      <w:color w:val="auto"/>
                      <w:sz w:val="18"/>
                      <w:szCs w:val="18"/>
                      <w:highlight w:val="none"/>
                    </w:rPr>
                    <w:t>注：CO为日均值第95百分位数，O</w:t>
                  </w:r>
                  <w:r>
                    <w:rPr>
                      <w:rFonts w:hint="default" w:ascii="Times New Roman" w:hAnsi="Times New Roman" w:eastAsia="宋体"/>
                      <w:color w:val="auto"/>
                      <w:sz w:val="18"/>
                      <w:szCs w:val="18"/>
                      <w:highlight w:val="none"/>
                      <w:vertAlign w:val="subscript"/>
                    </w:rPr>
                    <w:t>3</w:t>
                  </w:r>
                  <w:r>
                    <w:rPr>
                      <w:rFonts w:hint="default" w:ascii="Times New Roman" w:hAnsi="Times New Roman" w:eastAsia="宋体"/>
                      <w:color w:val="auto"/>
                      <w:sz w:val="18"/>
                      <w:szCs w:val="18"/>
                      <w:highlight w:val="none"/>
                    </w:rPr>
                    <w:t>为日最大8小时值第90百分位数。</w:t>
                  </w:r>
                </w:p>
              </w:tc>
            </w:tr>
          </w:tbl>
          <w:p w14:paraId="21E152C8">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szCs w:val="24"/>
                <w:highlight w:val="none"/>
                <w:lang w:val="en-US" w:eastAsia="zh-CN"/>
              </w:rPr>
              <w:t>由上表可知，</w:t>
            </w:r>
            <w:r>
              <w:rPr>
                <w:rFonts w:hint="eastAsia" w:ascii="Times New Roman" w:hAnsi="Times New Roman" w:eastAsia="宋体" w:cs="Times New Roman"/>
                <w:color w:val="auto"/>
                <w:sz w:val="24"/>
                <w:szCs w:val="24"/>
                <w:highlight w:val="none"/>
                <w:lang w:val="en-US" w:eastAsia="zh-CN"/>
              </w:rPr>
              <w:t>福州市长乐</w:t>
            </w:r>
            <w:r>
              <w:rPr>
                <w:rFonts w:hint="default" w:ascii="Times New Roman" w:hAnsi="Times New Roman" w:eastAsia="宋体" w:cs="Times New Roman"/>
                <w:color w:val="auto"/>
                <w:sz w:val="24"/>
                <w:szCs w:val="24"/>
                <w:highlight w:val="none"/>
              </w:rPr>
              <w:t>区</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年1月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12月份环境</w:t>
            </w:r>
            <w:r>
              <w:rPr>
                <w:rFonts w:hint="eastAsia" w:ascii="Times New Roman" w:hAnsi="Times New Roman" w:eastAsia="宋体" w:cs="Times New Roman"/>
                <w:color w:val="auto"/>
                <w:sz w:val="24"/>
                <w:szCs w:val="24"/>
                <w:highlight w:val="none"/>
                <w:lang w:val="en-US" w:eastAsia="zh-CN"/>
              </w:rPr>
              <w:t>空气</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bCs/>
                <w:color w:val="auto"/>
                <w:sz w:val="24"/>
              </w:rPr>
              <w:t>SO</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、NO</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、PM</w:t>
            </w:r>
            <w:r>
              <w:rPr>
                <w:rFonts w:hint="default" w:ascii="Times New Roman" w:hAnsi="Times New Roman" w:eastAsia="宋体" w:cs="Times New Roman"/>
                <w:bCs/>
                <w:color w:val="auto"/>
                <w:sz w:val="24"/>
                <w:vertAlign w:val="subscript"/>
              </w:rPr>
              <w:t>10</w:t>
            </w:r>
            <w:r>
              <w:rPr>
                <w:rFonts w:hint="default" w:ascii="Times New Roman" w:hAnsi="Times New Roman" w:eastAsia="宋体" w:cs="Times New Roman"/>
                <w:bCs/>
                <w:color w:val="auto"/>
                <w:sz w:val="24"/>
              </w:rPr>
              <w:t>、PM</w:t>
            </w:r>
            <w:r>
              <w:rPr>
                <w:rFonts w:hint="default" w:ascii="Times New Roman" w:hAnsi="Times New Roman" w:eastAsia="宋体" w:cs="Times New Roman"/>
                <w:bCs/>
                <w:color w:val="auto"/>
                <w:sz w:val="24"/>
                <w:vertAlign w:val="subscript"/>
              </w:rPr>
              <w:t>2.5</w:t>
            </w:r>
            <w:r>
              <w:rPr>
                <w:rFonts w:hint="default" w:ascii="Times New Roman" w:hAnsi="Times New Roman" w:eastAsia="宋体" w:cs="Times New Roman"/>
                <w:bCs/>
                <w:color w:val="auto"/>
                <w:sz w:val="24"/>
              </w:rPr>
              <w:t>、CO、O</w:t>
            </w:r>
            <w:r>
              <w:rPr>
                <w:rFonts w:hint="default" w:ascii="Times New Roman" w:hAnsi="Times New Roman" w:eastAsia="宋体" w:cs="Times New Roman"/>
                <w:bCs/>
                <w:color w:val="auto"/>
                <w:sz w:val="24"/>
                <w:vertAlign w:val="subscript"/>
              </w:rPr>
              <w:t>3</w:t>
            </w:r>
            <w:r>
              <w:rPr>
                <w:rFonts w:hint="default" w:ascii="Times New Roman" w:hAnsi="Times New Roman" w:eastAsia="宋体" w:cs="Times New Roman"/>
                <w:bCs/>
                <w:color w:val="auto"/>
                <w:sz w:val="24"/>
              </w:rPr>
              <w:t>六项污染物</w:t>
            </w:r>
            <w:r>
              <w:rPr>
                <w:rFonts w:hint="eastAsia" w:ascii="Times New Roman" w:hAnsi="Times New Roman" w:eastAsia="宋体" w:cs="Times New Roman"/>
                <w:bCs/>
                <w:color w:val="auto"/>
                <w:sz w:val="24"/>
                <w:lang w:eastAsia="zh-CN"/>
              </w:rPr>
              <w:t>浓度指标可达</w:t>
            </w:r>
            <w:r>
              <w:rPr>
                <w:rFonts w:hint="default" w:ascii="Times New Roman" w:hAnsi="Times New Roman" w:eastAsia="宋体" w:cs="Times New Roman"/>
                <w:bCs/>
                <w:color w:val="auto"/>
                <w:sz w:val="24"/>
              </w:rPr>
              <w:t>《环境空气质量标准》</w:t>
            </w:r>
            <w:r>
              <w:rPr>
                <w:rFonts w:hint="default"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rPr>
              <w:t>GB3095-2012</w:t>
            </w:r>
            <w:r>
              <w:rPr>
                <w:rFonts w:hint="default" w:ascii="Times New Roman" w:hAnsi="Times New Roman" w:eastAsia="宋体" w:cs="Times New Roman"/>
                <w:bCs/>
                <w:color w:val="auto"/>
                <w:sz w:val="24"/>
                <w:lang w:val="en-US" w:eastAsia="zh-CN"/>
              </w:rPr>
              <w:t>)及其修改单</w:t>
            </w:r>
            <w:r>
              <w:rPr>
                <w:rFonts w:hint="default" w:ascii="Times New Roman" w:hAnsi="Times New Roman" w:eastAsia="宋体" w:cs="Times New Roman"/>
                <w:bCs/>
                <w:color w:val="auto"/>
                <w:sz w:val="24"/>
              </w:rPr>
              <w:t>中的二级标准要求</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color w:val="auto"/>
                <w:sz w:val="24"/>
                <w:szCs w:val="24"/>
                <w:highlight w:val="none"/>
                <w:lang w:val="en-US" w:eastAsia="zh-CN"/>
              </w:rPr>
              <w:t>因此，项目所在区域属于大气环境达标区。</w:t>
            </w:r>
          </w:p>
          <w:p w14:paraId="5F76D9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lang w:val="en-US" w:eastAsia="zh-CN"/>
              </w:rPr>
              <w:t>其他</w:t>
            </w:r>
            <w:r>
              <w:rPr>
                <w:rFonts w:hint="default" w:ascii="Times New Roman" w:hAnsi="Times New Roman" w:eastAsia="宋体" w:cs="Times New Roman"/>
                <w:b w:val="0"/>
                <w:bCs w:val="0"/>
                <w:color w:val="auto"/>
                <w:sz w:val="24"/>
                <w:highlight w:val="none"/>
                <w:lang w:eastAsia="zh-CN"/>
              </w:rPr>
              <w:t>污染因子</w:t>
            </w:r>
          </w:p>
          <w:p w14:paraId="28AD86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为了解本项目特征污染因子TSP在区域的环境空气质量现状，</w:t>
            </w:r>
            <w:r>
              <w:rPr>
                <w:rFonts w:hint="eastAsia" w:ascii="Times New Roman" w:hAnsi="Times New Roman" w:eastAsia="宋体" w:cs="Times New Roman"/>
                <w:b w:val="0"/>
                <w:bCs w:val="0"/>
                <w:color w:val="auto"/>
                <w:sz w:val="24"/>
                <w:szCs w:val="22"/>
                <w:highlight w:val="none"/>
                <w:lang w:val="en-US" w:eastAsia="zh-CN"/>
              </w:rPr>
              <w:t>建设单位委托安正计量检测有限公司</w:t>
            </w:r>
            <w:r>
              <w:rPr>
                <w:rFonts w:hint="default" w:ascii="Times New Roman" w:hAnsi="Times New Roman" w:eastAsia="宋体" w:cs="Times New Roman"/>
                <w:b w:val="0"/>
                <w:bCs w:val="0"/>
                <w:color w:val="auto"/>
                <w:sz w:val="24"/>
                <w:szCs w:val="22"/>
                <w:highlight w:val="none"/>
                <w:lang w:val="en-US" w:eastAsia="zh-CN"/>
              </w:rPr>
              <w:t>于</w:t>
            </w:r>
            <w:r>
              <w:rPr>
                <w:rFonts w:hint="eastAsia" w:ascii="Times New Roman" w:hAnsi="Times New Roman" w:eastAsia="宋体" w:cs="Times New Roman"/>
                <w:b w:val="0"/>
                <w:bCs w:val="0"/>
                <w:color w:val="auto"/>
                <w:sz w:val="24"/>
                <w:szCs w:val="22"/>
                <w:highlight w:val="none"/>
                <w:lang w:val="en-US" w:eastAsia="zh-CN"/>
              </w:rPr>
              <w:t>2024年9月12日～15日</w:t>
            </w:r>
            <w:r>
              <w:rPr>
                <w:rFonts w:hint="default" w:ascii="Times New Roman" w:hAnsi="Times New Roman" w:eastAsia="宋体" w:cs="Times New Roman"/>
                <w:b w:val="0"/>
                <w:bCs w:val="0"/>
                <w:color w:val="auto"/>
                <w:sz w:val="24"/>
                <w:szCs w:val="22"/>
                <w:highlight w:val="none"/>
                <w:lang w:val="en-US" w:eastAsia="zh-CN"/>
              </w:rPr>
              <w:t>对</w:t>
            </w:r>
            <w:r>
              <w:rPr>
                <w:rFonts w:hint="eastAsia" w:ascii="Times New Roman" w:hAnsi="Times New Roman" w:eastAsia="宋体" w:cs="Times New Roman"/>
                <w:b w:val="0"/>
                <w:bCs w:val="0"/>
                <w:color w:val="auto"/>
                <w:sz w:val="24"/>
                <w:szCs w:val="22"/>
                <w:highlight w:val="none"/>
                <w:lang w:val="en-US" w:eastAsia="zh-CN"/>
              </w:rPr>
              <w:t>山前村</w:t>
            </w:r>
            <w:r>
              <w:rPr>
                <w:rFonts w:hint="default" w:ascii="Times New Roman" w:hAnsi="Times New Roman" w:eastAsia="宋体" w:cs="Times New Roman"/>
                <w:b w:val="0"/>
                <w:bCs w:val="0"/>
                <w:color w:val="auto"/>
                <w:sz w:val="24"/>
                <w:szCs w:val="22"/>
                <w:highlight w:val="none"/>
                <w:lang w:val="en-US" w:eastAsia="zh-CN"/>
              </w:rPr>
              <w:t>点位TSP环境空气质量现状</w:t>
            </w:r>
            <w:r>
              <w:rPr>
                <w:rFonts w:hint="eastAsia" w:ascii="Times New Roman" w:hAnsi="Times New Roman" w:eastAsia="宋体" w:cs="Times New Roman"/>
                <w:b w:val="0"/>
                <w:bCs w:val="0"/>
                <w:color w:val="auto"/>
                <w:sz w:val="24"/>
                <w:szCs w:val="22"/>
                <w:highlight w:val="none"/>
                <w:lang w:val="en-US" w:eastAsia="zh-CN"/>
              </w:rPr>
              <w:t>进行检测（</w:t>
            </w:r>
            <w:r>
              <w:rPr>
                <w:rFonts w:hint="default" w:ascii="Times New Roman" w:hAnsi="Times New Roman" w:eastAsia="宋体" w:cs="Times New Roman"/>
                <w:b w:val="0"/>
                <w:bCs w:val="0"/>
                <w:color w:val="auto"/>
                <w:sz w:val="24"/>
                <w:szCs w:val="22"/>
                <w:highlight w:val="none"/>
                <w:lang w:val="en-US" w:eastAsia="zh-CN"/>
              </w:rPr>
              <w:t>检测报告编号：AZJC240906016）。</w:t>
            </w:r>
            <w:r>
              <w:rPr>
                <w:rFonts w:hint="eastAsia" w:ascii="Times New Roman" w:hAnsi="Times New Roman" w:eastAsia="宋体" w:cs="Times New Roman"/>
                <w:b w:val="0"/>
                <w:bCs w:val="0"/>
                <w:color w:val="auto"/>
                <w:sz w:val="24"/>
                <w:szCs w:val="22"/>
                <w:highlight w:val="none"/>
                <w:lang w:val="en-US" w:eastAsia="zh-CN"/>
              </w:rPr>
              <w:t>山前</w:t>
            </w:r>
            <w:r>
              <w:rPr>
                <w:rFonts w:hint="default" w:ascii="Times New Roman" w:hAnsi="Times New Roman" w:eastAsia="宋体" w:cs="Times New Roman"/>
                <w:b w:val="0"/>
                <w:bCs w:val="0"/>
                <w:color w:val="auto"/>
                <w:sz w:val="24"/>
                <w:szCs w:val="22"/>
                <w:highlight w:val="none"/>
                <w:lang w:val="en-US" w:eastAsia="zh-CN"/>
              </w:rPr>
              <w:t>村监测点位于本项目</w:t>
            </w:r>
            <w:r>
              <w:rPr>
                <w:rFonts w:hint="eastAsia" w:ascii="Times New Roman" w:hAnsi="Times New Roman" w:eastAsia="宋体" w:cs="Times New Roman"/>
                <w:b w:val="0"/>
                <w:bCs w:val="0"/>
                <w:color w:val="auto"/>
                <w:sz w:val="24"/>
                <w:szCs w:val="22"/>
                <w:highlight w:val="none"/>
                <w:lang w:val="en-US" w:eastAsia="zh-CN"/>
              </w:rPr>
              <w:t>厂区西侧约20m</w:t>
            </w:r>
            <w:r>
              <w:rPr>
                <w:rFonts w:hint="default" w:ascii="Times New Roman" w:hAnsi="Times New Roman" w:eastAsia="宋体" w:cs="Times New Roman"/>
                <w:b w:val="0"/>
                <w:bCs w:val="0"/>
                <w:color w:val="auto"/>
                <w:sz w:val="24"/>
                <w:szCs w:val="22"/>
                <w:highlight w:val="none"/>
                <w:lang w:val="en-US" w:eastAsia="zh-CN"/>
              </w:rPr>
              <w:t>，</w:t>
            </w:r>
            <w:r>
              <w:rPr>
                <w:rFonts w:hint="eastAsia" w:ascii="Times New Roman" w:hAnsi="Times New Roman" w:eastAsia="宋体" w:cs="Times New Roman"/>
                <w:b w:val="0"/>
                <w:bCs w:val="0"/>
                <w:color w:val="auto"/>
                <w:sz w:val="24"/>
                <w:szCs w:val="22"/>
                <w:highlight w:val="none"/>
                <w:lang w:val="en-US" w:eastAsia="zh-CN"/>
              </w:rPr>
              <w:t>位于监测当季主导风（东南风）向下风向，</w:t>
            </w:r>
            <w:r>
              <w:rPr>
                <w:rFonts w:hint="default" w:ascii="Times New Roman" w:hAnsi="Times New Roman" w:eastAsia="宋体" w:cs="Times New Roman"/>
                <w:b w:val="0"/>
                <w:bCs w:val="0"/>
                <w:color w:val="auto"/>
                <w:sz w:val="24"/>
                <w:szCs w:val="22"/>
                <w:highlight w:val="none"/>
                <w:lang w:val="en-US" w:eastAsia="zh-CN"/>
              </w:rPr>
              <w:t>符合《建设项目环境影响报告表编制技术指南（污染影响类）》（试行）中“排放国家、地方环境空气质量标准中有标准限值要求的特征污染物时</w:t>
            </w:r>
            <w:r>
              <w:rPr>
                <w:rFonts w:hint="eastAsia" w:ascii="Times New Roman" w:hAnsi="Times New Roman" w:eastAsia="宋体" w:cs="Times New Roman"/>
                <w:b w:val="0"/>
                <w:bCs w:val="0"/>
                <w:color w:val="auto"/>
                <w:sz w:val="24"/>
                <w:szCs w:val="22"/>
                <w:highlight w:val="none"/>
                <w:lang w:val="en-US" w:eastAsia="zh-CN"/>
              </w:rPr>
              <w:t>，无相关数据的选择当季主导风向下风向1个点位补充不少于3天的监测数据。</w:t>
            </w:r>
            <w:r>
              <w:rPr>
                <w:rFonts w:hint="default" w:ascii="Times New Roman" w:hAnsi="Times New Roman" w:eastAsia="宋体" w:cs="Times New Roman"/>
                <w:b w:val="0"/>
                <w:bCs w:val="0"/>
                <w:color w:val="auto"/>
                <w:sz w:val="24"/>
                <w:szCs w:val="22"/>
                <w:highlight w:val="none"/>
                <w:lang w:val="en-US" w:eastAsia="zh-CN"/>
              </w:rPr>
              <w:t>”要求。因此，本</w:t>
            </w:r>
            <w:r>
              <w:rPr>
                <w:rFonts w:hint="eastAsia" w:ascii="Times New Roman" w:hAnsi="Times New Roman" w:eastAsia="宋体" w:cs="Times New Roman"/>
                <w:b w:val="0"/>
                <w:bCs w:val="0"/>
                <w:color w:val="auto"/>
                <w:sz w:val="24"/>
                <w:szCs w:val="22"/>
                <w:highlight w:val="none"/>
                <w:lang w:val="en-US" w:eastAsia="zh-CN"/>
              </w:rPr>
              <w:t>次项目区域山前村</w:t>
            </w:r>
            <w:r>
              <w:rPr>
                <w:rFonts w:hint="default" w:ascii="Times New Roman" w:hAnsi="Times New Roman" w:eastAsia="宋体" w:cs="Times New Roman"/>
                <w:b w:val="0"/>
                <w:bCs w:val="0"/>
                <w:color w:val="auto"/>
                <w:sz w:val="24"/>
                <w:szCs w:val="22"/>
                <w:highlight w:val="none"/>
                <w:lang w:val="en-US" w:eastAsia="zh-CN"/>
              </w:rPr>
              <w:t>TSP</w:t>
            </w:r>
            <w:r>
              <w:rPr>
                <w:rFonts w:hint="eastAsia" w:ascii="Times New Roman" w:hAnsi="Times New Roman" w:eastAsia="宋体" w:cs="Times New Roman"/>
                <w:b w:val="0"/>
                <w:bCs w:val="0"/>
                <w:color w:val="auto"/>
                <w:sz w:val="24"/>
                <w:szCs w:val="22"/>
                <w:highlight w:val="none"/>
                <w:lang w:val="en-US" w:eastAsia="zh-CN"/>
              </w:rPr>
              <w:t>的3天</w:t>
            </w:r>
            <w:r>
              <w:rPr>
                <w:rFonts w:hint="default" w:ascii="Times New Roman" w:hAnsi="Times New Roman" w:eastAsia="宋体" w:cs="Times New Roman"/>
                <w:b w:val="0"/>
                <w:bCs w:val="0"/>
                <w:color w:val="auto"/>
                <w:sz w:val="24"/>
                <w:szCs w:val="22"/>
                <w:highlight w:val="none"/>
                <w:lang w:val="en-US" w:eastAsia="zh-CN"/>
              </w:rPr>
              <w:t>现状监测数据可作为本项目所在区域环境空气质量现状的参考。</w:t>
            </w:r>
            <w:r>
              <w:rPr>
                <w:rFonts w:hint="eastAsia" w:ascii="Times New Roman" w:hAnsi="Times New Roman" w:eastAsia="宋体" w:cs="Times New Roman"/>
                <w:b w:val="0"/>
                <w:bCs w:val="0"/>
                <w:color w:val="auto"/>
                <w:sz w:val="24"/>
                <w:szCs w:val="22"/>
                <w:highlight w:val="none"/>
                <w:lang w:val="en-US" w:eastAsia="zh-CN"/>
              </w:rPr>
              <w:t>项目周边山前村</w:t>
            </w:r>
            <w:r>
              <w:rPr>
                <w:rFonts w:hint="default" w:ascii="Times New Roman" w:hAnsi="Times New Roman" w:eastAsia="宋体" w:cs="Times New Roman"/>
                <w:b w:val="0"/>
                <w:bCs w:val="0"/>
                <w:color w:val="auto"/>
                <w:sz w:val="24"/>
                <w:szCs w:val="22"/>
                <w:highlight w:val="none"/>
                <w:lang w:val="en-US" w:eastAsia="zh-CN"/>
              </w:rPr>
              <w:t>TSP监测结果见表3.1-2，监测点位置见</w:t>
            </w:r>
            <w:r>
              <w:rPr>
                <w:rFonts w:hint="eastAsia" w:ascii="Times New Roman" w:hAnsi="Times New Roman" w:eastAsia="宋体" w:cs="Times New Roman"/>
                <w:b w:val="0"/>
                <w:bCs w:val="0"/>
                <w:color w:val="auto"/>
                <w:sz w:val="24"/>
                <w:szCs w:val="22"/>
                <w:highlight w:val="none"/>
                <w:lang w:val="en-US" w:eastAsia="zh-CN"/>
              </w:rPr>
              <w:t>附图6，监测报告见附件八。</w:t>
            </w:r>
          </w:p>
          <w:p w14:paraId="66A68071">
            <w:pPr>
              <w:spacing w:before="120" w:beforeLines="50"/>
              <w:jc w:val="center"/>
              <w:rPr>
                <w:rFonts w:hint="eastAsia" w:ascii="Times New Roman" w:hAnsi="Times New Roman" w:eastAsia="黑体" w:cs="Times New Roman"/>
                <w:color w:val="auto"/>
                <w:sz w:val="24"/>
                <w:highlight w:val="none"/>
                <w:lang w:val="en-US" w:eastAsia="zh-CN"/>
              </w:rPr>
            </w:pPr>
            <w:r>
              <w:rPr>
                <w:rFonts w:hint="eastAsia" w:ascii="Times New Roman" w:hAnsi="Times New Roman" w:eastAsia="黑体" w:cs="Times New Roman"/>
                <w:color w:val="auto"/>
                <w:sz w:val="24"/>
                <w:highlight w:val="none"/>
                <w:lang w:val="en-US" w:eastAsia="zh-CN"/>
              </w:rPr>
              <w:t>表3.1-2 项目区域TSP环境监测数据</w:t>
            </w:r>
          </w:p>
          <w:p w14:paraId="411140B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根据上表监测结果可知，项目所在区域山前村TSP的24小时平均浓度值符合《环境空气质量标准》（GB3095-2012）及其修改单中的二级标准，即≤0.3mg/m</w:t>
            </w:r>
            <w:r>
              <w:rPr>
                <w:rFonts w:hint="eastAsia" w:ascii="Times New Roman" w:hAnsi="Times New Roman" w:eastAsia="宋体" w:cs="Times New Roman"/>
                <w:color w:val="auto"/>
                <w:sz w:val="24"/>
                <w:szCs w:val="22"/>
                <w:vertAlign w:val="superscript"/>
                <w:lang w:val="en-US" w:eastAsia="zh-CN"/>
              </w:rPr>
              <w:t>3</w:t>
            </w:r>
            <w:r>
              <w:rPr>
                <w:rFonts w:hint="eastAsia" w:ascii="Times New Roman" w:hAnsi="Times New Roman" w:eastAsia="宋体" w:cs="Times New Roman"/>
                <w:color w:val="auto"/>
                <w:sz w:val="24"/>
                <w:szCs w:val="22"/>
                <w:vertAlign w:val="baseline"/>
                <w:lang w:val="en-US" w:eastAsia="zh-CN"/>
              </w:rPr>
              <w:t>，环境质量现状良好</w:t>
            </w:r>
            <w:r>
              <w:rPr>
                <w:rFonts w:hint="eastAsia" w:ascii="Times New Roman" w:hAnsi="Times New Roman" w:eastAsia="宋体" w:cs="Times New Roman"/>
                <w:color w:val="auto"/>
                <w:sz w:val="24"/>
                <w:szCs w:val="22"/>
                <w:lang w:val="en-US" w:eastAsia="zh-CN"/>
              </w:rPr>
              <w:t>。</w:t>
            </w:r>
          </w:p>
          <w:p w14:paraId="6DC7E1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eastAsia" w:ascii="Times New Roman" w:hAnsi="Times New Roman" w:eastAsia="宋体" w:cs="Times New Roman"/>
                <w:color w:val="auto"/>
                <w:sz w:val="24"/>
                <w:szCs w:val="22"/>
                <w:lang w:val="en-US" w:eastAsia="zh-CN"/>
              </w:rPr>
              <w:t>（3）</w:t>
            </w:r>
            <w:r>
              <w:rPr>
                <w:rFonts w:hint="default" w:ascii="Times New Roman" w:hAnsi="Times New Roman" w:eastAsia="宋体" w:cs="Times New Roman"/>
                <w:color w:val="auto"/>
                <w:sz w:val="24"/>
                <w:szCs w:val="22"/>
                <w:lang w:eastAsia="zh-CN"/>
              </w:rPr>
              <w:t>引用资料的有效性分析</w:t>
            </w:r>
          </w:p>
          <w:p w14:paraId="454334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根据《建设项目环境影响报告表编制技术指南</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污染影响类</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试行</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环办环评〔2020〕33号</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的要求：“大气环境区域环境质量现状常规污染物引用与建设项目距离近的有效数据，包括近3年的规划环境影响评价的监测数据，国家、地方环境空气质量监测网数据或生态环境主管部门公开</w:t>
            </w:r>
            <w:r>
              <w:rPr>
                <w:rFonts w:hint="eastAsia" w:ascii="Times New Roman" w:hAnsi="Times New Roman" w:eastAsia="宋体" w:cs="Times New Roman"/>
                <w:color w:val="auto"/>
                <w:sz w:val="24"/>
                <w:szCs w:val="22"/>
                <w:lang w:eastAsia="zh-CN"/>
              </w:rPr>
              <w:t>发布</w:t>
            </w:r>
            <w:r>
              <w:rPr>
                <w:rFonts w:hint="default" w:ascii="Times New Roman" w:hAnsi="Times New Roman" w:eastAsia="宋体" w:cs="Times New Roman"/>
                <w:color w:val="auto"/>
                <w:sz w:val="24"/>
                <w:szCs w:val="22"/>
                <w:lang w:eastAsia="zh-CN"/>
              </w:rPr>
              <w:t>数据等，排放国家、地方环境空气质量标准中有标准限值要求的特征污染物时，引用建设项目周边5千米范围内近3年的现有监测数据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auto"/>
                <w:sz w:val="24"/>
                <w:szCs w:val="22"/>
                <w:lang w:eastAsia="zh-CN"/>
              </w:rPr>
              <w:t>，无相关数据的选择当季主导风向下风向1个点位补充不少于3天的监测数据</w:t>
            </w:r>
            <w:r>
              <w:rPr>
                <w:rFonts w:hint="default" w:ascii="Times New Roman" w:hAnsi="Times New Roman" w:eastAsia="宋体" w:cs="Times New Roman"/>
                <w:color w:val="auto"/>
                <w:sz w:val="24"/>
                <w:szCs w:val="22"/>
                <w:lang w:eastAsia="zh-CN"/>
              </w:rPr>
              <w:t>”。</w:t>
            </w:r>
          </w:p>
          <w:p w14:paraId="562438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本评价常规污染因子选取</w:t>
            </w:r>
            <w:r>
              <w:rPr>
                <w:rFonts w:hint="default" w:ascii="Times New Roman" w:hAnsi="Times New Roman" w:eastAsia="宋体" w:cs="Times New Roman"/>
                <w:color w:val="auto"/>
                <w:sz w:val="24"/>
                <w:szCs w:val="22"/>
                <w:lang w:val="en-US" w:eastAsia="zh-CN"/>
              </w:rPr>
              <w:t>福建省生态环境厅</w:t>
            </w:r>
            <w:r>
              <w:rPr>
                <w:rFonts w:hint="eastAsia" w:ascii="Times New Roman" w:hAnsi="Times New Roman" w:eastAsia="宋体" w:cs="Times New Roman"/>
                <w:color w:val="auto"/>
                <w:sz w:val="24"/>
                <w:szCs w:val="22"/>
                <w:lang w:val="en-US" w:eastAsia="zh-CN"/>
              </w:rPr>
              <w:t>、福州市长乐生态环境局</w:t>
            </w:r>
            <w:r>
              <w:rPr>
                <w:rFonts w:hint="default" w:ascii="Times New Roman" w:hAnsi="Times New Roman" w:eastAsia="宋体" w:cs="Times New Roman"/>
                <w:color w:val="auto"/>
                <w:sz w:val="24"/>
                <w:szCs w:val="22"/>
                <w:lang w:eastAsia="zh-CN"/>
              </w:rPr>
              <w:t>发布的环境空气质量现状信息，项目排放的特征污染因子非甲烷总烃不属于国家、地方环境空气质量标准中有标准限值要求的特征污染物，无需现状监测数据，特征污染因子TSP</w:t>
            </w:r>
            <w:r>
              <w:rPr>
                <w:rFonts w:hint="eastAsia" w:ascii="Times New Roman" w:hAnsi="Times New Roman" w:eastAsia="宋体" w:cs="Times New Roman"/>
                <w:color w:val="auto"/>
                <w:sz w:val="24"/>
                <w:szCs w:val="22"/>
                <w:lang w:eastAsia="zh-CN"/>
              </w:rPr>
              <w:t>于</w:t>
            </w:r>
            <w:r>
              <w:rPr>
                <w:rFonts w:hint="default" w:ascii="Times New Roman" w:hAnsi="Times New Roman" w:eastAsia="宋体" w:cs="Times New Roman"/>
                <w:color w:val="auto"/>
                <w:sz w:val="24"/>
                <w:szCs w:val="22"/>
                <w:lang w:eastAsia="zh-CN"/>
              </w:rPr>
              <w:t>项目周边</w:t>
            </w:r>
            <w:r>
              <w:rPr>
                <w:rFonts w:hint="eastAsia" w:ascii="Times New Roman" w:hAnsi="Times New Roman" w:eastAsia="宋体" w:cs="Times New Roman"/>
                <w:color w:val="auto"/>
                <w:sz w:val="24"/>
                <w:szCs w:val="22"/>
                <w:lang w:eastAsia="zh-CN"/>
              </w:rPr>
              <w:t>约</w:t>
            </w:r>
            <w:r>
              <w:rPr>
                <w:rFonts w:hint="eastAsia" w:ascii="Times New Roman" w:hAnsi="Times New Roman" w:eastAsia="宋体" w:cs="Times New Roman"/>
                <w:color w:val="auto"/>
                <w:sz w:val="24"/>
                <w:szCs w:val="22"/>
                <w:lang w:val="en-US" w:eastAsia="zh-CN"/>
              </w:rPr>
              <w:t>20m处当季主导下风向</w:t>
            </w:r>
            <w:r>
              <w:rPr>
                <w:rFonts w:hint="default" w:ascii="Times New Roman" w:hAnsi="Times New Roman" w:eastAsia="宋体" w:cs="Times New Roman"/>
                <w:color w:val="auto"/>
                <w:sz w:val="24"/>
                <w:szCs w:val="22"/>
                <w:lang w:eastAsia="zh-CN"/>
              </w:rPr>
              <w:t>监测点</w:t>
            </w:r>
            <w:r>
              <w:rPr>
                <w:rFonts w:hint="eastAsia" w:ascii="Times New Roman" w:hAnsi="Times New Roman" w:eastAsia="宋体" w:cs="Times New Roman"/>
                <w:color w:val="auto"/>
                <w:sz w:val="24"/>
                <w:szCs w:val="22"/>
                <w:lang w:eastAsia="zh-CN"/>
              </w:rPr>
              <w:t>进行了</w:t>
            </w:r>
            <w:r>
              <w:rPr>
                <w:rFonts w:hint="eastAsia" w:ascii="Times New Roman" w:hAnsi="Times New Roman" w:eastAsia="宋体" w:cs="Times New Roman"/>
                <w:color w:val="auto"/>
                <w:sz w:val="24"/>
                <w:szCs w:val="22"/>
                <w:lang w:val="en-US" w:eastAsia="zh-CN"/>
              </w:rPr>
              <w:t>3天监测</w:t>
            </w:r>
            <w:r>
              <w:rPr>
                <w:rFonts w:hint="default" w:ascii="Times New Roman" w:hAnsi="Times New Roman" w:eastAsia="宋体" w:cs="Times New Roman"/>
                <w:color w:val="auto"/>
                <w:sz w:val="24"/>
                <w:szCs w:val="22"/>
                <w:lang w:eastAsia="zh-CN"/>
              </w:rPr>
              <w:t>，符合《建设项目环境影响报告表编制技术指南（污染影响类）（试行）》（环办环评〔2020〕33号）的要求。</w:t>
            </w:r>
          </w:p>
          <w:p w14:paraId="7D5EB05D">
            <w:pPr>
              <w:pStyle w:val="2"/>
              <w:rPr>
                <w:rFonts w:hint="default" w:ascii="Times New Roman" w:hAnsi="Times New Roman" w:eastAsia="宋体" w:cs="Times New Roman"/>
                <w:color w:val="auto"/>
                <w:sz w:val="24"/>
                <w:szCs w:val="22"/>
                <w:lang w:eastAsia="zh-CN"/>
              </w:rPr>
            </w:pPr>
          </w:p>
          <w:p w14:paraId="3DA30710">
            <w:pPr>
              <w:pStyle w:val="4"/>
              <w:rPr>
                <w:rFonts w:hint="default"/>
              </w:rPr>
            </w:pPr>
          </w:p>
          <w:p w14:paraId="6628F4DD">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3.2水环境质量现状</w:t>
            </w:r>
          </w:p>
          <w:p w14:paraId="5674CC25">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3.2.1地表水功能区划</w:t>
            </w:r>
          </w:p>
          <w:p w14:paraId="3FC2BAAE">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本项目所在区域地表水为</w:t>
            </w:r>
            <w:r>
              <w:rPr>
                <w:rFonts w:hint="eastAsia" w:ascii="Times New Roman" w:hAnsi="Times New Roman" w:eastAsia="宋体" w:cs="Times New Roman"/>
                <w:bCs/>
                <w:color w:val="auto"/>
                <w:sz w:val="24"/>
                <w:lang w:eastAsia="zh-CN"/>
              </w:rPr>
              <w:t>首祉</w:t>
            </w:r>
            <w:r>
              <w:rPr>
                <w:rFonts w:hint="eastAsia" w:ascii="Times New Roman" w:hAnsi="Times New Roman" w:eastAsia="宋体" w:cs="Times New Roman"/>
                <w:bCs/>
                <w:color w:val="auto"/>
                <w:sz w:val="24"/>
              </w:rPr>
              <w:t>溪，</w:t>
            </w:r>
            <w:r>
              <w:rPr>
                <w:rFonts w:hint="eastAsia" w:ascii="Times New Roman" w:hAnsi="Times New Roman" w:eastAsia="宋体" w:cs="Times New Roman"/>
                <w:bCs/>
                <w:color w:val="auto"/>
                <w:sz w:val="24"/>
                <w:lang w:eastAsia="zh-CN"/>
              </w:rPr>
              <w:t>根据闽政文〔2006〕133号《福建省人民政府关于福州市地表水环境功能区划定方案的批复》，主要功能为渔业、农业用水，</w:t>
            </w:r>
            <w:r>
              <w:rPr>
                <w:rFonts w:hint="eastAsia" w:ascii="Times New Roman" w:hAnsi="Times New Roman" w:eastAsia="宋体" w:cs="Times New Roman"/>
                <w:bCs/>
                <w:color w:val="auto"/>
                <w:sz w:val="24"/>
              </w:rPr>
              <w:t>为Ⅲ类功能水体，水质执行《地表水环境质量标准》（GB3838-2002）中Ⅲ类水质标准，详见</w:t>
            </w:r>
            <w:r>
              <w:rPr>
                <w:rFonts w:hint="eastAsia" w:ascii="Times New Roman" w:hAnsi="Times New Roman" w:eastAsia="宋体" w:cs="Times New Roman"/>
                <w:bCs/>
                <w:color w:val="auto"/>
                <w:sz w:val="24"/>
              </w:rPr>
              <w:fldChar w:fldCharType="begin"/>
            </w:r>
            <w:r>
              <w:rPr>
                <w:rFonts w:hint="eastAsia" w:ascii="Times New Roman" w:hAnsi="Times New Roman" w:eastAsia="宋体" w:cs="Times New Roman"/>
                <w:bCs/>
                <w:color w:val="auto"/>
                <w:sz w:val="24"/>
              </w:rPr>
              <w:instrText xml:space="preserve"> REF _Ref101367589 \r \h  \* MERGEFORMAT </w:instrText>
            </w:r>
            <w:r>
              <w:rPr>
                <w:rFonts w:hint="eastAsia" w:ascii="Times New Roman" w:hAnsi="Times New Roman" w:eastAsia="宋体" w:cs="Times New Roman"/>
                <w:bCs/>
                <w:color w:val="auto"/>
                <w:sz w:val="24"/>
              </w:rPr>
              <w:fldChar w:fldCharType="separate"/>
            </w:r>
            <w:r>
              <w:rPr>
                <w:rFonts w:hint="eastAsia" w:ascii="Times New Roman" w:hAnsi="Times New Roman" w:eastAsia="宋体" w:cs="Times New Roman"/>
                <w:bCs/>
                <w:color w:val="auto"/>
                <w:sz w:val="24"/>
              </w:rPr>
              <w:t>表3.</w:t>
            </w:r>
            <w:r>
              <w:rPr>
                <w:rFonts w:hint="eastAsia"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rPr>
              <w:fldChar w:fldCharType="end"/>
            </w:r>
            <w:r>
              <w:rPr>
                <w:rFonts w:hint="eastAsia" w:ascii="Times New Roman" w:hAnsi="Times New Roman" w:eastAsia="宋体" w:cs="Times New Roman"/>
                <w:bCs/>
                <w:color w:val="auto"/>
                <w:sz w:val="24"/>
              </w:rPr>
              <w:t>。</w:t>
            </w:r>
          </w:p>
          <w:p w14:paraId="28B6F50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auto"/>
              </w:rPr>
            </w:pPr>
            <w:r>
              <w:rPr>
                <w:rFonts w:ascii="Times New Roman" w:hAnsi="Times New Roman" w:eastAsia="黑体"/>
                <w:color w:val="auto"/>
                <w:sz w:val="24"/>
              </w:rPr>
              <w:t>表3.2-1 地表水环境质量标准(GB3838-2002)(摘录)  单位：mg/L(pH除外)</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924"/>
              <w:gridCol w:w="2371"/>
              <w:gridCol w:w="1217"/>
              <w:gridCol w:w="1180"/>
              <w:gridCol w:w="1140"/>
              <w:gridCol w:w="1142"/>
            </w:tblGrid>
            <w:tr w14:paraId="23FFEC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trPr>
              <w:tc>
                <w:tcPr>
                  <w:tcW w:w="924" w:type="dxa"/>
                  <w:shd w:val="clear" w:color="auto" w:fill="auto"/>
                  <w:noWrap w:val="0"/>
                  <w:vAlign w:val="center"/>
                </w:tcPr>
                <w:p w14:paraId="1C9D46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bookmarkStart w:id="15" w:name="_Ref101367589"/>
                  <w:r>
                    <w:rPr>
                      <w:rFonts w:ascii="Times New Roman" w:hAnsi="Times New Roman"/>
                      <w:color w:val="auto"/>
                    </w:rPr>
                    <w:t>序号</w:t>
                  </w:r>
                </w:p>
              </w:tc>
              <w:tc>
                <w:tcPr>
                  <w:tcW w:w="2371" w:type="dxa"/>
                  <w:shd w:val="clear" w:color="auto" w:fill="auto"/>
                  <w:noWrap w:val="0"/>
                  <w:vAlign w:val="center"/>
                </w:tcPr>
                <w:p w14:paraId="0F3268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项目</w:t>
                  </w:r>
                </w:p>
              </w:tc>
              <w:tc>
                <w:tcPr>
                  <w:tcW w:w="1217" w:type="dxa"/>
                  <w:shd w:val="clear" w:color="auto" w:fill="auto"/>
                  <w:noWrap w:val="0"/>
                  <w:vAlign w:val="center"/>
                </w:tcPr>
                <w:p w14:paraId="2816A5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Ⅱ类</w:t>
                  </w:r>
                </w:p>
              </w:tc>
              <w:tc>
                <w:tcPr>
                  <w:tcW w:w="1180" w:type="dxa"/>
                  <w:shd w:val="clear" w:color="auto" w:fill="D7D7D7"/>
                  <w:noWrap w:val="0"/>
                  <w:vAlign w:val="center"/>
                </w:tcPr>
                <w:p w14:paraId="4DE921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Ⅲ类</w:t>
                  </w:r>
                </w:p>
              </w:tc>
              <w:tc>
                <w:tcPr>
                  <w:tcW w:w="1140" w:type="dxa"/>
                  <w:noWrap w:val="0"/>
                  <w:vAlign w:val="center"/>
                </w:tcPr>
                <w:p w14:paraId="14DEA1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Ⅳ类</w:t>
                  </w:r>
                </w:p>
              </w:tc>
              <w:tc>
                <w:tcPr>
                  <w:tcW w:w="1142" w:type="dxa"/>
                  <w:noWrap w:val="0"/>
                  <w:vAlign w:val="center"/>
                </w:tcPr>
                <w:p w14:paraId="0847F1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Ⅴ类</w:t>
                  </w:r>
                </w:p>
              </w:tc>
            </w:tr>
            <w:tr w14:paraId="59B0F9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trPr>
              <w:tc>
                <w:tcPr>
                  <w:tcW w:w="924" w:type="dxa"/>
                  <w:shd w:val="clear" w:color="auto" w:fill="auto"/>
                  <w:noWrap w:val="0"/>
                  <w:vAlign w:val="center"/>
                </w:tcPr>
                <w:p w14:paraId="30261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1</w:t>
                  </w:r>
                </w:p>
              </w:tc>
              <w:tc>
                <w:tcPr>
                  <w:tcW w:w="2371" w:type="dxa"/>
                  <w:shd w:val="clear" w:color="auto" w:fill="auto"/>
                  <w:noWrap w:val="0"/>
                  <w:vAlign w:val="center"/>
                </w:tcPr>
                <w:p w14:paraId="58474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pH(无量纲)</w:t>
                  </w:r>
                </w:p>
              </w:tc>
              <w:tc>
                <w:tcPr>
                  <w:tcW w:w="4679" w:type="dxa"/>
                  <w:gridSpan w:val="4"/>
                  <w:shd w:val="clear" w:color="auto" w:fill="D7D7D7"/>
                  <w:noWrap w:val="0"/>
                  <w:vAlign w:val="center"/>
                </w:tcPr>
                <w:p w14:paraId="7829A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6～9</w:t>
                  </w:r>
                </w:p>
              </w:tc>
            </w:tr>
            <w:tr w14:paraId="7A9039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trPr>
              <w:tc>
                <w:tcPr>
                  <w:tcW w:w="924" w:type="dxa"/>
                  <w:shd w:val="clear" w:color="auto" w:fill="auto"/>
                  <w:noWrap w:val="0"/>
                  <w:vAlign w:val="center"/>
                </w:tcPr>
                <w:p w14:paraId="4DD5DA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2</w:t>
                  </w:r>
                </w:p>
              </w:tc>
              <w:tc>
                <w:tcPr>
                  <w:tcW w:w="2371" w:type="dxa"/>
                  <w:shd w:val="clear" w:color="auto" w:fill="auto"/>
                  <w:noWrap w:val="0"/>
                  <w:vAlign w:val="center"/>
                </w:tcPr>
                <w:p w14:paraId="4D6A37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COD</w:t>
                  </w:r>
                  <w:r>
                    <w:rPr>
                      <w:rFonts w:ascii="Times New Roman" w:hAnsi="Times New Roman"/>
                      <w:color w:val="auto"/>
                      <w:vertAlign w:val="subscript"/>
                    </w:rPr>
                    <w:t>Mn</w:t>
                  </w:r>
                  <w:r>
                    <w:rPr>
                      <w:rFonts w:ascii="Times New Roman" w:hAnsi="Times New Roman"/>
                      <w:color w:val="auto"/>
                    </w:rPr>
                    <w:t>≤</w:t>
                  </w:r>
                </w:p>
              </w:tc>
              <w:tc>
                <w:tcPr>
                  <w:tcW w:w="1217" w:type="dxa"/>
                  <w:tcBorders>
                    <w:right w:val="single" w:color="auto" w:sz="4" w:space="0"/>
                  </w:tcBorders>
                  <w:shd w:val="clear" w:color="auto" w:fill="auto"/>
                  <w:noWrap w:val="0"/>
                  <w:vAlign w:val="center"/>
                </w:tcPr>
                <w:p w14:paraId="0BCB9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4</w:t>
                  </w:r>
                </w:p>
              </w:tc>
              <w:tc>
                <w:tcPr>
                  <w:tcW w:w="1180" w:type="dxa"/>
                  <w:tcBorders>
                    <w:left w:val="single" w:color="auto" w:sz="4" w:space="0"/>
                    <w:right w:val="single" w:color="auto" w:sz="4" w:space="0"/>
                  </w:tcBorders>
                  <w:shd w:val="clear" w:color="auto" w:fill="D7D7D7"/>
                  <w:noWrap w:val="0"/>
                  <w:vAlign w:val="center"/>
                </w:tcPr>
                <w:p w14:paraId="0CDDF5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6</w:t>
                  </w:r>
                </w:p>
              </w:tc>
              <w:tc>
                <w:tcPr>
                  <w:tcW w:w="1140" w:type="dxa"/>
                  <w:tcBorders>
                    <w:left w:val="single" w:color="auto" w:sz="4" w:space="0"/>
                    <w:right w:val="single" w:color="auto" w:sz="4" w:space="0"/>
                  </w:tcBorders>
                  <w:noWrap w:val="0"/>
                  <w:vAlign w:val="center"/>
                </w:tcPr>
                <w:p w14:paraId="1D0FB2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10</w:t>
                  </w:r>
                </w:p>
              </w:tc>
              <w:tc>
                <w:tcPr>
                  <w:tcW w:w="1142" w:type="dxa"/>
                  <w:tcBorders>
                    <w:left w:val="single" w:color="auto" w:sz="4" w:space="0"/>
                  </w:tcBorders>
                  <w:noWrap w:val="0"/>
                  <w:vAlign w:val="center"/>
                </w:tcPr>
                <w:p w14:paraId="4EBF46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15</w:t>
                  </w:r>
                </w:p>
              </w:tc>
            </w:tr>
            <w:tr w14:paraId="0DDF7C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trPr>
              <w:tc>
                <w:tcPr>
                  <w:tcW w:w="924" w:type="dxa"/>
                  <w:shd w:val="clear" w:color="auto" w:fill="auto"/>
                  <w:noWrap w:val="0"/>
                  <w:vAlign w:val="center"/>
                </w:tcPr>
                <w:p w14:paraId="00E3D3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3</w:t>
                  </w:r>
                </w:p>
              </w:tc>
              <w:tc>
                <w:tcPr>
                  <w:tcW w:w="2371" w:type="dxa"/>
                  <w:shd w:val="clear" w:color="auto" w:fill="auto"/>
                  <w:noWrap w:val="0"/>
                  <w:vAlign w:val="center"/>
                </w:tcPr>
                <w:p w14:paraId="380D10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DO</w:t>
                  </w:r>
                  <w:r>
                    <w:rPr>
                      <w:rFonts w:hint="eastAsia" w:ascii="Times New Roman" w:hAnsi="Times New Roman"/>
                      <w:color w:val="auto"/>
                    </w:rPr>
                    <w:t>≥</w:t>
                  </w:r>
                </w:p>
              </w:tc>
              <w:tc>
                <w:tcPr>
                  <w:tcW w:w="1217" w:type="dxa"/>
                  <w:shd w:val="clear" w:color="auto" w:fill="auto"/>
                  <w:noWrap w:val="0"/>
                  <w:vAlign w:val="center"/>
                </w:tcPr>
                <w:p w14:paraId="640282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6</w:t>
                  </w:r>
                </w:p>
              </w:tc>
              <w:tc>
                <w:tcPr>
                  <w:tcW w:w="1180" w:type="dxa"/>
                  <w:shd w:val="clear" w:color="auto" w:fill="D7D7D7"/>
                  <w:noWrap w:val="0"/>
                  <w:vAlign w:val="center"/>
                </w:tcPr>
                <w:p w14:paraId="532BDF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5</w:t>
                  </w:r>
                </w:p>
              </w:tc>
              <w:tc>
                <w:tcPr>
                  <w:tcW w:w="1140" w:type="dxa"/>
                  <w:noWrap w:val="0"/>
                  <w:vAlign w:val="center"/>
                </w:tcPr>
                <w:p w14:paraId="03EDEB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3</w:t>
                  </w:r>
                </w:p>
              </w:tc>
              <w:tc>
                <w:tcPr>
                  <w:tcW w:w="1142" w:type="dxa"/>
                  <w:noWrap w:val="0"/>
                  <w:vAlign w:val="center"/>
                </w:tcPr>
                <w:p w14:paraId="77822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2</w:t>
                  </w:r>
                </w:p>
              </w:tc>
            </w:tr>
            <w:tr w14:paraId="0A829F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trPr>
              <w:tc>
                <w:tcPr>
                  <w:tcW w:w="924" w:type="dxa"/>
                  <w:shd w:val="clear" w:color="auto" w:fill="auto"/>
                  <w:noWrap w:val="0"/>
                  <w:vAlign w:val="center"/>
                </w:tcPr>
                <w:p w14:paraId="61658C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4</w:t>
                  </w:r>
                </w:p>
              </w:tc>
              <w:tc>
                <w:tcPr>
                  <w:tcW w:w="2371" w:type="dxa"/>
                  <w:shd w:val="clear" w:color="auto" w:fill="auto"/>
                  <w:noWrap w:val="0"/>
                  <w:vAlign w:val="center"/>
                </w:tcPr>
                <w:p w14:paraId="648449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 xml:space="preserve"> NH</w:t>
                  </w:r>
                  <w:r>
                    <w:rPr>
                      <w:rFonts w:ascii="Times New Roman" w:hAnsi="Times New Roman"/>
                      <w:color w:val="auto"/>
                      <w:vertAlign w:val="subscript"/>
                    </w:rPr>
                    <w:t>3</w:t>
                  </w:r>
                  <w:r>
                    <w:rPr>
                      <w:rFonts w:ascii="Times New Roman" w:hAnsi="Times New Roman"/>
                      <w:color w:val="auto"/>
                    </w:rPr>
                    <w:t>-N≤</w:t>
                  </w:r>
                </w:p>
              </w:tc>
              <w:tc>
                <w:tcPr>
                  <w:tcW w:w="1217" w:type="dxa"/>
                  <w:shd w:val="clear" w:color="auto" w:fill="auto"/>
                  <w:noWrap w:val="0"/>
                  <w:vAlign w:val="center"/>
                </w:tcPr>
                <w:p w14:paraId="0599D2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0.5</w:t>
                  </w:r>
                </w:p>
              </w:tc>
              <w:tc>
                <w:tcPr>
                  <w:tcW w:w="1180" w:type="dxa"/>
                  <w:shd w:val="clear" w:color="auto" w:fill="D7D7D7"/>
                  <w:noWrap w:val="0"/>
                  <w:vAlign w:val="center"/>
                </w:tcPr>
                <w:p w14:paraId="310253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1.0</w:t>
                  </w:r>
                </w:p>
              </w:tc>
              <w:tc>
                <w:tcPr>
                  <w:tcW w:w="1140" w:type="dxa"/>
                  <w:noWrap w:val="0"/>
                  <w:vAlign w:val="center"/>
                </w:tcPr>
                <w:p w14:paraId="165BF1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1.5</w:t>
                  </w:r>
                </w:p>
              </w:tc>
              <w:tc>
                <w:tcPr>
                  <w:tcW w:w="1142" w:type="dxa"/>
                  <w:noWrap w:val="0"/>
                  <w:vAlign w:val="center"/>
                </w:tcPr>
                <w:p w14:paraId="3BE3E4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2.0</w:t>
                  </w:r>
                </w:p>
              </w:tc>
            </w:tr>
            <w:tr w14:paraId="6F6A70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trPr>
              <w:tc>
                <w:tcPr>
                  <w:tcW w:w="924" w:type="dxa"/>
                  <w:shd w:val="clear" w:color="auto" w:fill="auto"/>
                  <w:noWrap w:val="0"/>
                  <w:vAlign w:val="center"/>
                </w:tcPr>
                <w:p w14:paraId="7830E7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5</w:t>
                  </w:r>
                </w:p>
              </w:tc>
              <w:tc>
                <w:tcPr>
                  <w:tcW w:w="2371" w:type="dxa"/>
                  <w:shd w:val="clear" w:color="auto" w:fill="auto"/>
                  <w:noWrap w:val="0"/>
                  <w:vAlign w:val="center"/>
                </w:tcPr>
                <w:p w14:paraId="3A0EEE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BOD</w:t>
                  </w:r>
                  <w:r>
                    <w:rPr>
                      <w:rFonts w:ascii="Times New Roman" w:hAnsi="Times New Roman"/>
                      <w:color w:val="auto"/>
                      <w:vertAlign w:val="subscript"/>
                    </w:rPr>
                    <w:t>5</w:t>
                  </w:r>
                  <w:r>
                    <w:rPr>
                      <w:rFonts w:ascii="Times New Roman" w:hAnsi="Times New Roman"/>
                      <w:color w:val="auto"/>
                    </w:rPr>
                    <w:t>≤</w:t>
                  </w:r>
                </w:p>
              </w:tc>
              <w:tc>
                <w:tcPr>
                  <w:tcW w:w="1217" w:type="dxa"/>
                  <w:shd w:val="clear" w:color="auto" w:fill="auto"/>
                  <w:noWrap w:val="0"/>
                  <w:vAlign w:val="center"/>
                </w:tcPr>
                <w:p w14:paraId="35E360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3</w:t>
                  </w:r>
                </w:p>
              </w:tc>
              <w:tc>
                <w:tcPr>
                  <w:tcW w:w="1180" w:type="dxa"/>
                  <w:shd w:val="clear" w:color="auto" w:fill="D7D7D7"/>
                  <w:noWrap w:val="0"/>
                  <w:vAlign w:val="center"/>
                </w:tcPr>
                <w:p w14:paraId="058166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4</w:t>
                  </w:r>
                </w:p>
              </w:tc>
              <w:tc>
                <w:tcPr>
                  <w:tcW w:w="1140" w:type="dxa"/>
                  <w:noWrap w:val="0"/>
                  <w:vAlign w:val="center"/>
                </w:tcPr>
                <w:p w14:paraId="4F9A76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6</w:t>
                  </w:r>
                </w:p>
              </w:tc>
              <w:tc>
                <w:tcPr>
                  <w:tcW w:w="1142" w:type="dxa"/>
                  <w:noWrap w:val="0"/>
                  <w:vAlign w:val="center"/>
                </w:tcPr>
                <w:p w14:paraId="4A56C4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ascii="Times New Roman" w:hAnsi="Times New Roman"/>
                      <w:color w:val="auto"/>
                    </w:rPr>
                    <w:t>10</w:t>
                  </w:r>
                </w:p>
              </w:tc>
            </w:tr>
            <w:tr w14:paraId="5C850C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trPr>
              <w:tc>
                <w:tcPr>
                  <w:tcW w:w="924" w:type="dxa"/>
                  <w:shd w:val="clear" w:color="auto" w:fill="auto"/>
                  <w:noWrap w:val="0"/>
                  <w:vAlign w:val="center"/>
                </w:tcPr>
                <w:p w14:paraId="2C6635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hint="eastAsia" w:ascii="Times New Roman" w:hAnsi="Times New Roman"/>
                      <w:color w:val="auto"/>
                    </w:rPr>
                    <w:t>6</w:t>
                  </w:r>
                </w:p>
              </w:tc>
              <w:tc>
                <w:tcPr>
                  <w:tcW w:w="2371" w:type="dxa"/>
                  <w:shd w:val="clear" w:color="auto" w:fill="auto"/>
                  <w:noWrap w:val="0"/>
                  <w:vAlign w:val="center"/>
                </w:tcPr>
                <w:p w14:paraId="72129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hint="eastAsia" w:ascii="Times New Roman" w:hAnsi="Times New Roman"/>
                      <w:color w:val="auto"/>
                    </w:rPr>
                    <w:t>TP</w:t>
                  </w:r>
                  <w:r>
                    <w:rPr>
                      <w:rFonts w:ascii="Times New Roman" w:hAnsi="Times New Roman"/>
                      <w:color w:val="auto"/>
                    </w:rPr>
                    <w:t>≤</w:t>
                  </w:r>
                </w:p>
              </w:tc>
              <w:tc>
                <w:tcPr>
                  <w:tcW w:w="1217" w:type="dxa"/>
                  <w:shd w:val="clear" w:color="auto" w:fill="auto"/>
                  <w:noWrap w:val="0"/>
                  <w:vAlign w:val="center"/>
                </w:tcPr>
                <w:p w14:paraId="75F5BB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hint="eastAsia" w:ascii="Times New Roman" w:hAnsi="Times New Roman"/>
                      <w:color w:val="auto"/>
                    </w:rPr>
                    <w:t>0.2</w:t>
                  </w:r>
                </w:p>
              </w:tc>
              <w:tc>
                <w:tcPr>
                  <w:tcW w:w="1180" w:type="dxa"/>
                  <w:shd w:val="clear" w:color="auto" w:fill="D7D7D7"/>
                  <w:noWrap w:val="0"/>
                  <w:vAlign w:val="center"/>
                </w:tcPr>
                <w:p w14:paraId="1F612B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0.2</w:t>
                  </w:r>
                </w:p>
              </w:tc>
              <w:tc>
                <w:tcPr>
                  <w:tcW w:w="1140" w:type="dxa"/>
                  <w:noWrap w:val="0"/>
                  <w:vAlign w:val="center"/>
                </w:tcPr>
                <w:p w14:paraId="5F4078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hint="eastAsia" w:ascii="Times New Roman" w:hAnsi="Times New Roman"/>
                      <w:color w:val="auto"/>
                    </w:rPr>
                    <w:t>0.3</w:t>
                  </w:r>
                </w:p>
              </w:tc>
              <w:tc>
                <w:tcPr>
                  <w:tcW w:w="1142" w:type="dxa"/>
                  <w:noWrap w:val="0"/>
                  <w:vAlign w:val="center"/>
                </w:tcPr>
                <w:p w14:paraId="15AC1F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rPr>
                  </w:pPr>
                  <w:r>
                    <w:rPr>
                      <w:rFonts w:hint="eastAsia" w:ascii="Times New Roman" w:hAnsi="Times New Roman"/>
                      <w:color w:val="auto"/>
                    </w:rPr>
                    <w:t>0.4</w:t>
                  </w:r>
                </w:p>
              </w:tc>
            </w:tr>
            <w:bookmarkEnd w:id="15"/>
          </w:tbl>
          <w:p w14:paraId="0C8F72DC">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3.2.</w:t>
            </w:r>
            <w:r>
              <w:rPr>
                <w:rFonts w:hint="eastAsia" w:ascii="Times New Roman" w:hAnsi="Times New Roman" w:cs="Times New Roman"/>
                <w:b/>
                <w:bCs/>
                <w:color w:val="auto"/>
                <w:kern w:val="0"/>
                <w:sz w:val="24"/>
                <w:lang w:val="en-US" w:eastAsia="zh-CN"/>
              </w:rPr>
              <w:t>2</w:t>
            </w:r>
            <w:r>
              <w:rPr>
                <w:rFonts w:hint="eastAsia" w:ascii="Times New Roman" w:hAnsi="Times New Roman" w:cs="Times New Roman"/>
                <w:b/>
                <w:bCs/>
                <w:color w:val="auto"/>
                <w:kern w:val="0"/>
                <w:sz w:val="24"/>
                <w:lang w:eastAsia="zh-CN"/>
              </w:rPr>
              <w:t>海水</w:t>
            </w:r>
            <w:r>
              <w:rPr>
                <w:rFonts w:hint="default" w:ascii="Times New Roman" w:hAnsi="Times New Roman" w:cs="Times New Roman"/>
                <w:b/>
                <w:bCs/>
                <w:color w:val="auto"/>
                <w:kern w:val="0"/>
                <w:sz w:val="24"/>
              </w:rPr>
              <w:t>功能区划</w:t>
            </w:r>
          </w:p>
          <w:p w14:paraId="3FE806E5">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根据《福建省近岸海域环境功能区划（修编）》，</w:t>
            </w:r>
            <w:r>
              <w:rPr>
                <w:rFonts w:hint="eastAsia" w:ascii="Times New Roman" w:hAnsi="Times New Roman" w:eastAsia="宋体" w:cs="Times New Roman"/>
                <w:bCs/>
                <w:color w:val="auto"/>
                <w:sz w:val="24"/>
                <w:lang w:eastAsia="zh-CN"/>
              </w:rPr>
              <w:t>本项目临近海域属于</w:t>
            </w:r>
            <w:r>
              <w:rPr>
                <w:rFonts w:hint="eastAsia" w:ascii="Times New Roman" w:hAnsi="Times New Roman" w:eastAsia="宋体" w:cs="Times New Roman"/>
                <w:bCs/>
                <w:color w:val="auto"/>
                <w:sz w:val="24"/>
              </w:rPr>
              <w:t>长乐区松下镇牛头湾，</w:t>
            </w:r>
            <w:r>
              <w:rPr>
                <w:rFonts w:hint="eastAsia" w:ascii="Times New Roman" w:hAnsi="Times New Roman" w:eastAsia="宋体" w:cs="Times New Roman"/>
                <w:bCs/>
                <w:color w:val="auto"/>
                <w:sz w:val="24"/>
                <w:lang w:eastAsia="zh-CN"/>
              </w:rPr>
              <w:t>为</w:t>
            </w:r>
            <w:r>
              <w:rPr>
                <w:rFonts w:hint="eastAsia" w:ascii="Times New Roman" w:hAnsi="Times New Roman" w:eastAsia="宋体" w:cs="Times New Roman"/>
                <w:bCs/>
                <w:color w:val="auto"/>
                <w:sz w:val="24"/>
              </w:rPr>
              <w:t>长乐松下港四类区，</w:t>
            </w:r>
            <w:r>
              <w:rPr>
                <w:rFonts w:hint="eastAsia" w:ascii="Times New Roman" w:hAnsi="Times New Roman" w:eastAsia="宋体" w:cs="Times New Roman"/>
                <w:bCs/>
                <w:color w:val="auto"/>
                <w:sz w:val="24"/>
                <w:lang w:eastAsia="zh-CN"/>
              </w:rPr>
              <w:t>主要功能为港口、一般工业用水，</w:t>
            </w:r>
            <w:r>
              <w:rPr>
                <w:rFonts w:hint="eastAsia" w:ascii="Times New Roman" w:hAnsi="Times New Roman" w:eastAsia="宋体" w:cs="Times New Roman"/>
                <w:bCs/>
                <w:color w:val="auto"/>
                <w:sz w:val="24"/>
              </w:rPr>
              <w:t>执行《海水水质标准》（GB3097-1997）第三类标准，详见</w:t>
            </w:r>
            <w:r>
              <w:rPr>
                <w:rFonts w:hint="eastAsia" w:ascii="Times New Roman" w:hAnsi="Times New Roman" w:eastAsia="宋体" w:cs="Times New Roman"/>
                <w:bCs/>
                <w:color w:val="auto"/>
                <w:sz w:val="24"/>
              </w:rPr>
              <w:fldChar w:fldCharType="begin"/>
            </w:r>
            <w:r>
              <w:rPr>
                <w:rFonts w:hint="eastAsia" w:ascii="Times New Roman" w:hAnsi="Times New Roman" w:eastAsia="宋体" w:cs="Times New Roman"/>
                <w:bCs/>
                <w:color w:val="auto"/>
                <w:sz w:val="24"/>
              </w:rPr>
              <w:instrText xml:space="preserve"> REF _Ref101367605 \r \h  \* MERGEFORMAT </w:instrText>
            </w:r>
            <w:r>
              <w:rPr>
                <w:rFonts w:hint="eastAsia" w:ascii="Times New Roman" w:hAnsi="Times New Roman" w:eastAsia="宋体" w:cs="Times New Roman"/>
                <w:bCs/>
                <w:color w:val="auto"/>
                <w:sz w:val="24"/>
              </w:rPr>
              <w:fldChar w:fldCharType="separate"/>
            </w:r>
            <w:r>
              <w:rPr>
                <w:rFonts w:hint="eastAsia" w:ascii="Times New Roman" w:hAnsi="Times New Roman" w:eastAsia="宋体" w:cs="Times New Roman"/>
                <w:bCs/>
                <w:color w:val="auto"/>
                <w:sz w:val="24"/>
              </w:rPr>
              <w:t>表3.</w:t>
            </w:r>
            <w:r>
              <w:rPr>
                <w:rFonts w:hint="eastAsia"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rPr>
              <w:fldChar w:fldCharType="end"/>
            </w:r>
            <w:r>
              <w:rPr>
                <w:rFonts w:hint="eastAsia" w:ascii="Times New Roman" w:hAnsi="Times New Roman" w:eastAsia="宋体" w:cs="Times New Roman"/>
                <w:bCs/>
                <w:color w:val="auto"/>
                <w:sz w:val="24"/>
              </w:rPr>
              <w:t>。</w:t>
            </w:r>
          </w:p>
          <w:p w14:paraId="0F25832C">
            <w:pPr>
              <w:spacing w:before="120" w:beforeLines="50"/>
              <w:jc w:val="center"/>
              <w:rPr>
                <w:rFonts w:ascii="Times New Roman" w:hAnsi="Times New Roman" w:eastAsia="黑体" w:cs="Times New Roman"/>
                <w:color w:val="auto"/>
                <w:sz w:val="24"/>
              </w:rPr>
            </w:pPr>
            <w:bookmarkStart w:id="16" w:name="_Ref101367605"/>
            <w:r>
              <w:rPr>
                <w:rFonts w:ascii="Times New Roman" w:hAnsi="Times New Roman" w:eastAsia="黑体"/>
                <w:color w:val="auto"/>
                <w:sz w:val="24"/>
              </w:rPr>
              <w:t>表3.2-</w:t>
            </w:r>
            <w:r>
              <w:rPr>
                <w:rFonts w:hint="eastAsia" w:ascii="Times New Roman" w:hAnsi="Times New Roman" w:eastAsia="黑体"/>
                <w:color w:val="auto"/>
                <w:sz w:val="24"/>
                <w:lang w:val="en-US" w:eastAsia="zh-CN"/>
              </w:rPr>
              <w:t>2</w:t>
            </w:r>
            <w:r>
              <w:rPr>
                <w:rFonts w:hint="eastAsia" w:ascii="Times New Roman" w:hAnsi="Times New Roman" w:eastAsia="黑体" w:cs="Times New Roman"/>
                <w:color w:val="auto"/>
                <w:sz w:val="24"/>
              </w:rPr>
              <w:t>海域</w:t>
            </w:r>
            <w:r>
              <w:rPr>
                <w:rFonts w:ascii="Times New Roman" w:hAnsi="Times New Roman" w:eastAsia="黑体" w:cs="Times New Roman"/>
                <w:color w:val="auto"/>
                <w:sz w:val="24"/>
              </w:rPr>
              <w:t>水环境质量标准限值  单位：mg/L（除pH值外）</w:t>
            </w:r>
            <w:bookmarkEnd w:id="16"/>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113"/>
              <w:gridCol w:w="792"/>
              <w:gridCol w:w="794"/>
              <w:gridCol w:w="821"/>
              <w:gridCol w:w="1461"/>
              <w:gridCol w:w="1573"/>
            </w:tblGrid>
            <w:tr w14:paraId="359F3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14:paraId="66826619">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ascii="Times New Roman" w:hAnsi="Times New Roman"/>
                      <w:color w:val="auto"/>
                      <w:sz w:val="21"/>
                      <w:szCs w:val="21"/>
                    </w:rPr>
                  </w:pPr>
                  <w:r>
                    <w:rPr>
                      <w:rFonts w:hint="eastAsia" w:ascii="Times New Roman" w:hAnsi="Times New Roman"/>
                      <w:color w:val="auto"/>
                      <w:sz w:val="21"/>
                      <w:szCs w:val="21"/>
                    </w:rPr>
                    <w:t>污染物</w:t>
                  </w:r>
                </w:p>
              </w:tc>
              <w:tc>
                <w:tcPr>
                  <w:tcW w:w="687" w:type="pct"/>
                  <w:noWrap w:val="0"/>
                  <w:vAlign w:val="center"/>
                </w:tcPr>
                <w:p w14:paraId="570BF97A">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ascii="Times New Roman" w:hAnsi="Times New Roman"/>
                      <w:color w:val="auto"/>
                      <w:sz w:val="21"/>
                      <w:szCs w:val="21"/>
                    </w:rPr>
                  </w:pPr>
                  <w:r>
                    <w:rPr>
                      <w:rFonts w:hint="eastAsia" w:ascii="Times New Roman" w:hAnsi="Times New Roman"/>
                      <w:color w:val="auto"/>
                      <w:sz w:val="21"/>
                      <w:szCs w:val="21"/>
                    </w:rPr>
                    <w:t>pH</w:t>
                  </w:r>
                </w:p>
              </w:tc>
              <w:tc>
                <w:tcPr>
                  <w:tcW w:w="489" w:type="pct"/>
                  <w:tcBorders>
                    <w:right w:val="single" w:color="000000" w:sz="2" w:space="0"/>
                  </w:tcBorders>
                  <w:noWrap w:val="0"/>
                  <w:vAlign w:val="center"/>
                </w:tcPr>
                <w:p w14:paraId="7AA57EBC">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ascii="Times New Roman" w:hAnsi="Times New Roman"/>
                      <w:color w:val="auto"/>
                      <w:sz w:val="21"/>
                      <w:szCs w:val="21"/>
                    </w:rPr>
                  </w:pPr>
                  <w:r>
                    <w:rPr>
                      <w:rFonts w:hint="eastAsia" w:ascii="Times New Roman" w:hAnsi="Times New Roman"/>
                      <w:color w:val="auto"/>
                      <w:sz w:val="21"/>
                      <w:szCs w:val="21"/>
                    </w:rPr>
                    <w:t>DO</w:t>
                  </w:r>
                </w:p>
              </w:tc>
              <w:tc>
                <w:tcPr>
                  <w:tcW w:w="490" w:type="pct"/>
                  <w:tcBorders>
                    <w:left w:val="single" w:color="000000" w:sz="2" w:space="0"/>
                    <w:right w:val="single" w:color="000000" w:sz="2" w:space="0"/>
                  </w:tcBorders>
                  <w:noWrap w:val="0"/>
                  <w:vAlign w:val="center"/>
                </w:tcPr>
                <w:p w14:paraId="7C76F50D">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ascii="Times New Roman" w:hAnsi="Times New Roman"/>
                      <w:color w:val="auto"/>
                      <w:sz w:val="21"/>
                      <w:szCs w:val="21"/>
                    </w:rPr>
                  </w:pPr>
                  <w:r>
                    <w:rPr>
                      <w:rFonts w:hint="eastAsia" w:ascii="Times New Roman" w:hAnsi="Times New Roman"/>
                      <w:color w:val="auto"/>
                      <w:sz w:val="21"/>
                      <w:szCs w:val="21"/>
                    </w:rPr>
                    <w:t>COD</w:t>
                  </w:r>
                </w:p>
              </w:tc>
              <w:tc>
                <w:tcPr>
                  <w:tcW w:w="507" w:type="pct"/>
                  <w:tcBorders>
                    <w:left w:val="single" w:color="000000" w:sz="2" w:space="0"/>
                    <w:right w:val="single" w:color="000000" w:sz="2" w:space="0"/>
                  </w:tcBorders>
                  <w:noWrap w:val="0"/>
                  <w:vAlign w:val="center"/>
                </w:tcPr>
                <w:p w14:paraId="0003F44E">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ascii="Times New Roman" w:hAnsi="Times New Roman"/>
                      <w:color w:val="auto"/>
                      <w:sz w:val="21"/>
                      <w:szCs w:val="21"/>
                    </w:rPr>
                  </w:pPr>
                  <w:r>
                    <w:rPr>
                      <w:rFonts w:hint="eastAsia" w:ascii="Times New Roman" w:hAnsi="Times New Roman"/>
                      <w:color w:val="auto"/>
                      <w:sz w:val="21"/>
                      <w:szCs w:val="21"/>
                    </w:rPr>
                    <w:t>BOD</w:t>
                  </w:r>
                  <w:r>
                    <w:rPr>
                      <w:rFonts w:hint="eastAsia" w:ascii="Times New Roman" w:hAnsi="Times New Roman"/>
                      <w:color w:val="auto"/>
                      <w:sz w:val="21"/>
                      <w:szCs w:val="21"/>
                      <w:vertAlign w:val="subscript"/>
                    </w:rPr>
                    <w:t>5</w:t>
                  </w:r>
                </w:p>
              </w:tc>
              <w:tc>
                <w:tcPr>
                  <w:tcW w:w="902" w:type="pct"/>
                  <w:tcBorders>
                    <w:right w:val="single" w:color="000000" w:sz="2" w:space="0"/>
                  </w:tcBorders>
                  <w:noWrap w:val="0"/>
                  <w:vAlign w:val="center"/>
                </w:tcPr>
                <w:p w14:paraId="50FED18F">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ascii="Times New Roman" w:hAnsi="Times New Roman"/>
                      <w:color w:val="auto"/>
                      <w:sz w:val="21"/>
                      <w:szCs w:val="21"/>
                    </w:rPr>
                  </w:pPr>
                  <w:r>
                    <w:rPr>
                      <w:rFonts w:hint="eastAsia" w:ascii="Times New Roman" w:hAnsi="Times New Roman"/>
                      <w:color w:val="auto"/>
                      <w:sz w:val="21"/>
                      <w:szCs w:val="21"/>
                    </w:rPr>
                    <w:t>无机氮</w:t>
                  </w:r>
                </w:p>
                <w:p w14:paraId="195E3CFE">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ascii="Times New Roman" w:hAnsi="Times New Roman"/>
                      <w:color w:val="auto"/>
                      <w:sz w:val="21"/>
                      <w:szCs w:val="21"/>
                    </w:rPr>
                  </w:pPr>
                  <w:r>
                    <w:rPr>
                      <w:rFonts w:hint="eastAsia" w:ascii="Times New Roman" w:hAnsi="Times New Roman"/>
                      <w:color w:val="auto"/>
                      <w:sz w:val="21"/>
                      <w:szCs w:val="21"/>
                    </w:rPr>
                    <w:t>（以N计）</w:t>
                  </w:r>
                </w:p>
              </w:tc>
              <w:tc>
                <w:tcPr>
                  <w:tcW w:w="971" w:type="pct"/>
                  <w:tcBorders>
                    <w:left w:val="single" w:color="000000" w:sz="2" w:space="0"/>
                  </w:tcBorders>
                  <w:noWrap w:val="0"/>
                  <w:vAlign w:val="center"/>
                </w:tcPr>
                <w:p w14:paraId="08737E3B">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ascii="Times New Roman" w:hAnsi="Times New Roman"/>
                      <w:color w:val="auto"/>
                      <w:sz w:val="21"/>
                      <w:szCs w:val="21"/>
                    </w:rPr>
                  </w:pPr>
                  <w:r>
                    <w:rPr>
                      <w:rFonts w:hint="eastAsia" w:ascii="Times New Roman" w:hAnsi="Times New Roman"/>
                      <w:color w:val="auto"/>
                      <w:sz w:val="21"/>
                      <w:szCs w:val="21"/>
                    </w:rPr>
                    <w:t>石油类</w:t>
                  </w:r>
                </w:p>
              </w:tc>
            </w:tr>
            <w:tr w14:paraId="1FB8C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1" w:type="pct"/>
                  <w:noWrap w:val="0"/>
                  <w:vAlign w:val="center"/>
                </w:tcPr>
                <w:p w14:paraId="6D9D6F1C">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hint="eastAsia" w:ascii="Times New Roman" w:hAnsi="Times New Roman"/>
                      <w:color w:val="auto"/>
                      <w:sz w:val="21"/>
                      <w:szCs w:val="21"/>
                    </w:rPr>
                  </w:pPr>
                  <w:r>
                    <w:rPr>
                      <w:rFonts w:hint="eastAsia" w:ascii="Times New Roman" w:hAnsi="Times New Roman"/>
                      <w:color w:val="auto"/>
                      <w:sz w:val="21"/>
                      <w:szCs w:val="21"/>
                    </w:rPr>
                    <w:t>第三类标准</w:t>
                  </w:r>
                </w:p>
              </w:tc>
              <w:tc>
                <w:tcPr>
                  <w:tcW w:w="687" w:type="pct"/>
                  <w:noWrap w:val="0"/>
                  <w:vAlign w:val="center"/>
                </w:tcPr>
                <w:p w14:paraId="14A0187E">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6.8~8.8</w:t>
                  </w:r>
                </w:p>
              </w:tc>
              <w:tc>
                <w:tcPr>
                  <w:tcW w:w="489" w:type="pct"/>
                  <w:tcBorders>
                    <w:right w:val="single" w:color="000000" w:sz="2" w:space="0"/>
                  </w:tcBorders>
                  <w:noWrap w:val="0"/>
                  <w:vAlign w:val="center"/>
                </w:tcPr>
                <w:p w14:paraId="45EF4D00">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hint="eastAsia" w:ascii="Times New Roman" w:hAnsi="Times New Roman"/>
                      <w:color w:val="auto"/>
                      <w:sz w:val="21"/>
                      <w:szCs w:val="21"/>
                    </w:rPr>
                  </w:pPr>
                  <w:r>
                    <w:rPr>
                      <w:rFonts w:hint="eastAsia" w:ascii="Times New Roman" w:hAnsi="Times New Roman"/>
                      <w:color w:val="auto"/>
                      <w:sz w:val="21"/>
                      <w:szCs w:val="21"/>
                    </w:rPr>
                    <w:t>≥</w:t>
                  </w:r>
                  <w:r>
                    <w:rPr>
                      <w:rFonts w:ascii="Times New Roman" w:hAnsi="Times New Roman"/>
                      <w:color w:val="auto"/>
                      <w:sz w:val="21"/>
                      <w:szCs w:val="21"/>
                    </w:rPr>
                    <w:t>4</w:t>
                  </w:r>
                </w:p>
              </w:tc>
              <w:tc>
                <w:tcPr>
                  <w:tcW w:w="490" w:type="pct"/>
                  <w:tcBorders>
                    <w:left w:val="single" w:color="000000" w:sz="2" w:space="0"/>
                    <w:right w:val="single" w:color="000000" w:sz="2" w:space="0"/>
                  </w:tcBorders>
                  <w:noWrap w:val="0"/>
                  <w:vAlign w:val="center"/>
                </w:tcPr>
                <w:p w14:paraId="14E4B922">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hint="eastAsia" w:ascii="Times New Roman" w:hAnsi="Times New Roman"/>
                      <w:color w:val="auto"/>
                      <w:sz w:val="21"/>
                      <w:szCs w:val="21"/>
                    </w:rPr>
                  </w:pPr>
                  <w:r>
                    <w:rPr>
                      <w:rFonts w:hint="eastAsia" w:ascii="Times New Roman" w:hAnsi="Times New Roman"/>
                      <w:color w:val="auto"/>
                      <w:sz w:val="21"/>
                      <w:szCs w:val="21"/>
                    </w:rPr>
                    <w:t>≤</w:t>
                  </w:r>
                  <w:r>
                    <w:rPr>
                      <w:rFonts w:ascii="Times New Roman" w:hAnsi="Times New Roman"/>
                      <w:color w:val="auto"/>
                      <w:sz w:val="21"/>
                      <w:szCs w:val="21"/>
                    </w:rPr>
                    <w:t>4</w:t>
                  </w:r>
                </w:p>
              </w:tc>
              <w:tc>
                <w:tcPr>
                  <w:tcW w:w="507" w:type="pct"/>
                  <w:tcBorders>
                    <w:left w:val="single" w:color="000000" w:sz="2" w:space="0"/>
                    <w:right w:val="single" w:color="000000" w:sz="2" w:space="0"/>
                  </w:tcBorders>
                  <w:noWrap w:val="0"/>
                  <w:vAlign w:val="center"/>
                </w:tcPr>
                <w:p w14:paraId="62EAD5CB">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hint="eastAsia" w:ascii="Times New Roman" w:hAnsi="Times New Roman"/>
                      <w:color w:val="auto"/>
                      <w:sz w:val="21"/>
                      <w:szCs w:val="21"/>
                    </w:rPr>
                  </w:pPr>
                  <w:r>
                    <w:rPr>
                      <w:rFonts w:hint="eastAsia" w:ascii="Times New Roman" w:hAnsi="Times New Roman"/>
                      <w:color w:val="auto"/>
                      <w:sz w:val="21"/>
                      <w:szCs w:val="21"/>
                    </w:rPr>
                    <w:t>≤</w:t>
                  </w:r>
                  <w:r>
                    <w:rPr>
                      <w:rFonts w:ascii="Times New Roman" w:hAnsi="Times New Roman"/>
                      <w:color w:val="auto"/>
                      <w:sz w:val="21"/>
                      <w:szCs w:val="21"/>
                    </w:rPr>
                    <w:t>4</w:t>
                  </w:r>
                </w:p>
              </w:tc>
              <w:tc>
                <w:tcPr>
                  <w:tcW w:w="902" w:type="pct"/>
                  <w:tcBorders>
                    <w:right w:val="single" w:color="000000" w:sz="2" w:space="0"/>
                  </w:tcBorders>
                  <w:noWrap w:val="0"/>
                  <w:vAlign w:val="center"/>
                </w:tcPr>
                <w:p w14:paraId="5EC9FC09">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hint="eastAsia" w:ascii="Times New Roman" w:hAnsi="Times New Roman"/>
                      <w:color w:val="auto"/>
                      <w:sz w:val="21"/>
                      <w:szCs w:val="21"/>
                    </w:rPr>
                  </w:pPr>
                  <w:r>
                    <w:rPr>
                      <w:rFonts w:hint="eastAsia" w:ascii="Times New Roman" w:hAnsi="Times New Roman"/>
                      <w:color w:val="auto"/>
                      <w:sz w:val="21"/>
                      <w:szCs w:val="21"/>
                    </w:rPr>
                    <w:t>≤0.</w:t>
                  </w:r>
                  <w:r>
                    <w:rPr>
                      <w:rFonts w:ascii="Times New Roman" w:hAnsi="Times New Roman"/>
                      <w:color w:val="auto"/>
                      <w:sz w:val="21"/>
                      <w:szCs w:val="21"/>
                    </w:rPr>
                    <w:t>4</w:t>
                  </w:r>
                </w:p>
              </w:tc>
              <w:tc>
                <w:tcPr>
                  <w:tcW w:w="971" w:type="pct"/>
                  <w:tcBorders>
                    <w:left w:val="single" w:color="000000" w:sz="2" w:space="0"/>
                  </w:tcBorders>
                  <w:noWrap w:val="0"/>
                  <w:vAlign w:val="center"/>
                </w:tcPr>
                <w:p w14:paraId="51436CF7">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240" w:lineRule="auto"/>
                    <w:ind w:left="0"/>
                    <w:textAlignment w:val="baseline"/>
                    <w:rPr>
                      <w:rFonts w:hint="eastAsia" w:ascii="Times New Roman" w:hAnsi="Times New Roman"/>
                      <w:color w:val="auto"/>
                      <w:sz w:val="21"/>
                      <w:szCs w:val="21"/>
                    </w:rPr>
                  </w:pPr>
                  <w:r>
                    <w:rPr>
                      <w:rFonts w:hint="eastAsia" w:ascii="Times New Roman" w:hAnsi="Times New Roman"/>
                      <w:color w:val="auto"/>
                      <w:sz w:val="21"/>
                      <w:szCs w:val="21"/>
                    </w:rPr>
                    <w:t>≤0.3</w:t>
                  </w:r>
                </w:p>
              </w:tc>
            </w:tr>
          </w:tbl>
          <w:p w14:paraId="78691036">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3.2.</w:t>
            </w: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bCs/>
                <w:color w:val="auto"/>
                <w:kern w:val="0"/>
                <w:sz w:val="24"/>
              </w:rPr>
              <w:t>水环境质量现状</w:t>
            </w:r>
          </w:p>
          <w:p w14:paraId="11836F2E">
            <w:pPr>
              <w:pStyle w:val="40"/>
              <w:numPr>
                <w:ilvl w:val="0"/>
                <w:numId w:val="0"/>
              </w:numPr>
              <w:ind w:left="480"/>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）地表水</w:t>
            </w:r>
            <w:r>
              <w:rPr>
                <w:rFonts w:hint="default" w:ascii="Times New Roman" w:hAnsi="Times New Roman" w:eastAsia="宋体" w:cs="Times New Roman"/>
                <w:color w:val="auto"/>
              </w:rPr>
              <w:t>水质现状调查</w:t>
            </w:r>
          </w:p>
          <w:p w14:paraId="24DE5777">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根据福州市人民政府网站发布的2023年福州市水环境质量状况可知，2023年，主要流域9个国考断面Ⅰ-Ⅲ类水质比例为100%，36个省考以上断面Ⅰ-Ⅲ类水质比例为100%；54个省考小流域断面Ⅰ-Ⅲ类水质比例为100%。县级以上集中式饮用水源地水质达标率为100%（详见附图4）。</w:t>
            </w:r>
          </w:p>
          <w:p w14:paraId="500134E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）海水水质现状调查</w:t>
            </w:r>
          </w:p>
          <w:p w14:paraId="57F25DB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根据福建省生态环境厅发布的福建省近岸海域水质状况及水质状况排名（</w:t>
            </w:r>
            <w:r>
              <w:rPr>
                <w:rFonts w:hint="eastAsia" w:ascii="Times New Roman" w:hAnsi="Times New Roman" w:eastAsia="宋体" w:cs="Times New Roman"/>
                <w:color w:val="auto"/>
                <w:sz w:val="24"/>
                <w:lang w:val="en-US" w:eastAsia="zh-CN"/>
              </w:rPr>
              <w:t>2024年春季</w:t>
            </w:r>
            <w:r>
              <w:rPr>
                <w:rFonts w:hint="eastAsia" w:ascii="Times New Roman" w:hAnsi="Times New Roman" w:eastAsia="宋体" w:cs="Times New Roman"/>
                <w:color w:val="auto"/>
                <w:sz w:val="24"/>
                <w:lang w:eastAsia="zh-CN"/>
              </w:rPr>
              <w:t>）可知，2024年春季，全省近岸海域水质状况如下：按照面积法评价，国控点位优良（一、二类）水质比例91.9%，各类水质比例如下：一类占77.4％，二类占14.5％，三类占4.1％，四类占1.6％，劣四类占2.4％；国省控点位优良（一、二类）水质比例为91.9%。按照点位法评价，国控点位优良（一、二类）水质比例74.6%，有7个点水质同比下降，其中福州2个、莆田2个、泉州1个、宁德2个，为罗源湾迹头（1个）、黄岐半岛东洛海域（1个）、兴化湾北高镇北（1个）、湄洲湾东海镇南（1个）、湄洲湾肖厝（1个）、福鼎闽浙交界海域（2个）。长乐区于沿海县级行政区海水水质排名为第</w:t>
            </w:r>
            <w:r>
              <w:rPr>
                <w:rFonts w:hint="eastAsia" w:ascii="Times New Roman" w:hAnsi="Times New Roman" w:eastAsia="宋体" w:cs="Times New Roman"/>
                <w:color w:val="auto"/>
                <w:sz w:val="24"/>
                <w:lang w:val="en-US" w:eastAsia="zh-CN"/>
              </w:rPr>
              <w:t>10.(详见附图5）。</w:t>
            </w:r>
          </w:p>
          <w:p w14:paraId="674F821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清洁废水、作业区露天区域初期雨水经处理后全部回用，不外排，</w:t>
            </w:r>
            <w:r>
              <w:rPr>
                <w:rFonts w:hint="eastAsia" w:ascii="Times New Roman" w:hAnsi="Times New Roman" w:eastAsia="宋体" w:cs="Times New Roman"/>
                <w:color w:val="auto"/>
                <w:sz w:val="24"/>
                <w:lang w:eastAsia="zh-CN"/>
              </w:rPr>
              <w:t>生活污水</w:t>
            </w:r>
            <w:r>
              <w:rPr>
                <w:rFonts w:hint="eastAsia" w:ascii="Times New Roman" w:hAnsi="Times New Roman" w:eastAsia="宋体" w:cs="Times New Roman"/>
                <w:color w:val="auto"/>
                <w:sz w:val="24"/>
                <w:lang w:val="en-US" w:eastAsia="zh-CN"/>
              </w:rPr>
              <w:t>经预处理</w:t>
            </w:r>
            <w:r>
              <w:rPr>
                <w:rFonts w:hint="eastAsia" w:ascii="Times New Roman" w:hAnsi="Times New Roman" w:eastAsia="宋体" w:cs="Times New Roman"/>
                <w:color w:val="auto"/>
                <w:sz w:val="24"/>
                <w:lang w:eastAsia="zh-CN"/>
              </w:rPr>
              <w:t>达标排入</w:t>
            </w:r>
            <w:r>
              <w:rPr>
                <w:rFonts w:hint="eastAsia" w:ascii="Times New Roman" w:hAnsi="Times New Roman" w:eastAsia="宋体" w:cs="Times New Roman"/>
                <w:color w:val="auto"/>
                <w:sz w:val="24"/>
                <w:lang w:val="en-US" w:eastAsia="zh-CN"/>
              </w:rPr>
              <w:t>松下镇山前村污水管网，</w:t>
            </w:r>
            <w:r>
              <w:rPr>
                <w:rFonts w:hint="eastAsia" w:ascii="Times New Roman" w:hAnsi="Times New Roman" w:eastAsia="宋体" w:cs="Times New Roman"/>
                <w:color w:val="auto"/>
                <w:sz w:val="24"/>
                <w:lang w:eastAsia="zh-CN"/>
              </w:rPr>
              <w:t>送往福州市长乐区松下镇山前村污水处理站集中处理</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不直接排入周边地表水体，几乎不会改变周边水环境质量现状。</w:t>
            </w:r>
          </w:p>
          <w:p w14:paraId="1EBBF6E7">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引用资料的有效性分析</w:t>
            </w:r>
          </w:p>
          <w:p w14:paraId="08260A81">
            <w:pPr>
              <w:autoSpaceDE w:val="0"/>
              <w:autoSpaceDN w:val="0"/>
              <w:spacing w:line="360" w:lineRule="auto"/>
              <w:ind w:firstLine="480" w:firstLineChars="200"/>
              <w:textAlignment w:val="bottom"/>
              <w:rPr>
                <w:rFonts w:ascii="Times New Roman" w:hAnsi="Times New Roman"/>
                <w:color w:val="auto"/>
                <w:sz w:val="24"/>
              </w:rPr>
            </w:pPr>
            <w:r>
              <w:rPr>
                <w:rFonts w:hint="default" w:ascii="Times New Roman" w:hAnsi="Times New Roman" w:eastAsia="宋体" w:cs="Times New Roman"/>
                <w:color w:val="auto"/>
                <w:sz w:val="24"/>
                <w:szCs w:val="24"/>
                <w:highlight w:val="none"/>
              </w:rPr>
              <w:t>根据《建设项目环境影响报告表编制技术指南</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污染影响类</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试行</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环办环评〔2020〕33号</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本次</w:t>
            </w:r>
            <w:r>
              <w:rPr>
                <w:rFonts w:ascii="Times New Roman" w:hAnsi="Times New Roman"/>
                <w:color w:val="auto"/>
                <w:sz w:val="24"/>
              </w:rPr>
              <w:t>评价选取</w:t>
            </w:r>
            <w:r>
              <w:rPr>
                <w:rFonts w:hint="eastAsia" w:ascii="Times New Roman" w:hAnsi="Times New Roman"/>
                <w:color w:val="auto"/>
                <w:sz w:val="24"/>
                <w:lang w:eastAsia="zh-CN"/>
              </w:rPr>
              <w:t>福建省生态环境厅、</w:t>
            </w:r>
            <w:r>
              <w:rPr>
                <w:rFonts w:hint="eastAsia" w:ascii="Times New Roman" w:hAnsi="Times New Roman"/>
                <w:color w:val="auto"/>
                <w:sz w:val="24"/>
                <w:szCs w:val="22"/>
                <w:lang w:val="en-US" w:eastAsia="zh-CN"/>
              </w:rPr>
              <w:t>福州市人民政府</w:t>
            </w:r>
            <w:r>
              <w:rPr>
                <w:rFonts w:ascii="Times New Roman" w:hAnsi="Times New Roman"/>
                <w:color w:val="auto"/>
                <w:sz w:val="24"/>
                <w:szCs w:val="22"/>
              </w:rPr>
              <w:t>网站</w:t>
            </w:r>
            <w:r>
              <w:rPr>
                <w:rFonts w:hint="eastAsia" w:ascii="Times New Roman" w:hAnsi="Times New Roman"/>
                <w:color w:val="auto"/>
                <w:sz w:val="24"/>
                <w:szCs w:val="22"/>
                <w:lang w:val="en-US" w:eastAsia="zh-CN"/>
              </w:rPr>
              <w:t>发布的</w:t>
            </w:r>
            <w:r>
              <w:rPr>
                <w:rFonts w:ascii="Times New Roman" w:hAnsi="Times New Roman"/>
                <w:color w:val="auto"/>
                <w:sz w:val="24"/>
              </w:rPr>
              <w:t>水环境</w:t>
            </w:r>
            <w:r>
              <w:rPr>
                <w:rFonts w:hint="eastAsia" w:ascii="Times New Roman" w:hAnsi="Times New Roman"/>
                <w:color w:val="auto"/>
                <w:sz w:val="24"/>
                <w:lang w:val="en-US" w:eastAsia="zh-CN"/>
              </w:rPr>
              <w:t>质量状况</w:t>
            </w:r>
            <w:r>
              <w:rPr>
                <w:rFonts w:ascii="Times New Roman" w:hAnsi="Times New Roman"/>
                <w:color w:val="auto"/>
                <w:sz w:val="24"/>
              </w:rPr>
              <w:t>，符合《建设项目环境影响报告表编制技术指南</w:t>
            </w:r>
            <w:r>
              <w:rPr>
                <w:rFonts w:hint="eastAsia" w:ascii="Times New Roman" w:hAnsi="Times New Roman"/>
                <w:color w:val="auto"/>
                <w:sz w:val="24"/>
              </w:rPr>
              <w:t>(</w:t>
            </w:r>
            <w:r>
              <w:rPr>
                <w:rFonts w:ascii="Times New Roman" w:hAnsi="Times New Roman"/>
                <w:color w:val="auto"/>
                <w:sz w:val="24"/>
              </w:rPr>
              <w:t>污染影响类</w:t>
            </w:r>
            <w:r>
              <w:rPr>
                <w:rFonts w:hint="eastAsia" w:ascii="Times New Roman" w:hAnsi="Times New Roman"/>
                <w:color w:val="auto"/>
                <w:sz w:val="24"/>
              </w:rPr>
              <w:t>)(</w:t>
            </w:r>
            <w:r>
              <w:rPr>
                <w:rFonts w:ascii="Times New Roman" w:hAnsi="Times New Roman"/>
                <w:color w:val="auto"/>
                <w:sz w:val="24"/>
              </w:rPr>
              <w:t>试行</w:t>
            </w:r>
            <w:r>
              <w:rPr>
                <w:rFonts w:hint="eastAsia" w:ascii="Times New Roman" w:hAnsi="Times New Roman"/>
                <w:color w:val="auto"/>
                <w:sz w:val="24"/>
              </w:rPr>
              <w:t>)</w:t>
            </w:r>
            <w:r>
              <w:rPr>
                <w:rFonts w:ascii="Times New Roman" w:hAnsi="Times New Roman"/>
                <w:color w:val="auto"/>
                <w:sz w:val="24"/>
              </w:rPr>
              <w:t>》</w:t>
            </w:r>
            <w:r>
              <w:rPr>
                <w:rFonts w:hint="eastAsia" w:ascii="Times New Roman" w:hAnsi="Times New Roman"/>
                <w:color w:val="auto"/>
                <w:sz w:val="24"/>
              </w:rPr>
              <w:t>(</w:t>
            </w:r>
            <w:r>
              <w:rPr>
                <w:rFonts w:ascii="Times New Roman" w:hAnsi="Times New Roman"/>
                <w:color w:val="auto"/>
                <w:sz w:val="24"/>
              </w:rPr>
              <w:t>环办环评〔2020〕33号</w:t>
            </w:r>
            <w:r>
              <w:rPr>
                <w:rFonts w:hint="eastAsia" w:ascii="Times New Roman" w:hAnsi="Times New Roman"/>
                <w:color w:val="auto"/>
                <w:sz w:val="24"/>
              </w:rPr>
              <w:t>)的</w:t>
            </w:r>
            <w:r>
              <w:rPr>
                <w:rFonts w:ascii="Times New Roman" w:hAnsi="Times New Roman"/>
                <w:color w:val="auto"/>
                <w:sz w:val="24"/>
              </w:rPr>
              <w:t>要求。</w:t>
            </w:r>
          </w:p>
          <w:p w14:paraId="00C5E803">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3.3声环境质量现状</w:t>
            </w:r>
          </w:p>
          <w:p w14:paraId="0B281251">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3.3.1声环境功能区</w:t>
            </w:r>
          </w:p>
          <w:p w14:paraId="77DABA1C">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highlight w:val="none"/>
                <w:lang w:eastAsia="zh-CN"/>
              </w:rPr>
              <w:t>本项目选址于福州市长乐区松下镇山前村东村新区66号，本项目所在区属于居住、商业、工业混杂区，位</w:t>
            </w:r>
            <w:r>
              <w:rPr>
                <w:rFonts w:hint="eastAsia" w:ascii="Times New Roman" w:hAnsi="Times New Roman" w:eastAsia="宋体" w:cs="Times New Roman"/>
                <w:color w:val="auto"/>
                <w:sz w:val="24"/>
                <w:highlight w:val="none"/>
                <w:lang w:val="en-US" w:eastAsia="zh-CN"/>
              </w:rPr>
              <w:t>于2类区</w:t>
            </w:r>
            <w:r>
              <w:rPr>
                <w:rFonts w:hint="eastAsia" w:ascii="Times New Roman" w:hAnsi="Times New Roman" w:eastAsia="宋体" w:cs="Times New Roman"/>
                <w:color w:val="auto"/>
                <w:sz w:val="24"/>
                <w:highlight w:val="none"/>
                <w:lang w:eastAsia="zh-CN"/>
              </w:rPr>
              <w:t>，执行2类声环境功能区划。</w:t>
            </w:r>
            <w:r>
              <w:rPr>
                <w:rFonts w:hint="eastAsia" w:ascii="Times New Roman" w:hAnsi="Times New Roman" w:eastAsia="宋体" w:cs="Times New Roman"/>
                <w:color w:val="auto"/>
                <w:sz w:val="24"/>
                <w:lang w:val="en-US" w:eastAsia="zh-CN"/>
              </w:rPr>
              <w:t>项目</w:t>
            </w:r>
            <w:r>
              <w:rPr>
                <w:rFonts w:hint="eastAsia" w:ascii="Times New Roman" w:hAnsi="Times New Roman"/>
                <w:color w:val="auto"/>
                <w:sz w:val="24"/>
                <w:lang w:val="en-US" w:eastAsia="zh-CN"/>
              </w:rPr>
              <w:t>周边敏感目标山前</w:t>
            </w:r>
            <w:r>
              <w:rPr>
                <w:rFonts w:hint="eastAsia" w:ascii="Times New Roman" w:hAnsi="Times New Roman"/>
                <w:color w:val="auto"/>
                <w:sz w:val="24"/>
              </w:rPr>
              <w:t>村</w:t>
            </w:r>
            <w:r>
              <w:rPr>
                <w:rFonts w:hint="eastAsia" w:ascii="Times New Roman" w:hAnsi="Times New Roman"/>
                <w:color w:val="auto"/>
                <w:sz w:val="24"/>
                <w:lang w:eastAsia="zh-CN"/>
              </w:rPr>
              <w:t>声环境质量执行</w:t>
            </w:r>
            <w:r>
              <w:rPr>
                <w:rFonts w:ascii="Times New Roman" w:hAnsi="Times New Roman"/>
                <w:color w:val="auto"/>
                <w:sz w:val="24"/>
              </w:rPr>
              <w:t>《声环境质量标准》</w:t>
            </w:r>
            <w:r>
              <w:rPr>
                <w:rFonts w:hint="eastAsia" w:ascii="Times New Roman" w:hAnsi="Times New Roman"/>
                <w:color w:val="auto"/>
                <w:sz w:val="24"/>
              </w:rPr>
              <w:t>(</w:t>
            </w:r>
            <w:r>
              <w:rPr>
                <w:rFonts w:ascii="Times New Roman" w:hAnsi="Times New Roman"/>
                <w:color w:val="auto"/>
                <w:sz w:val="24"/>
              </w:rPr>
              <w:t>GB3096-2008</w:t>
            </w:r>
            <w:r>
              <w:rPr>
                <w:rFonts w:hint="eastAsia" w:ascii="Times New Roman" w:hAnsi="Times New Roman"/>
                <w:color w:val="auto"/>
                <w:sz w:val="24"/>
              </w:rPr>
              <w:t>)</w:t>
            </w:r>
            <w:r>
              <w:rPr>
                <w:rFonts w:hint="eastAsia" w:ascii="Times New Roman" w:hAnsi="Times New Roman"/>
                <w:color w:val="auto"/>
                <w:sz w:val="24"/>
                <w:lang w:val="en-US" w:eastAsia="zh-CN"/>
              </w:rPr>
              <w:t>中</w:t>
            </w:r>
            <w:r>
              <w:rPr>
                <w:rFonts w:hint="eastAsia" w:ascii="Times New Roman" w:hAnsi="Times New Roman"/>
                <w:color w:val="auto"/>
                <w:sz w:val="24"/>
              </w:rPr>
              <w:t>2</w:t>
            </w:r>
            <w:r>
              <w:rPr>
                <w:rFonts w:ascii="Times New Roman" w:hAnsi="Times New Roman"/>
                <w:color w:val="auto"/>
                <w:sz w:val="24"/>
              </w:rPr>
              <w:t>类区标准</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具体</w:t>
            </w:r>
            <w:r>
              <w:rPr>
                <w:rFonts w:ascii="Times New Roman" w:hAnsi="Times New Roman" w:eastAsia="宋体" w:cs="Times New Roman"/>
                <w:color w:val="auto"/>
                <w:sz w:val="24"/>
              </w:rPr>
              <w:t>详见表3.</w:t>
            </w:r>
            <w:r>
              <w:rPr>
                <w:rFonts w:hint="eastAsia" w:ascii="Times New Roman" w:hAnsi="Times New Roman" w:eastAsia="宋体" w:cs="Times New Roman"/>
                <w:color w:val="auto"/>
                <w:sz w:val="24"/>
                <w:lang w:val="en-US" w:eastAsia="zh-CN"/>
              </w:rPr>
              <w:t>3</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w:t>
            </w:r>
            <w:r>
              <w:rPr>
                <w:rFonts w:ascii="Times New Roman" w:hAnsi="Times New Roman" w:eastAsia="宋体" w:cs="Times New Roman"/>
                <w:color w:val="auto"/>
                <w:sz w:val="24"/>
              </w:rPr>
              <w:t>。</w:t>
            </w:r>
          </w:p>
          <w:p w14:paraId="6BDE0037">
            <w:pPr>
              <w:adjustRightInd w:val="0"/>
              <w:snapToGrid w:val="0"/>
              <w:spacing w:before="120" w:beforeLines="50"/>
              <w:jc w:val="center"/>
              <w:rPr>
                <w:rFonts w:ascii="Times New Roman" w:hAnsi="Times New Roman" w:eastAsia="黑体"/>
                <w:color w:val="auto"/>
                <w:sz w:val="24"/>
              </w:rPr>
            </w:pPr>
            <w:r>
              <w:rPr>
                <w:rFonts w:ascii="Times New Roman" w:hAnsi="Times New Roman" w:eastAsia="黑体"/>
                <w:color w:val="auto"/>
                <w:sz w:val="24"/>
              </w:rPr>
              <w:t>表3.3-1  《声环境质量</w:t>
            </w:r>
            <w:r>
              <w:rPr>
                <w:rFonts w:ascii="Times New Roman" w:hAnsi="Times New Roman" w:eastAsia="黑体"/>
                <w:color w:val="auto"/>
                <w:sz w:val="24"/>
              </w:rPr>
              <w:tab/>
            </w:r>
            <w:r>
              <w:rPr>
                <w:rFonts w:ascii="Times New Roman" w:hAnsi="Times New Roman" w:eastAsia="黑体"/>
                <w:color w:val="auto"/>
                <w:sz w:val="24"/>
              </w:rPr>
              <w:t>标准》(GB3096-2008)(摘录)</w:t>
            </w:r>
          </w:p>
          <w:tbl>
            <w:tblPr>
              <w:tblStyle w:val="20"/>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803"/>
              <w:gridCol w:w="4858"/>
              <w:gridCol w:w="1054"/>
              <w:gridCol w:w="1235"/>
            </w:tblGrid>
            <w:tr w14:paraId="519EF3A7">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803" w:type="dxa"/>
                  <w:vMerge w:val="restart"/>
                  <w:tcBorders>
                    <w:tl2br w:val="nil"/>
                    <w:tr2bl w:val="nil"/>
                  </w:tcBorders>
                  <w:noWrap w:val="0"/>
                  <w:vAlign w:val="center"/>
                </w:tcPr>
                <w:p w14:paraId="04CEF4C2">
                  <w:pPr>
                    <w:pStyle w:val="41"/>
                    <w:spacing w:line="340" w:lineRule="exact"/>
                    <w:rPr>
                      <w:rFonts w:ascii="Times New Roman" w:hAnsi="Times New Roman"/>
                      <w:snapToGrid w:val="0"/>
                      <w:color w:val="auto"/>
                      <w:kern w:val="18"/>
                    </w:rPr>
                  </w:pPr>
                  <w:r>
                    <w:rPr>
                      <w:rFonts w:ascii="Times New Roman" w:hAnsi="Times New Roman"/>
                      <w:snapToGrid w:val="0"/>
                      <w:color w:val="auto"/>
                      <w:kern w:val="18"/>
                    </w:rPr>
                    <w:t>标准类别</w:t>
                  </w:r>
                </w:p>
              </w:tc>
              <w:tc>
                <w:tcPr>
                  <w:tcW w:w="4858" w:type="dxa"/>
                  <w:vMerge w:val="restart"/>
                  <w:tcBorders>
                    <w:tl2br w:val="nil"/>
                    <w:tr2bl w:val="nil"/>
                  </w:tcBorders>
                  <w:noWrap w:val="0"/>
                  <w:vAlign w:val="center"/>
                </w:tcPr>
                <w:p w14:paraId="343BE47E">
                  <w:pPr>
                    <w:pStyle w:val="41"/>
                    <w:spacing w:line="340" w:lineRule="exact"/>
                    <w:rPr>
                      <w:rFonts w:ascii="Times New Roman" w:hAnsi="Times New Roman"/>
                      <w:snapToGrid w:val="0"/>
                      <w:color w:val="auto"/>
                      <w:kern w:val="18"/>
                    </w:rPr>
                  </w:pPr>
                  <w:r>
                    <w:rPr>
                      <w:rFonts w:ascii="Times New Roman" w:hAnsi="Times New Roman"/>
                      <w:snapToGrid w:val="0"/>
                      <w:color w:val="auto"/>
                      <w:kern w:val="18"/>
                    </w:rPr>
                    <w:t>适用区域</w:t>
                  </w:r>
                </w:p>
              </w:tc>
              <w:tc>
                <w:tcPr>
                  <w:tcW w:w="2289" w:type="dxa"/>
                  <w:gridSpan w:val="2"/>
                  <w:tcBorders>
                    <w:tl2br w:val="nil"/>
                    <w:tr2bl w:val="nil"/>
                  </w:tcBorders>
                  <w:noWrap w:val="0"/>
                  <w:vAlign w:val="center"/>
                </w:tcPr>
                <w:p w14:paraId="1A70AFE9">
                  <w:pPr>
                    <w:pStyle w:val="41"/>
                    <w:spacing w:line="340" w:lineRule="exact"/>
                    <w:rPr>
                      <w:rFonts w:ascii="Times New Roman" w:hAnsi="Times New Roman"/>
                      <w:snapToGrid w:val="0"/>
                      <w:color w:val="auto"/>
                      <w:kern w:val="18"/>
                    </w:rPr>
                  </w:pPr>
                  <w:r>
                    <w:rPr>
                      <w:rFonts w:ascii="Times New Roman" w:hAnsi="Times New Roman"/>
                      <w:snapToGrid w:val="0"/>
                      <w:color w:val="auto"/>
                      <w:kern w:val="18"/>
                    </w:rPr>
                    <w:t>等效声级L</w:t>
                  </w:r>
                  <w:r>
                    <w:rPr>
                      <w:rFonts w:ascii="Times New Roman" w:hAnsi="Times New Roman"/>
                      <w:snapToGrid w:val="0"/>
                      <w:color w:val="auto"/>
                      <w:kern w:val="18"/>
                      <w:vertAlign w:val="subscript"/>
                    </w:rPr>
                    <w:t>eq</w:t>
                  </w:r>
                  <w:r>
                    <w:rPr>
                      <w:rFonts w:ascii="Times New Roman" w:hAnsi="Times New Roman"/>
                      <w:snapToGrid w:val="0"/>
                      <w:color w:val="auto"/>
                      <w:kern w:val="18"/>
                    </w:rPr>
                    <w:t>(dB(A))</w:t>
                  </w:r>
                </w:p>
              </w:tc>
            </w:tr>
            <w:tr w14:paraId="68743B49">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803" w:type="dxa"/>
                  <w:vMerge w:val="continue"/>
                  <w:tcBorders>
                    <w:tl2br w:val="nil"/>
                    <w:tr2bl w:val="nil"/>
                  </w:tcBorders>
                  <w:noWrap w:val="0"/>
                  <w:vAlign w:val="center"/>
                </w:tcPr>
                <w:p w14:paraId="370B75CD">
                  <w:pPr>
                    <w:pStyle w:val="41"/>
                    <w:spacing w:line="340" w:lineRule="exact"/>
                    <w:rPr>
                      <w:rFonts w:ascii="Times New Roman" w:hAnsi="Times New Roman"/>
                      <w:snapToGrid w:val="0"/>
                      <w:color w:val="auto"/>
                      <w:kern w:val="18"/>
                    </w:rPr>
                  </w:pPr>
                </w:p>
              </w:tc>
              <w:tc>
                <w:tcPr>
                  <w:tcW w:w="4858" w:type="dxa"/>
                  <w:vMerge w:val="continue"/>
                  <w:tcBorders>
                    <w:tl2br w:val="nil"/>
                    <w:tr2bl w:val="nil"/>
                  </w:tcBorders>
                  <w:noWrap w:val="0"/>
                  <w:vAlign w:val="center"/>
                </w:tcPr>
                <w:p w14:paraId="75927CEC">
                  <w:pPr>
                    <w:pStyle w:val="41"/>
                    <w:spacing w:line="340" w:lineRule="exact"/>
                    <w:rPr>
                      <w:rFonts w:ascii="Times New Roman" w:hAnsi="Times New Roman"/>
                      <w:snapToGrid w:val="0"/>
                      <w:color w:val="auto"/>
                      <w:kern w:val="18"/>
                    </w:rPr>
                  </w:pPr>
                </w:p>
              </w:tc>
              <w:tc>
                <w:tcPr>
                  <w:tcW w:w="1054" w:type="dxa"/>
                  <w:tcBorders>
                    <w:tl2br w:val="nil"/>
                    <w:tr2bl w:val="nil"/>
                  </w:tcBorders>
                  <w:noWrap w:val="0"/>
                  <w:vAlign w:val="center"/>
                </w:tcPr>
                <w:p w14:paraId="6EE33E7B">
                  <w:pPr>
                    <w:pStyle w:val="41"/>
                    <w:spacing w:line="340" w:lineRule="exact"/>
                    <w:rPr>
                      <w:rFonts w:ascii="Times New Roman" w:hAnsi="Times New Roman"/>
                      <w:snapToGrid w:val="0"/>
                      <w:color w:val="auto"/>
                      <w:kern w:val="18"/>
                    </w:rPr>
                  </w:pPr>
                  <w:r>
                    <w:rPr>
                      <w:rFonts w:ascii="Times New Roman" w:hAnsi="Times New Roman"/>
                      <w:snapToGrid w:val="0"/>
                      <w:color w:val="auto"/>
                      <w:kern w:val="18"/>
                    </w:rPr>
                    <w:t>昼间</w:t>
                  </w:r>
                </w:p>
              </w:tc>
              <w:tc>
                <w:tcPr>
                  <w:tcW w:w="1235" w:type="dxa"/>
                  <w:tcBorders>
                    <w:tl2br w:val="nil"/>
                    <w:tr2bl w:val="nil"/>
                  </w:tcBorders>
                  <w:noWrap w:val="0"/>
                  <w:vAlign w:val="center"/>
                </w:tcPr>
                <w:p w14:paraId="0AE8A75F">
                  <w:pPr>
                    <w:pStyle w:val="41"/>
                    <w:spacing w:line="340" w:lineRule="exact"/>
                    <w:rPr>
                      <w:rFonts w:hint="eastAsia" w:ascii="Times New Roman" w:hAnsi="Times New Roman"/>
                      <w:snapToGrid w:val="0"/>
                      <w:color w:val="auto"/>
                      <w:kern w:val="18"/>
                    </w:rPr>
                  </w:pPr>
                  <w:r>
                    <w:rPr>
                      <w:rFonts w:hint="eastAsia" w:ascii="Times New Roman" w:hAnsi="Times New Roman"/>
                      <w:snapToGrid w:val="0"/>
                      <w:color w:val="auto"/>
                      <w:kern w:val="18"/>
                    </w:rPr>
                    <w:t>夜间</w:t>
                  </w:r>
                </w:p>
              </w:tc>
            </w:tr>
            <w:tr w14:paraId="113DB07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803" w:type="dxa"/>
                  <w:tcBorders>
                    <w:tl2br w:val="nil"/>
                    <w:tr2bl w:val="nil"/>
                  </w:tcBorders>
                  <w:noWrap w:val="0"/>
                  <w:vAlign w:val="center"/>
                </w:tcPr>
                <w:p w14:paraId="29CFEA58">
                  <w:pPr>
                    <w:pStyle w:val="41"/>
                    <w:spacing w:line="340" w:lineRule="exact"/>
                    <w:ind w:firstLine="0" w:firstLineChars="0"/>
                    <w:rPr>
                      <w:rFonts w:hint="eastAsia" w:ascii="Times New Roman" w:hAnsi="Times New Roman" w:eastAsia="宋体"/>
                      <w:snapToGrid w:val="0"/>
                      <w:color w:val="auto"/>
                      <w:kern w:val="18"/>
                      <w:lang w:val="en-US" w:eastAsia="zh-CN"/>
                    </w:rPr>
                  </w:pPr>
                  <w:r>
                    <w:rPr>
                      <w:rFonts w:hint="eastAsia" w:ascii="Times New Roman" w:hAnsi="Times New Roman"/>
                      <w:snapToGrid w:val="0"/>
                      <w:color w:val="auto"/>
                      <w:kern w:val="18"/>
                    </w:rPr>
                    <w:t>2</w:t>
                  </w:r>
                </w:p>
              </w:tc>
              <w:tc>
                <w:tcPr>
                  <w:tcW w:w="4858" w:type="dxa"/>
                  <w:tcBorders>
                    <w:tl2br w:val="nil"/>
                    <w:tr2bl w:val="nil"/>
                  </w:tcBorders>
                  <w:noWrap w:val="0"/>
                  <w:vAlign w:val="center"/>
                </w:tcPr>
                <w:p w14:paraId="5F8547C4">
                  <w:pPr>
                    <w:pStyle w:val="41"/>
                    <w:spacing w:line="340" w:lineRule="exact"/>
                    <w:ind w:firstLine="0" w:firstLineChars="0"/>
                    <w:rPr>
                      <w:rFonts w:ascii="Times New Roman" w:hAnsi="Times New Roman"/>
                      <w:snapToGrid w:val="0"/>
                      <w:color w:val="auto"/>
                      <w:kern w:val="18"/>
                    </w:rPr>
                  </w:pPr>
                  <w:r>
                    <w:rPr>
                      <w:rFonts w:ascii="Times New Roman" w:hAnsi="Times New Roman"/>
                      <w:snapToGrid w:val="0"/>
                      <w:color w:val="auto"/>
                      <w:kern w:val="18"/>
                      <w:szCs w:val="21"/>
                    </w:rPr>
                    <w:t>指以商业金融、集市贸易为主要功能，或者居住、商业、工业混杂，需要维护住宅安静的区域</w:t>
                  </w:r>
                </w:p>
              </w:tc>
              <w:tc>
                <w:tcPr>
                  <w:tcW w:w="1054" w:type="dxa"/>
                  <w:tcBorders>
                    <w:tl2br w:val="nil"/>
                    <w:tr2bl w:val="nil"/>
                  </w:tcBorders>
                  <w:noWrap w:val="0"/>
                  <w:vAlign w:val="center"/>
                </w:tcPr>
                <w:p w14:paraId="72549BF5">
                  <w:pPr>
                    <w:pStyle w:val="41"/>
                    <w:spacing w:line="340" w:lineRule="exact"/>
                    <w:ind w:firstLine="0" w:firstLineChars="0"/>
                    <w:rPr>
                      <w:rFonts w:ascii="Times New Roman" w:hAnsi="Times New Roman"/>
                      <w:snapToGrid w:val="0"/>
                      <w:color w:val="auto"/>
                      <w:kern w:val="18"/>
                    </w:rPr>
                  </w:pPr>
                  <w:r>
                    <w:rPr>
                      <w:rFonts w:ascii="Times New Roman" w:hAnsi="Times New Roman"/>
                      <w:snapToGrid w:val="0"/>
                      <w:color w:val="auto"/>
                      <w:kern w:val="18"/>
                      <w:szCs w:val="21"/>
                    </w:rPr>
                    <w:t>≤</w:t>
                  </w:r>
                  <w:r>
                    <w:rPr>
                      <w:rFonts w:hint="eastAsia" w:ascii="Times New Roman" w:hAnsi="Times New Roman"/>
                      <w:snapToGrid w:val="0"/>
                      <w:color w:val="auto"/>
                      <w:kern w:val="18"/>
                    </w:rPr>
                    <w:t>60</w:t>
                  </w:r>
                </w:p>
              </w:tc>
              <w:tc>
                <w:tcPr>
                  <w:tcW w:w="1235" w:type="dxa"/>
                  <w:tcBorders>
                    <w:tl2br w:val="nil"/>
                    <w:tr2bl w:val="nil"/>
                  </w:tcBorders>
                  <w:noWrap w:val="0"/>
                  <w:vAlign w:val="center"/>
                </w:tcPr>
                <w:p w14:paraId="653B5C51">
                  <w:pPr>
                    <w:pStyle w:val="41"/>
                    <w:spacing w:line="340" w:lineRule="exact"/>
                    <w:ind w:firstLine="0" w:firstLineChars="0"/>
                    <w:rPr>
                      <w:rFonts w:hint="eastAsia" w:ascii="Times New Roman" w:hAnsi="Times New Roman"/>
                      <w:snapToGrid w:val="0"/>
                      <w:color w:val="auto"/>
                      <w:kern w:val="18"/>
                    </w:rPr>
                  </w:pPr>
                  <w:r>
                    <w:rPr>
                      <w:rFonts w:ascii="Times New Roman" w:hAnsi="Times New Roman"/>
                      <w:snapToGrid w:val="0"/>
                      <w:color w:val="auto"/>
                      <w:kern w:val="18"/>
                      <w:szCs w:val="21"/>
                    </w:rPr>
                    <w:t>≤</w:t>
                  </w:r>
                  <w:r>
                    <w:rPr>
                      <w:rFonts w:hint="eastAsia" w:ascii="Times New Roman" w:hAnsi="Times New Roman"/>
                      <w:snapToGrid w:val="0"/>
                      <w:color w:val="auto"/>
                      <w:kern w:val="18"/>
                    </w:rPr>
                    <w:t>50</w:t>
                  </w:r>
                </w:p>
              </w:tc>
            </w:tr>
          </w:tbl>
          <w:p w14:paraId="6D7EF211">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3.3.2声环境质量现状</w:t>
            </w:r>
          </w:p>
          <w:p w14:paraId="703237C6">
            <w:pPr>
              <w:spacing w:line="360" w:lineRule="auto"/>
              <w:ind w:firstLine="480" w:firstLineChars="200"/>
              <w:rPr>
                <w:rFonts w:hint="default" w:ascii="Times New Roman" w:hAnsi="Times New Roman" w:eastAsia="宋体"/>
                <w:color w:val="auto"/>
                <w:sz w:val="24"/>
                <w:szCs w:val="22"/>
                <w:lang w:val="en-US" w:eastAsia="zh-CN"/>
              </w:rPr>
            </w:pPr>
            <w:r>
              <w:rPr>
                <w:rFonts w:hint="eastAsia" w:ascii="Times New Roman" w:hAnsi="Times New Roman"/>
                <w:color w:val="auto"/>
                <w:sz w:val="24"/>
                <w:szCs w:val="22"/>
                <w:lang w:val="en-US" w:eastAsia="zh-CN"/>
              </w:rPr>
              <w:t>为了解项目所在区域声环境质量现状，建设单位委托安</w:t>
            </w:r>
            <w:r>
              <w:rPr>
                <w:rFonts w:hint="eastAsia" w:ascii="Times New Roman" w:hAnsi="Times New Roman" w:eastAsia="宋体" w:cs="Times New Roman"/>
                <w:b w:val="0"/>
                <w:bCs w:val="0"/>
                <w:color w:val="auto"/>
                <w:sz w:val="24"/>
                <w:szCs w:val="22"/>
                <w:highlight w:val="none"/>
                <w:lang w:val="en-US" w:eastAsia="zh-CN"/>
              </w:rPr>
              <w:t>正计量检测有限公司</w:t>
            </w:r>
            <w:r>
              <w:rPr>
                <w:rFonts w:hint="default" w:ascii="Times New Roman" w:hAnsi="Times New Roman" w:eastAsia="宋体" w:cs="Times New Roman"/>
                <w:b w:val="0"/>
                <w:bCs w:val="0"/>
                <w:color w:val="auto"/>
                <w:sz w:val="24"/>
                <w:szCs w:val="22"/>
                <w:highlight w:val="none"/>
                <w:lang w:val="en-US" w:eastAsia="zh-CN"/>
              </w:rPr>
              <w:t>于</w:t>
            </w:r>
            <w:r>
              <w:rPr>
                <w:rFonts w:hint="eastAsia" w:ascii="Times New Roman" w:hAnsi="Times New Roman" w:eastAsia="宋体" w:cs="Times New Roman"/>
                <w:b w:val="0"/>
                <w:bCs w:val="0"/>
                <w:color w:val="auto"/>
                <w:sz w:val="24"/>
                <w:szCs w:val="22"/>
                <w:highlight w:val="none"/>
                <w:lang w:val="en-US" w:eastAsia="zh-CN"/>
              </w:rPr>
              <w:t>2024年9月12日</w:t>
            </w:r>
            <w:r>
              <w:rPr>
                <w:rFonts w:hint="default" w:ascii="Times New Roman" w:hAnsi="Times New Roman" w:eastAsia="宋体" w:cs="Times New Roman"/>
                <w:b w:val="0"/>
                <w:bCs w:val="0"/>
                <w:color w:val="auto"/>
                <w:sz w:val="24"/>
                <w:szCs w:val="22"/>
                <w:highlight w:val="none"/>
                <w:lang w:val="en-US" w:eastAsia="zh-CN"/>
              </w:rPr>
              <w:t>对</w:t>
            </w:r>
            <w:r>
              <w:rPr>
                <w:rFonts w:hint="eastAsia" w:ascii="Times New Roman" w:hAnsi="Times New Roman" w:eastAsia="宋体" w:cs="Times New Roman"/>
                <w:b w:val="0"/>
                <w:bCs w:val="0"/>
                <w:color w:val="auto"/>
                <w:sz w:val="24"/>
                <w:szCs w:val="22"/>
                <w:highlight w:val="none"/>
                <w:lang w:val="en-US" w:eastAsia="zh-CN"/>
              </w:rPr>
              <w:t>项目50m范围内声环境保护目标山前村声环境质量现状进行监测（</w:t>
            </w:r>
            <w:r>
              <w:rPr>
                <w:rFonts w:hint="default" w:ascii="Times New Roman" w:hAnsi="Times New Roman" w:eastAsia="宋体" w:cs="Times New Roman"/>
                <w:b w:val="0"/>
                <w:bCs w:val="0"/>
                <w:color w:val="auto"/>
                <w:sz w:val="24"/>
                <w:szCs w:val="22"/>
                <w:highlight w:val="none"/>
                <w:lang w:val="en-US" w:eastAsia="zh-CN"/>
              </w:rPr>
              <w:t>检测报告编号：AZJC240906016）</w:t>
            </w:r>
            <w:r>
              <w:rPr>
                <w:rFonts w:hint="eastAsia" w:ascii="Times New Roman" w:hAnsi="Times New Roman"/>
                <w:color w:val="auto"/>
                <w:sz w:val="24"/>
                <w:szCs w:val="22"/>
                <w:lang w:val="en-US" w:eastAsia="zh-CN"/>
              </w:rPr>
              <w:t>，监测结果详见表3.3-2，监测点位图详见附图6。</w:t>
            </w:r>
          </w:p>
          <w:p w14:paraId="43F8551B">
            <w:pPr>
              <w:adjustRightInd w:val="0"/>
              <w:snapToGrid w:val="0"/>
              <w:spacing w:before="120" w:beforeLines="50"/>
              <w:jc w:val="center"/>
              <w:rPr>
                <w:rFonts w:hint="eastAsia" w:ascii="Times New Roman" w:hAnsi="Times New Roman" w:eastAsia="黑体"/>
                <w:color w:val="auto"/>
                <w:sz w:val="24"/>
                <w:lang w:eastAsia="zh-CN"/>
              </w:rPr>
            </w:pPr>
            <w:r>
              <w:rPr>
                <w:rFonts w:ascii="Times New Roman" w:hAnsi="Times New Roman" w:eastAsia="黑体"/>
                <w:color w:val="auto"/>
                <w:sz w:val="24"/>
              </w:rPr>
              <w:t>表3.3-</w:t>
            </w:r>
            <w:r>
              <w:rPr>
                <w:rFonts w:hint="eastAsia" w:ascii="Times New Roman" w:hAnsi="Times New Roman" w:eastAsia="黑体"/>
                <w:color w:val="auto"/>
                <w:sz w:val="24"/>
                <w:lang w:val="en-US" w:eastAsia="zh-CN"/>
              </w:rPr>
              <w:t>2</w:t>
            </w:r>
            <w:r>
              <w:rPr>
                <w:rFonts w:ascii="Times New Roman" w:hAnsi="Times New Roman" w:eastAsia="黑体"/>
                <w:color w:val="auto"/>
                <w:sz w:val="24"/>
              </w:rPr>
              <w:t xml:space="preserve"> </w:t>
            </w:r>
            <w:r>
              <w:rPr>
                <w:rFonts w:hint="eastAsia" w:ascii="Times New Roman" w:hAnsi="Times New Roman" w:eastAsia="黑体"/>
                <w:color w:val="auto"/>
                <w:sz w:val="24"/>
                <w:lang w:eastAsia="zh-CN"/>
              </w:rPr>
              <w:t>项目周边声环境敏感目标环境噪声监测结果一览表</w:t>
            </w:r>
          </w:p>
          <w:p w14:paraId="0E9C5D8C">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根据表3.2-2可知，项目周边声环境保护目标环境噪声现状均可满足《声环境质量标准》(GB3096-2008)中2类区标准（即昼间 ≤60dB(A)，夜间≤50dB(A)）。</w:t>
            </w:r>
          </w:p>
          <w:p w14:paraId="1FE48A00">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3.</w:t>
            </w:r>
            <w:r>
              <w:rPr>
                <w:rFonts w:hint="default" w:ascii="Times New Roman" w:hAnsi="Times New Roman" w:eastAsia="宋体" w:cs="Times New Roman"/>
                <w:b/>
                <w:bCs w:val="0"/>
                <w:color w:val="auto"/>
                <w:sz w:val="28"/>
                <w:szCs w:val="28"/>
                <w:lang w:val="en-US" w:eastAsia="zh-CN"/>
              </w:rPr>
              <w:t>4</w:t>
            </w:r>
            <w:r>
              <w:rPr>
                <w:rFonts w:hint="default" w:ascii="Times New Roman" w:hAnsi="Times New Roman" w:eastAsia="宋体" w:cs="Times New Roman"/>
                <w:b/>
                <w:bCs w:val="0"/>
                <w:color w:val="auto"/>
                <w:sz w:val="28"/>
                <w:szCs w:val="28"/>
              </w:rPr>
              <w:t xml:space="preserve"> 生态环境现状调查</w:t>
            </w:r>
          </w:p>
          <w:p w14:paraId="561579FC">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eastAsia="宋体" w:cs="Times New Roman"/>
                <w:color w:val="auto"/>
                <w:sz w:val="24"/>
                <w:szCs w:val="22"/>
                <w:highlight w:val="none"/>
                <w:lang w:val="zh-CN" w:eastAsia="zh-CN"/>
              </w:rPr>
            </w:pPr>
            <w:r>
              <w:rPr>
                <w:rFonts w:hint="default" w:ascii="Times New Roman" w:hAnsi="Times New Roman" w:cs="Times New Roman"/>
                <w:color w:val="auto"/>
                <w:sz w:val="24"/>
                <w:highlight w:val="none"/>
              </w:rPr>
              <w:t>本项目</w:t>
            </w:r>
            <w:r>
              <w:rPr>
                <w:rFonts w:hint="eastAsia" w:ascii="Times New Roman" w:hAnsi="Times New Roman" w:cs="Times New Roman"/>
                <w:color w:val="auto"/>
                <w:sz w:val="24"/>
                <w:highlight w:val="none"/>
                <w:lang w:eastAsia="zh-CN"/>
              </w:rPr>
              <w:t>租用已建工业厂区</w:t>
            </w:r>
            <w:r>
              <w:rPr>
                <w:rFonts w:hint="eastAsia" w:ascii="Times New Roman" w:hAnsi="Times New Roman" w:cs="Times New Roman"/>
                <w:color w:val="auto"/>
                <w:sz w:val="24"/>
                <w:highlight w:val="none"/>
                <w:lang w:val="en-US" w:eastAsia="zh-CN"/>
              </w:rPr>
              <w:t>进行生产，不新增用地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kern w:val="0"/>
                <w:sz w:val="24"/>
                <w:szCs w:val="24"/>
                <w:highlight w:val="none"/>
              </w:rPr>
              <w:t>根据调查，</w:t>
            </w:r>
            <w:r>
              <w:rPr>
                <w:rFonts w:hint="default" w:ascii="Times New Roman" w:hAnsi="Times New Roman" w:cs="Times New Roman"/>
                <w:color w:val="auto"/>
                <w:sz w:val="24"/>
                <w:highlight w:val="none"/>
                <w:lang w:val="zh-CN"/>
              </w:rPr>
              <w:t>项目用地</w:t>
            </w:r>
            <w:r>
              <w:rPr>
                <w:rFonts w:hint="eastAsia" w:ascii="Times New Roman" w:hAnsi="Times New Roman" w:cs="Times New Roman"/>
                <w:color w:val="auto"/>
                <w:sz w:val="24"/>
                <w:highlight w:val="none"/>
                <w:lang w:val="zh-CN"/>
              </w:rPr>
              <w:t>周边</w:t>
            </w:r>
            <w:r>
              <w:rPr>
                <w:rFonts w:hint="eastAsia" w:ascii="Times New Roman" w:hAnsi="Times New Roman" w:eastAsia="宋体" w:cs="Times New Roman"/>
                <w:color w:val="auto"/>
                <w:sz w:val="24"/>
                <w:szCs w:val="22"/>
                <w:highlight w:val="none"/>
                <w:lang w:val="zh-CN"/>
              </w:rPr>
              <w:t>以</w:t>
            </w:r>
            <w:r>
              <w:rPr>
                <w:rFonts w:hint="default" w:ascii="Times New Roman" w:hAnsi="Times New Roman" w:eastAsia="宋体" w:cs="Times New Roman"/>
                <w:color w:val="auto"/>
                <w:sz w:val="24"/>
                <w:szCs w:val="22"/>
                <w:highlight w:val="none"/>
                <w:lang w:val="zh-CN"/>
              </w:rPr>
              <w:t>城市道路、其他</w:t>
            </w:r>
            <w:r>
              <w:rPr>
                <w:rFonts w:hint="eastAsia" w:ascii="Times New Roman" w:hAnsi="Times New Roman" w:eastAsia="宋体" w:cs="Times New Roman"/>
                <w:color w:val="auto"/>
                <w:sz w:val="24"/>
                <w:szCs w:val="22"/>
                <w:highlight w:val="none"/>
                <w:lang w:val="zh-CN"/>
              </w:rPr>
              <w:t>工业</w:t>
            </w:r>
            <w:r>
              <w:rPr>
                <w:rFonts w:hint="default" w:ascii="Times New Roman" w:hAnsi="Times New Roman" w:eastAsia="宋体" w:cs="Times New Roman"/>
                <w:color w:val="auto"/>
                <w:sz w:val="24"/>
                <w:szCs w:val="22"/>
                <w:highlight w:val="none"/>
                <w:lang w:val="zh-CN"/>
              </w:rPr>
              <w:t>企业</w:t>
            </w:r>
            <w:r>
              <w:rPr>
                <w:rFonts w:hint="eastAsia" w:ascii="Times New Roman" w:hAnsi="Times New Roman" w:eastAsia="宋体" w:cs="Times New Roman"/>
                <w:color w:val="auto"/>
                <w:sz w:val="24"/>
                <w:szCs w:val="22"/>
                <w:highlight w:val="none"/>
                <w:lang w:val="zh-CN"/>
              </w:rPr>
              <w:t>、</w:t>
            </w:r>
            <w:r>
              <w:rPr>
                <w:rFonts w:hint="eastAsia" w:ascii="Times New Roman" w:hAnsi="Times New Roman" w:eastAsia="宋体" w:cs="Times New Roman"/>
                <w:color w:val="auto"/>
                <w:sz w:val="24"/>
                <w:szCs w:val="22"/>
                <w:highlight w:val="none"/>
                <w:lang w:val="zh-CN" w:eastAsia="zh-CN"/>
              </w:rPr>
              <w:t>山地、</w:t>
            </w:r>
            <w:r>
              <w:rPr>
                <w:rFonts w:hint="eastAsia" w:ascii="Times New Roman" w:hAnsi="Times New Roman" w:eastAsia="宋体" w:cs="Times New Roman"/>
                <w:color w:val="auto"/>
                <w:sz w:val="24"/>
                <w:szCs w:val="22"/>
                <w:highlight w:val="none"/>
                <w:lang w:val="en-US" w:eastAsia="zh-CN"/>
              </w:rPr>
              <w:t>居住区</w:t>
            </w:r>
            <w:r>
              <w:rPr>
                <w:rFonts w:hint="default" w:ascii="Times New Roman" w:hAnsi="Times New Roman" w:eastAsia="宋体" w:cs="Times New Roman"/>
                <w:color w:val="auto"/>
                <w:sz w:val="24"/>
                <w:szCs w:val="22"/>
                <w:highlight w:val="none"/>
                <w:lang w:val="zh-CN" w:eastAsia="zh-CN"/>
              </w:rPr>
              <w:t>等</w:t>
            </w:r>
            <w:r>
              <w:rPr>
                <w:rFonts w:hint="eastAsia" w:ascii="Times New Roman" w:hAnsi="Times New Roman" w:eastAsia="宋体" w:cs="Times New Roman"/>
                <w:color w:val="auto"/>
                <w:sz w:val="24"/>
                <w:szCs w:val="22"/>
                <w:highlight w:val="none"/>
                <w:lang w:val="zh-CN" w:eastAsia="zh-CN"/>
              </w:rPr>
              <w:t>为主</w:t>
            </w:r>
            <w:r>
              <w:rPr>
                <w:rFonts w:hint="default" w:ascii="Times New Roman" w:hAnsi="Times New Roman" w:eastAsia="宋体" w:cs="Times New Roman"/>
                <w:color w:val="auto"/>
                <w:sz w:val="24"/>
                <w:szCs w:val="22"/>
                <w:highlight w:val="none"/>
                <w:lang w:val="zh-CN" w:eastAsia="zh-CN"/>
              </w:rPr>
              <w:t>，</w:t>
            </w:r>
            <w:r>
              <w:rPr>
                <w:rFonts w:hint="eastAsia" w:ascii="Times New Roman" w:hAnsi="Times New Roman" w:eastAsia="宋体" w:cs="Times New Roman"/>
                <w:color w:val="auto"/>
                <w:sz w:val="24"/>
                <w:szCs w:val="22"/>
                <w:highlight w:val="none"/>
                <w:lang w:val="zh-CN" w:eastAsia="zh-CN"/>
              </w:rPr>
              <w:t>项目区域</w:t>
            </w:r>
            <w:r>
              <w:rPr>
                <w:rFonts w:hint="default" w:ascii="Times New Roman" w:hAnsi="Times New Roman" w:eastAsia="宋体" w:cs="Times New Roman"/>
                <w:color w:val="auto"/>
                <w:sz w:val="24"/>
                <w:szCs w:val="22"/>
                <w:highlight w:val="none"/>
                <w:lang w:val="zh-CN"/>
              </w:rPr>
              <w:t>主要动物为常见的蛙类、鸟类和昆虫类等，评价区域内无珍稀濒危物种、自然保护区、风景名胜区等生态敏感目标，调查区域也未发现国家重点保护的野生动植物等</w:t>
            </w:r>
            <w:r>
              <w:rPr>
                <w:rFonts w:hint="default" w:ascii="Times New Roman" w:hAnsi="Times New Roman" w:eastAsia="宋体" w:cs="Times New Roman"/>
                <w:color w:val="auto"/>
                <w:sz w:val="24"/>
                <w:szCs w:val="22"/>
                <w:highlight w:val="none"/>
                <w:lang w:val="zh-CN" w:eastAsia="zh-CN"/>
              </w:rPr>
              <w:t>，</w:t>
            </w:r>
            <w:r>
              <w:rPr>
                <w:rFonts w:hint="eastAsia" w:ascii="Times New Roman" w:hAnsi="Times New Roman" w:eastAsia="宋体" w:cs="Times New Roman"/>
                <w:color w:val="auto"/>
                <w:sz w:val="24"/>
                <w:szCs w:val="22"/>
                <w:highlight w:val="none"/>
                <w:lang w:val="zh-CN" w:eastAsia="zh-CN"/>
              </w:rPr>
              <w:t>区域周边除草坪、行道树等景观树种外，经查长乐区林地功能分区（详见附图</w:t>
            </w:r>
            <w:r>
              <w:rPr>
                <w:rFonts w:hint="eastAsia" w:ascii="Times New Roman" w:hAnsi="Times New Roman" w:eastAsia="宋体" w:cs="Times New Roman"/>
                <w:color w:val="auto"/>
                <w:sz w:val="24"/>
                <w:szCs w:val="22"/>
                <w:highlight w:val="none"/>
                <w:lang w:val="en-US" w:eastAsia="zh-CN"/>
              </w:rPr>
              <w:t>10</w:t>
            </w:r>
            <w:r>
              <w:rPr>
                <w:rFonts w:hint="eastAsia" w:ascii="Times New Roman" w:hAnsi="Times New Roman" w:eastAsia="宋体" w:cs="Times New Roman"/>
                <w:color w:val="auto"/>
                <w:sz w:val="24"/>
                <w:szCs w:val="22"/>
                <w:highlight w:val="none"/>
                <w:lang w:val="zh-CN" w:eastAsia="zh-CN"/>
              </w:rPr>
              <w:t>），项目所在区域周边涉及部分Ⅱ级保护林地和重点商品林，为东部海岸基干防护林建设与保护区，林地类型主要以人工林为主，考虑到沿海基干林所具有的防风固沙的特殊生态功能以及位置布局的特殊性，需保留基干林原有功能</w:t>
            </w:r>
            <w:r>
              <w:rPr>
                <w:rFonts w:hint="default" w:ascii="Times New Roman" w:hAnsi="Times New Roman" w:eastAsia="宋体" w:cs="Times New Roman"/>
                <w:color w:val="auto"/>
                <w:sz w:val="24"/>
                <w:szCs w:val="22"/>
                <w:highlight w:val="none"/>
                <w:lang w:val="zh-CN" w:eastAsia="zh-CN"/>
              </w:rPr>
              <w:t>。</w:t>
            </w:r>
          </w:p>
          <w:p w14:paraId="72B066D8">
            <w:pPr>
              <w:pStyle w:val="2"/>
              <w:rPr>
                <w:rFonts w:hint="default"/>
                <w:lang w:val="zh-CN"/>
              </w:rPr>
            </w:pPr>
          </w:p>
          <w:p w14:paraId="73E7D9D1">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3.5地下水</w:t>
            </w:r>
            <w:r>
              <w:rPr>
                <w:rFonts w:hint="default" w:ascii="Times New Roman" w:hAnsi="Times New Roman" w:eastAsia="宋体" w:cs="Times New Roman"/>
                <w:b/>
                <w:bCs w:val="0"/>
                <w:color w:val="auto"/>
                <w:sz w:val="28"/>
                <w:szCs w:val="28"/>
                <w:lang w:eastAsia="zh-CN"/>
              </w:rPr>
              <w:t>、土壤</w:t>
            </w:r>
            <w:r>
              <w:rPr>
                <w:rFonts w:hint="default" w:ascii="Times New Roman" w:hAnsi="Times New Roman" w:eastAsia="宋体" w:cs="Times New Roman"/>
                <w:b/>
                <w:bCs w:val="0"/>
                <w:color w:val="auto"/>
                <w:sz w:val="28"/>
                <w:szCs w:val="28"/>
              </w:rPr>
              <w:t>环境质量现状</w:t>
            </w:r>
          </w:p>
          <w:p w14:paraId="6CBCDCEC">
            <w:pPr>
              <w:adjustRightInd w:val="0"/>
              <w:snapToGrid w:val="0"/>
              <w:spacing w:line="360" w:lineRule="auto"/>
              <w:ind w:firstLine="480" w:firstLineChars="200"/>
              <w:rPr>
                <w:rFonts w:hint="eastAsia" w:ascii="Times New Roman" w:hAnsi="Times New Roman" w:cs="Times New Roman"/>
                <w:color w:val="auto"/>
                <w:kern w:val="0"/>
                <w:sz w:val="24"/>
                <w:lang w:eastAsia="zh-CN"/>
              </w:rPr>
            </w:pPr>
            <w:r>
              <w:rPr>
                <w:rFonts w:hint="default" w:ascii="Times New Roman" w:hAnsi="Times New Roman" w:cs="Times New Roman"/>
                <w:color w:val="auto"/>
                <w:kern w:val="0"/>
                <w:sz w:val="24"/>
              </w:rPr>
              <w:t>根据《建设项目环境影响报告表编制技术指南</w:t>
            </w:r>
            <w:r>
              <w:rPr>
                <w:rFonts w:hint="eastAsia"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污染影响类</w:t>
            </w:r>
            <w:r>
              <w:rPr>
                <w:rFonts w:hint="eastAsia"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试行</w:t>
            </w:r>
            <w:r>
              <w:rPr>
                <w:rFonts w:hint="eastAsia"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环办环评〔2020〕33号</w:t>
            </w:r>
            <w:r>
              <w:rPr>
                <w:rFonts w:hint="eastAsia" w:ascii="Times New Roman" w:hAnsi="Times New Roman" w:cs="Times New Roman"/>
                <w:color w:val="auto"/>
                <w:kern w:val="0"/>
                <w:sz w:val="24"/>
                <w:lang w:val="en-US" w:eastAsia="zh-CN"/>
              </w:rPr>
              <w:t>)</w:t>
            </w:r>
            <w:r>
              <w:rPr>
                <w:rFonts w:hint="eastAsia" w:ascii="Times New Roman" w:hAnsi="Times New Roman" w:cs="Times New Roman"/>
                <w:color w:val="auto"/>
                <w:kern w:val="0"/>
                <w:sz w:val="24"/>
                <w:lang w:eastAsia="zh-CN"/>
              </w:rPr>
              <w:t>规定，“原则上不开展环境质量现状调查。建设项目存在土壤、地下水环境污染途径的，应结合污染源、保护目标分布情况开展现状调查以留作背景值”。</w:t>
            </w:r>
          </w:p>
          <w:p w14:paraId="0DCE7398">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现场勘查</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2"/>
                <w:highlight w:val="none"/>
                <w:lang w:val="zh-CN"/>
              </w:rPr>
              <w:t>以</w:t>
            </w:r>
            <w:r>
              <w:rPr>
                <w:rFonts w:hint="default" w:ascii="Times New Roman" w:hAnsi="Times New Roman" w:eastAsia="宋体" w:cs="Times New Roman"/>
                <w:color w:val="auto"/>
                <w:sz w:val="24"/>
                <w:szCs w:val="22"/>
                <w:highlight w:val="none"/>
                <w:lang w:val="zh-CN"/>
              </w:rPr>
              <w:t>城市道路、其他</w:t>
            </w:r>
            <w:r>
              <w:rPr>
                <w:rFonts w:hint="eastAsia" w:ascii="Times New Roman" w:hAnsi="Times New Roman" w:eastAsia="宋体" w:cs="Times New Roman"/>
                <w:color w:val="auto"/>
                <w:sz w:val="24"/>
                <w:szCs w:val="22"/>
                <w:highlight w:val="none"/>
                <w:lang w:val="zh-CN"/>
              </w:rPr>
              <w:t>工业</w:t>
            </w:r>
            <w:r>
              <w:rPr>
                <w:rFonts w:hint="default" w:ascii="Times New Roman" w:hAnsi="Times New Roman" w:eastAsia="宋体" w:cs="Times New Roman"/>
                <w:color w:val="auto"/>
                <w:sz w:val="24"/>
                <w:szCs w:val="22"/>
                <w:highlight w:val="none"/>
                <w:lang w:val="zh-CN"/>
              </w:rPr>
              <w:t>企业</w:t>
            </w:r>
            <w:r>
              <w:rPr>
                <w:rFonts w:hint="default" w:ascii="Times New Roman" w:hAnsi="Times New Roman" w:eastAsia="宋体" w:cs="Times New Roman"/>
                <w:color w:val="auto"/>
                <w:sz w:val="24"/>
                <w:szCs w:val="22"/>
                <w:highlight w:val="none"/>
                <w:lang w:val="zh-CN" w:eastAsia="zh-CN"/>
              </w:rPr>
              <w:t>等</w:t>
            </w:r>
            <w:r>
              <w:rPr>
                <w:rFonts w:hint="eastAsia" w:ascii="Times New Roman" w:hAnsi="Times New Roman" w:eastAsia="宋体" w:cs="Times New Roman"/>
                <w:color w:val="auto"/>
                <w:sz w:val="24"/>
                <w:szCs w:val="22"/>
                <w:highlight w:val="none"/>
                <w:lang w:val="zh-CN" w:eastAsia="zh-CN"/>
              </w:rPr>
              <w:t>为主</w:t>
            </w:r>
            <w:r>
              <w:rPr>
                <w:rFonts w:hint="eastAsia" w:ascii="Times New Roman" w:hAnsi="Times New Roman" w:eastAsia="宋体" w:cs="Times New Roman"/>
                <w:color w:val="auto"/>
                <w:sz w:val="24"/>
                <w:szCs w:val="24"/>
                <w:highlight w:val="none"/>
                <w:lang w:val="en-US" w:eastAsia="zh-CN"/>
              </w:rPr>
              <w:t>，项目建成后，厂区地面全部硬化，生产过程不排放持久性污染物及重金属等污染物，严格按照要求对项目进行分区防渗防治后，项目对地下水、土壤环境影响小，在严格环境管理，对土壤、地下水污染可控，因此，本评价不对项目地下水、土壤环境质量进行补充监测。</w:t>
            </w:r>
          </w:p>
          <w:p w14:paraId="7214310A">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lang w:val="en-US" w:eastAsia="zh-CN"/>
              </w:rPr>
              <w:t>3.</w:t>
            </w:r>
            <w:r>
              <w:rPr>
                <w:rFonts w:hint="eastAsia" w:ascii="Times New Roman" w:hAnsi="Times New Roman" w:eastAsia="宋体" w:cs="Times New Roman"/>
                <w:b/>
                <w:bCs w:val="0"/>
                <w:color w:val="auto"/>
                <w:sz w:val="28"/>
                <w:szCs w:val="28"/>
                <w:lang w:val="en-US" w:eastAsia="zh-CN"/>
              </w:rPr>
              <w:t>6</w:t>
            </w:r>
            <w:r>
              <w:rPr>
                <w:rFonts w:hint="default" w:ascii="Times New Roman" w:hAnsi="Times New Roman" w:eastAsia="宋体" w:cs="Times New Roman"/>
                <w:b/>
                <w:bCs w:val="0"/>
                <w:color w:val="auto"/>
                <w:sz w:val="28"/>
                <w:szCs w:val="28"/>
                <w:lang w:val="en-US" w:eastAsia="zh-CN"/>
              </w:rPr>
              <w:t xml:space="preserve"> </w:t>
            </w:r>
            <w:r>
              <w:rPr>
                <w:rFonts w:hint="default" w:ascii="Times New Roman" w:hAnsi="Times New Roman" w:eastAsia="宋体" w:cs="Times New Roman"/>
                <w:b/>
                <w:bCs w:val="0"/>
                <w:color w:val="auto"/>
                <w:sz w:val="28"/>
                <w:szCs w:val="28"/>
              </w:rPr>
              <w:t>环境保护目标</w:t>
            </w:r>
          </w:p>
          <w:p w14:paraId="0956F7B0">
            <w:pPr>
              <w:adjustRightInd w:val="0"/>
              <w:snapToGrid w:val="0"/>
              <w:spacing w:line="360" w:lineRule="auto"/>
              <w:rPr>
                <w:rFonts w:hint="default" w:ascii="Times New Roman" w:hAnsi="Times New Roman" w:eastAsia="宋体"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3.</w:t>
            </w:r>
            <w:r>
              <w:rPr>
                <w:rFonts w:hint="eastAsia" w:ascii="Times New Roman" w:hAnsi="Times New Roman" w:cs="Times New Roman"/>
                <w:b/>
                <w:bCs/>
                <w:color w:val="auto"/>
                <w:kern w:val="0"/>
                <w:sz w:val="24"/>
                <w:lang w:val="en-US" w:eastAsia="zh-CN"/>
              </w:rPr>
              <w:t>6</w:t>
            </w:r>
            <w:r>
              <w:rPr>
                <w:rFonts w:hint="default" w:ascii="Times New Roman" w:hAnsi="Times New Roman" w:cs="Times New Roman"/>
                <w:b/>
                <w:bCs/>
                <w:color w:val="auto"/>
                <w:kern w:val="0"/>
                <w:sz w:val="24"/>
                <w:lang w:val="en-US" w:eastAsia="zh-CN"/>
              </w:rPr>
              <w:t>.1 大气环境、地表水环境、声环境</w:t>
            </w:r>
          </w:p>
          <w:p w14:paraId="64E6CBDF">
            <w:pPr>
              <w:adjustRightInd w:val="0"/>
              <w:snapToGrid w:val="0"/>
              <w:spacing w:line="360" w:lineRule="auto"/>
              <w:ind w:firstLine="480" w:firstLineChars="200"/>
              <w:rPr>
                <w:rFonts w:hint="default" w:ascii="Times New Roman" w:hAnsi="Times New Roman"/>
                <w:color w:val="auto"/>
              </w:rPr>
            </w:pPr>
            <w:r>
              <w:rPr>
                <w:rFonts w:hint="default" w:ascii="Times New Roman" w:hAnsi="Times New Roman" w:cs="Times New Roman"/>
                <w:color w:val="auto"/>
                <w:kern w:val="0"/>
                <w:sz w:val="24"/>
              </w:rPr>
              <w:t>根据《建设项目环境影响报告表编制技术指南</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污染影响类</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试行</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环办环评〔2020〕33号</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要求以及对项目周边环境的调查，项目</w:t>
            </w:r>
            <w:r>
              <w:rPr>
                <w:rFonts w:hint="default" w:ascii="Times New Roman" w:hAnsi="Times New Roman" w:cs="Times New Roman"/>
                <w:color w:val="auto"/>
                <w:kern w:val="0"/>
                <w:sz w:val="24"/>
                <w:lang w:val="en-US" w:eastAsia="zh-CN"/>
              </w:rPr>
              <w:t>大气环境</w:t>
            </w:r>
            <w:r>
              <w:rPr>
                <w:rFonts w:hint="eastAsia" w:ascii="Times New Roman" w:hAnsi="Times New Roman" w:cs="Times New Roman"/>
                <w:color w:val="auto"/>
                <w:kern w:val="0"/>
                <w:sz w:val="24"/>
                <w:lang w:val="en-US" w:eastAsia="zh-CN"/>
              </w:rPr>
              <w:t>(厂界外500m)</w:t>
            </w:r>
            <w:r>
              <w:rPr>
                <w:rFonts w:hint="default" w:ascii="Times New Roman" w:hAnsi="Times New Roman" w:cs="Times New Roman"/>
                <w:color w:val="auto"/>
                <w:kern w:val="0"/>
                <w:sz w:val="24"/>
                <w:lang w:val="en-US" w:eastAsia="zh-CN"/>
              </w:rPr>
              <w:t>、地表水环境、声环境</w:t>
            </w:r>
            <w:r>
              <w:rPr>
                <w:rFonts w:hint="eastAsia" w:ascii="Times New Roman" w:hAnsi="Times New Roman" w:cs="Times New Roman"/>
                <w:color w:val="auto"/>
                <w:kern w:val="0"/>
                <w:sz w:val="24"/>
                <w:lang w:val="en-US" w:eastAsia="zh-CN"/>
              </w:rPr>
              <w:t>(厂界外50m)、地下水环境(厂界外500m)等环境保护目标</w:t>
            </w:r>
            <w:r>
              <w:rPr>
                <w:rFonts w:hint="default" w:ascii="Times New Roman" w:hAnsi="Times New Roman" w:cs="Times New Roman"/>
                <w:color w:val="auto"/>
                <w:kern w:val="0"/>
                <w:sz w:val="24"/>
              </w:rPr>
              <w:t>见表3.</w:t>
            </w:r>
            <w:r>
              <w:rPr>
                <w:rFonts w:hint="eastAsia" w:ascii="Times New Roman" w:hAnsi="Times New Roman" w:cs="Times New Roman"/>
                <w:color w:val="auto"/>
                <w:kern w:val="0"/>
                <w:sz w:val="24"/>
                <w:lang w:val="en-US" w:eastAsia="zh-CN"/>
              </w:rPr>
              <w:t>6-1</w:t>
            </w:r>
            <w:r>
              <w:rPr>
                <w:rFonts w:hint="default" w:ascii="Times New Roman" w:hAnsi="Times New Roman" w:cs="Times New Roman"/>
                <w:color w:val="auto"/>
                <w:kern w:val="0"/>
                <w:sz w:val="24"/>
              </w:rPr>
              <w:t>和附图</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w:t>
            </w:r>
          </w:p>
        </w:tc>
      </w:tr>
      <w:tr w14:paraId="29457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8" w:hRule="atLeast"/>
          <w:jc w:val="center"/>
        </w:trPr>
        <w:tc>
          <w:tcPr>
            <w:tcW w:w="680" w:type="dxa"/>
            <w:noWrap w:val="0"/>
            <w:vAlign w:val="center"/>
          </w:tcPr>
          <w:p w14:paraId="105894B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065EE2F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43CB9B9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190" w:type="dxa"/>
            <w:noWrap w:val="0"/>
            <w:vAlign w:val="center"/>
          </w:tcPr>
          <w:p w14:paraId="6D96AB02">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b w:val="0"/>
                <w:bCs w:val="0"/>
                <w:color w:val="auto"/>
                <w:kern w:val="0"/>
                <w:sz w:val="24"/>
              </w:rPr>
            </w:pPr>
            <w:r>
              <w:rPr>
                <w:rFonts w:hint="default" w:ascii="Times New Roman" w:hAnsi="Times New Roman" w:eastAsia="黑体" w:cs="Times New Roman"/>
                <w:b w:val="0"/>
                <w:bCs w:val="0"/>
                <w:color w:val="auto"/>
                <w:kern w:val="0"/>
                <w:sz w:val="24"/>
              </w:rPr>
              <w:t>表</w:t>
            </w:r>
            <w:r>
              <w:rPr>
                <w:rFonts w:hint="eastAsia" w:ascii="Times New Roman" w:hAnsi="Times New Roman" w:eastAsia="黑体" w:cs="Times New Roman"/>
                <w:b w:val="0"/>
                <w:bCs w:val="0"/>
                <w:color w:val="auto"/>
                <w:kern w:val="0"/>
                <w:sz w:val="24"/>
                <w:lang w:val="en-US" w:eastAsia="zh-CN"/>
              </w:rPr>
              <w:t xml:space="preserve">3.6-1 </w:t>
            </w:r>
            <w:r>
              <w:rPr>
                <w:rFonts w:hint="default" w:ascii="Times New Roman" w:hAnsi="Times New Roman" w:eastAsia="黑体" w:cs="Times New Roman"/>
                <w:b w:val="0"/>
                <w:bCs w:val="0"/>
                <w:color w:val="auto"/>
                <w:kern w:val="0"/>
                <w:sz w:val="24"/>
              </w:rPr>
              <w:t>环境保护目标一览表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230"/>
              <w:gridCol w:w="1559"/>
              <w:gridCol w:w="2310"/>
              <w:gridCol w:w="2140"/>
            </w:tblGrid>
            <w:tr w14:paraId="736ED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noWrap w:val="0"/>
                  <w:vAlign w:val="center"/>
                </w:tcPr>
                <w:p w14:paraId="0CBA59C7">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环境</w:t>
                  </w:r>
                </w:p>
                <w:p w14:paraId="085BA004">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760" w:type="pct"/>
                  <w:noWrap w:val="0"/>
                  <w:vAlign w:val="center"/>
                </w:tcPr>
                <w:p w14:paraId="3CF5F81A">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环境保护对象名称</w:t>
                  </w:r>
                </w:p>
              </w:tc>
              <w:tc>
                <w:tcPr>
                  <w:tcW w:w="963" w:type="pct"/>
                  <w:noWrap w:val="0"/>
                  <w:vAlign w:val="center"/>
                </w:tcPr>
                <w:p w14:paraId="413F169D">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相对项目的方位和最近距离</w:t>
                  </w:r>
                </w:p>
              </w:tc>
              <w:tc>
                <w:tcPr>
                  <w:tcW w:w="1427" w:type="pct"/>
                  <w:noWrap w:val="0"/>
                  <w:vAlign w:val="center"/>
                </w:tcPr>
                <w:p w14:paraId="3973FB95">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目标规模</w:t>
                  </w:r>
                </w:p>
              </w:tc>
              <w:tc>
                <w:tcPr>
                  <w:tcW w:w="1321" w:type="pct"/>
                  <w:noWrap w:val="0"/>
                  <w:vAlign w:val="center"/>
                </w:tcPr>
                <w:p w14:paraId="4A5F1CFB">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环境功能</w:t>
                  </w:r>
                </w:p>
              </w:tc>
            </w:tr>
            <w:tr w14:paraId="0357A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restart"/>
                  <w:noWrap w:val="0"/>
                  <w:vAlign w:val="center"/>
                </w:tcPr>
                <w:p w14:paraId="6C5837BE">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环境</w:t>
                  </w:r>
                </w:p>
                <w:p w14:paraId="4B090290">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空气</w:t>
                  </w:r>
                </w:p>
              </w:tc>
              <w:tc>
                <w:tcPr>
                  <w:tcW w:w="760" w:type="pct"/>
                  <w:vMerge w:val="restart"/>
                  <w:noWrap w:val="0"/>
                  <w:vAlign w:val="center"/>
                </w:tcPr>
                <w:p w14:paraId="351A8514">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山前</w:t>
                  </w:r>
                  <w:r>
                    <w:rPr>
                      <w:rFonts w:hint="default" w:ascii="Times New Roman" w:hAnsi="Times New Roman" w:cs="Times New Roman"/>
                      <w:color w:val="auto"/>
                      <w:szCs w:val="21"/>
                      <w:lang w:val="en-US" w:eastAsia="zh-CN"/>
                    </w:rPr>
                    <w:t>村</w:t>
                  </w:r>
                </w:p>
              </w:tc>
              <w:tc>
                <w:tcPr>
                  <w:tcW w:w="963" w:type="pct"/>
                  <w:noWrap w:val="0"/>
                  <w:vAlign w:val="center"/>
                </w:tcPr>
                <w:p w14:paraId="4BE755BB">
                  <w:pPr>
                    <w:adjustRightInd w:val="0"/>
                    <w:snapToGrid w:val="0"/>
                    <w:spacing w:line="340" w:lineRule="exact"/>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北</w:t>
                  </w:r>
                  <w:r>
                    <w:rPr>
                      <w:rFonts w:hint="default" w:ascii="Times New Roman" w:hAnsi="Times New Roman" w:cs="Times New Roman"/>
                      <w:color w:val="auto"/>
                      <w:szCs w:val="21"/>
                      <w:lang w:val="en-US" w:eastAsia="zh-CN"/>
                    </w:rPr>
                    <w:t>侧</w:t>
                  </w:r>
                  <w:r>
                    <w:rPr>
                      <w:rFonts w:hint="eastAsia" w:ascii="Times New Roman" w:hAnsi="Times New Roman" w:cs="Times New Roman"/>
                      <w:color w:val="auto"/>
                      <w:szCs w:val="21"/>
                      <w:lang w:val="en-US" w:eastAsia="zh-CN"/>
                    </w:rPr>
                    <w:t>95</w:t>
                  </w:r>
                  <w:r>
                    <w:rPr>
                      <w:rFonts w:hint="default" w:ascii="Times New Roman" w:hAnsi="Times New Roman" w:cs="Times New Roman"/>
                      <w:color w:val="auto"/>
                      <w:szCs w:val="21"/>
                      <w:lang w:val="en-US" w:eastAsia="zh-CN"/>
                    </w:rPr>
                    <w:t>m</w:t>
                  </w:r>
                </w:p>
              </w:tc>
              <w:tc>
                <w:tcPr>
                  <w:tcW w:w="1427" w:type="pct"/>
                  <w:vMerge w:val="restart"/>
                  <w:noWrap w:val="0"/>
                  <w:vAlign w:val="center"/>
                </w:tcPr>
                <w:p w14:paraId="10A20B10">
                  <w:pPr>
                    <w:adjustRightInd w:val="0"/>
                    <w:snapToGrid w:val="0"/>
                    <w:spacing w:line="340" w:lineRule="exact"/>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约372</w:t>
                  </w:r>
                  <w:r>
                    <w:rPr>
                      <w:rFonts w:hint="default" w:ascii="Times New Roman" w:hAnsi="Times New Roman" w:eastAsia="宋体" w:cs="Times New Roman"/>
                      <w:color w:val="auto"/>
                      <w:szCs w:val="21"/>
                      <w:lang w:val="en-US" w:eastAsia="zh-CN"/>
                    </w:rPr>
                    <w:t>户/</w:t>
                  </w:r>
                  <w:r>
                    <w:rPr>
                      <w:rFonts w:hint="eastAsia" w:ascii="Times New Roman" w:hAnsi="Times New Roman" w:eastAsia="宋体" w:cs="Times New Roman"/>
                      <w:color w:val="auto"/>
                      <w:szCs w:val="21"/>
                      <w:lang w:val="en-US" w:eastAsia="zh-CN"/>
                    </w:rPr>
                    <w:t>1345</w:t>
                  </w:r>
                  <w:r>
                    <w:rPr>
                      <w:rFonts w:hint="default" w:ascii="Times New Roman" w:hAnsi="Times New Roman" w:eastAsia="宋体" w:cs="Times New Roman"/>
                      <w:color w:val="auto"/>
                      <w:szCs w:val="21"/>
                      <w:lang w:val="en-US" w:eastAsia="zh-CN"/>
                    </w:rPr>
                    <w:t>人</w:t>
                  </w:r>
                </w:p>
              </w:tc>
              <w:tc>
                <w:tcPr>
                  <w:tcW w:w="1321" w:type="pct"/>
                  <w:vMerge w:val="restart"/>
                  <w:noWrap w:val="0"/>
                  <w:vAlign w:val="center"/>
                </w:tcPr>
                <w:p w14:paraId="747FEA20">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《环境空气质量标准》(GB3095-2012)及其修改单二级标准</w:t>
                  </w:r>
                </w:p>
              </w:tc>
            </w:tr>
            <w:tr w14:paraId="2A0A1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noWrap w:val="0"/>
                  <w:vAlign w:val="center"/>
                </w:tcPr>
                <w:p w14:paraId="09A26C54">
                  <w:pPr>
                    <w:adjustRightInd w:val="0"/>
                    <w:snapToGrid w:val="0"/>
                    <w:spacing w:line="340" w:lineRule="exact"/>
                    <w:jc w:val="center"/>
                    <w:rPr>
                      <w:rFonts w:hint="default" w:ascii="Times New Roman" w:hAnsi="Times New Roman" w:cs="Times New Roman"/>
                      <w:color w:val="auto"/>
                      <w:szCs w:val="21"/>
                    </w:rPr>
                  </w:pPr>
                </w:p>
              </w:tc>
              <w:tc>
                <w:tcPr>
                  <w:tcW w:w="760" w:type="pct"/>
                  <w:vMerge w:val="continue"/>
                  <w:noWrap w:val="0"/>
                  <w:vAlign w:val="center"/>
                </w:tcPr>
                <w:p w14:paraId="7B6AC58D">
                  <w:pPr>
                    <w:adjustRightInd w:val="0"/>
                    <w:snapToGrid w:val="0"/>
                    <w:spacing w:line="340" w:lineRule="exact"/>
                    <w:jc w:val="center"/>
                    <w:rPr>
                      <w:rFonts w:hint="eastAsia" w:ascii="Times New Roman" w:hAnsi="Times New Roman" w:cs="Times New Roman"/>
                      <w:color w:val="auto"/>
                      <w:szCs w:val="21"/>
                      <w:lang w:val="en-US" w:eastAsia="zh-CN"/>
                    </w:rPr>
                  </w:pPr>
                </w:p>
              </w:tc>
              <w:tc>
                <w:tcPr>
                  <w:tcW w:w="963" w:type="pct"/>
                  <w:noWrap w:val="0"/>
                  <w:vAlign w:val="center"/>
                </w:tcPr>
                <w:p w14:paraId="2BE8A333">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西侧</w:t>
                  </w:r>
                  <w:r>
                    <w:rPr>
                      <w:rFonts w:hint="eastAsia" w:ascii="Times New Roman" w:hAnsi="Times New Roman" w:cs="Times New Roman"/>
                      <w:color w:val="auto"/>
                      <w:szCs w:val="21"/>
                      <w:lang w:val="en-US" w:eastAsia="zh-CN"/>
                    </w:rPr>
                    <w:t>20</w:t>
                  </w:r>
                  <w:r>
                    <w:rPr>
                      <w:rFonts w:hint="default" w:ascii="Times New Roman" w:hAnsi="Times New Roman" w:cs="Times New Roman"/>
                      <w:color w:val="auto"/>
                      <w:szCs w:val="21"/>
                      <w:lang w:val="en-US" w:eastAsia="zh-CN"/>
                    </w:rPr>
                    <w:t>m</w:t>
                  </w:r>
                </w:p>
              </w:tc>
              <w:tc>
                <w:tcPr>
                  <w:tcW w:w="1427" w:type="pct"/>
                  <w:vMerge w:val="continue"/>
                  <w:noWrap w:val="0"/>
                  <w:vAlign w:val="center"/>
                </w:tcPr>
                <w:p w14:paraId="1FBAA46E">
                  <w:pPr>
                    <w:adjustRightInd w:val="0"/>
                    <w:snapToGrid w:val="0"/>
                    <w:spacing w:line="340" w:lineRule="exact"/>
                    <w:jc w:val="center"/>
                    <w:rPr>
                      <w:rFonts w:hint="eastAsia" w:ascii="Times New Roman" w:hAnsi="Times New Roman" w:cs="Times New Roman"/>
                      <w:color w:val="auto"/>
                      <w:kern w:val="2"/>
                      <w:sz w:val="21"/>
                      <w:szCs w:val="21"/>
                      <w:lang w:val="en-US" w:eastAsia="zh-CN" w:bidi="ar-SA"/>
                    </w:rPr>
                  </w:pPr>
                </w:p>
              </w:tc>
              <w:tc>
                <w:tcPr>
                  <w:tcW w:w="1321" w:type="pct"/>
                  <w:vMerge w:val="continue"/>
                  <w:noWrap w:val="0"/>
                  <w:vAlign w:val="center"/>
                </w:tcPr>
                <w:p w14:paraId="0433852B">
                  <w:pPr>
                    <w:adjustRightInd w:val="0"/>
                    <w:snapToGrid w:val="0"/>
                    <w:spacing w:line="340" w:lineRule="exact"/>
                    <w:jc w:val="center"/>
                    <w:rPr>
                      <w:rFonts w:hint="default" w:ascii="Times New Roman" w:hAnsi="Times New Roman" w:cs="Times New Roman"/>
                      <w:color w:val="auto"/>
                      <w:szCs w:val="21"/>
                    </w:rPr>
                  </w:pPr>
                </w:p>
              </w:tc>
            </w:tr>
            <w:tr w14:paraId="651B1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vMerge w:val="continue"/>
                  <w:noWrap w:val="0"/>
                  <w:vAlign w:val="center"/>
                </w:tcPr>
                <w:p w14:paraId="51A58D7C">
                  <w:pPr>
                    <w:adjustRightInd w:val="0"/>
                    <w:snapToGrid w:val="0"/>
                    <w:spacing w:line="340" w:lineRule="exact"/>
                    <w:jc w:val="center"/>
                    <w:rPr>
                      <w:rFonts w:hint="default" w:ascii="Times New Roman" w:hAnsi="Times New Roman" w:cs="Times New Roman"/>
                      <w:color w:val="auto"/>
                      <w:szCs w:val="21"/>
                    </w:rPr>
                  </w:pPr>
                </w:p>
              </w:tc>
              <w:tc>
                <w:tcPr>
                  <w:tcW w:w="760" w:type="pct"/>
                  <w:noWrap w:val="0"/>
                  <w:vAlign w:val="center"/>
                </w:tcPr>
                <w:p w14:paraId="769C4A6C">
                  <w:pPr>
                    <w:adjustRightInd w:val="0"/>
                    <w:snapToGrid w:val="0"/>
                    <w:spacing w:line="34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港西村</w:t>
                  </w:r>
                </w:p>
              </w:tc>
              <w:tc>
                <w:tcPr>
                  <w:tcW w:w="963" w:type="pct"/>
                  <w:noWrap w:val="0"/>
                  <w:vAlign w:val="center"/>
                </w:tcPr>
                <w:p w14:paraId="0181C2AD">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西南侧385m</w:t>
                  </w:r>
                </w:p>
              </w:tc>
              <w:tc>
                <w:tcPr>
                  <w:tcW w:w="1427" w:type="pct"/>
                  <w:noWrap w:val="0"/>
                  <w:vAlign w:val="center"/>
                </w:tcPr>
                <w:p w14:paraId="3EC63767">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约277户/964人</w:t>
                  </w:r>
                </w:p>
              </w:tc>
              <w:tc>
                <w:tcPr>
                  <w:tcW w:w="1321" w:type="pct"/>
                  <w:vMerge w:val="continue"/>
                  <w:noWrap w:val="0"/>
                  <w:vAlign w:val="center"/>
                </w:tcPr>
                <w:p w14:paraId="05CCE788">
                  <w:pPr>
                    <w:adjustRightInd w:val="0"/>
                    <w:snapToGrid w:val="0"/>
                    <w:spacing w:line="340" w:lineRule="exact"/>
                    <w:jc w:val="center"/>
                    <w:rPr>
                      <w:rFonts w:hint="default" w:ascii="Times New Roman" w:hAnsi="Times New Roman" w:cs="Times New Roman"/>
                      <w:color w:val="auto"/>
                      <w:szCs w:val="21"/>
                    </w:rPr>
                  </w:pPr>
                </w:p>
              </w:tc>
            </w:tr>
            <w:tr w14:paraId="08A84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527" w:type="pct"/>
                  <w:vMerge w:val="restart"/>
                  <w:noWrap w:val="0"/>
                  <w:vAlign w:val="center"/>
                </w:tcPr>
                <w:p w14:paraId="4DACB55F">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760" w:type="pct"/>
                  <w:noWrap w:val="0"/>
                  <w:vAlign w:val="center"/>
                </w:tcPr>
                <w:p w14:paraId="6B77B235">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首祉溪</w:t>
                  </w:r>
                </w:p>
              </w:tc>
              <w:tc>
                <w:tcPr>
                  <w:tcW w:w="963" w:type="pct"/>
                  <w:noWrap w:val="0"/>
                  <w:vAlign w:val="center"/>
                </w:tcPr>
                <w:p w14:paraId="1BA921A4">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西北侧4.2km</w:t>
                  </w:r>
                </w:p>
              </w:tc>
              <w:tc>
                <w:tcPr>
                  <w:tcW w:w="1427" w:type="pct"/>
                  <w:noWrap w:val="0"/>
                  <w:vAlign w:val="center"/>
                </w:tcPr>
                <w:p w14:paraId="04377549">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渔业、农业用水</w:t>
                  </w:r>
                </w:p>
              </w:tc>
              <w:tc>
                <w:tcPr>
                  <w:tcW w:w="1321" w:type="pct"/>
                  <w:noWrap w:val="0"/>
                  <w:vAlign w:val="center"/>
                </w:tcPr>
                <w:p w14:paraId="1EBE50DC">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《地表水环境质量标准》（GB3838-2002）</w:t>
                  </w:r>
                </w:p>
                <w:p w14:paraId="6E9C57D8">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中的Ⅲ类标准</w:t>
                  </w:r>
                </w:p>
              </w:tc>
            </w:tr>
            <w:tr w14:paraId="32625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527" w:type="pct"/>
                  <w:vMerge w:val="continue"/>
                  <w:noWrap w:val="0"/>
                  <w:vAlign w:val="center"/>
                </w:tcPr>
                <w:p w14:paraId="4A0789EC">
                  <w:pPr>
                    <w:adjustRightInd w:val="0"/>
                    <w:snapToGrid w:val="0"/>
                    <w:spacing w:line="340" w:lineRule="exact"/>
                    <w:jc w:val="center"/>
                    <w:rPr>
                      <w:rFonts w:hint="default" w:ascii="Times New Roman" w:hAnsi="Times New Roman" w:cs="Times New Roman"/>
                      <w:color w:val="auto"/>
                      <w:szCs w:val="21"/>
                    </w:rPr>
                  </w:pPr>
                </w:p>
              </w:tc>
              <w:tc>
                <w:tcPr>
                  <w:tcW w:w="760" w:type="pct"/>
                  <w:noWrap w:val="0"/>
                  <w:vAlign w:val="center"/>
                </w:tcPr>
                <w:p w14:paraId="297A5418">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牛头湾海</w:t>
                  </w:r>
                  <w:r>
                    <w:rPr>
                      <w:rFonts w:hint="default" w:ascii="Times New Roman" w:hAnsi="Times New Roman" w:eastAsia="宋体" w:cs="Times New Roman"/>
                      <w:color w:val="auto"/>
                      <w:szCs w:val="21"/>
                      <w:lang w:val="en-US" w:eastAsia="zh-CN"/>
                    </w:rPr>
                    <w:t>域</w:t>
                  </w:r>
                </w:p>
              </w:tc>
              <w:tc>
                <w:tcPr>
                  <w:tcW w:w="963" w:type="pct"/>
                  <w:noWrap w:val="0"/>
                  <w:vAlign w:val="center"/>
                </w:tcPr>
                <w:p w14:paraId="32EE8A7C">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东南</w:t>
                  </w:r>
                  <w:r>
                    <w:rPr>
                      <w:rFonts w:hint="default" w:ascii="Times New Roman" w:hAnsi="Times New Roman" w:eastAsia="宋体" w:cs="Times New Roman"/>
                      <w:color w:val="auto"/>
                      <w:szCs w:val="21"/>
                      <w:lang w:val="en-US" w:eastAsia="zh-CN"/>
                    </w:rPr>
                    <w:t>侧</w:t>
                  </w:r>
                  <w:r>
                    <w:rPr>
                      <w:rFonts w:hint="eastAsia" w:ascii="Times New Roman" w:hAnsi="Times New Roman" w:eastAsia="宋体" w:cs="Times New Roman"/>
                      <w:color w:val="auto"/>
                      <w:szCs w:val="21"/>
                      <w:lang w:val="en-US" w:eastAsia="zh-CN"/>
                    </w:rPr>
                    <w:t>1414</w:t>
                  </w:r>
                  <w:r>
                    <w:rPr>
                      <w:rFonts w:hint="default" w:ascii="Times New Roman" w:hAnsi="Times New Roman" w:eastAsia="宋体" w:cs="Times New Roman"/>
                      <w:color w:val="auto"/>
                      <w:szCs w:val="21"/>
                      <w:lang w:val="en-US" w:eastAsia="zh-CN"/>
                    </w:rPr>
                    <w:t>m</w:t>
                  </w:r>
                </w:p>
              </w:tc>
              <w:tc>
                <w:tcPr>
                  <w:tcW w:w="1427" w:type="pct"/>
                  <w:noWrap w:val="0"/>
                  <w:vAlign w:val="center"/>
                </w:tcPr>
                <w:p w14:paraId="5B13D874">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港口、一般工业用水</w:t>
                  </w:r>
                </w:p>
              </w:tc>
              <w:tc>
                <w:tcPr>
                  <w:tcW w:w="1321" w:type="pct"/>
                  <w:noWrap w:val="0"/>
                  <w:vAlign w:val="center"/>
                </w:tcPr>
                <w:p w14:paraId="22165365">
                  <w:pPr>
                    <w:adjustRightInd w:val="0"/>
                    <w:snapToGrid w:val="0"/>
                    <w:spacing w:line="340" w:lineRule="exact"/>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《海水水质标准》（</w:t>
                  </w:r>
                  <w:r>
                    <w:rPr>
                      <w:rFonts w:hint="default" w:ascii="Times New Roman" w:hAnsi="Times New Roman" w:eastAsia="宋体" w:cs="Times New Roman"/>
                      <w:color w:val="auto"/>
                      <w:szCs w:val="21"/>
                      <w:lang w:val="en-US" w:eastAsia="zh-CN"/>
                    </w:rPr>
                    <w:t>GB3097-1997</w:t>
                  </w:r>
                  <w:r>
                    <w:rPr>
                      <w:rFonts w:hint="eastAsia" w:ascii="Times New Roman" w:hAnsi="Times New Roman" w:eastAsia="宋体" w:cs="Times New Roman"/>
                      <w:color w:val="auto"/>
                      <w:szCs w:val="21"/>
                      <w:lang w:val="en-US" w:eastAsia="zh-CN"/>
                    </w:rPr>
                    <w:t>）的第三类水质标准</w:t>
                  </w:r>
                </w:p>
              </w:tc>
            </w:tr>
            <w:tr w14:paraId="01F15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noWrap w:val="0"/>
                  <w:vAlign w:val="center"/>
                </w:tcPr>
                <w:p w14:paraId="4CD38BB5">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760" w:type="pct"/>
                  <w:noWrap w:val="0"/>
                  <w:vAlign w:val="center"/>
                </w:tcPr>
                <w:p w14:paraId="60BB9C38">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山前村</w:t>
                  </w:r>
                </w:p>
              </w:tc>
              <w:tc>
                <w:tcPr>
                  <w:tcW w:w="963" w:type="pct"/>
                  <w:noWrap w:val="0"/>
                  <w:vAlign w:val="center"/>
                </w:tcPr>
                <w:p w14:paraId="0165CBC4">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西侧</w:t>
                  </w:r>
                  <w:r>
                    <w:rPr>
                      <w:rFonts w:hint="eastAsia" w:ascii="Times New Roman" w:hAnsi="Times New Roman" w:cs="Times New Roman"/>
                      <w:color w:val="auto"/>
                      <w:szCs w:val="21"/>
                      <w:lang w:val="en-US" w:eastAsia="zh-CN"/>
                    </w:rPr>
                    <w:t>20</w:t>
                  </w:r>
                  <w:r>
                    <w:rPr>
                      <w:rFonts w:hint="default" w:ascii="Times New Roman" w:hAnsi="Times New Roman" w:cs="Times New Roman"/>
                      <w:color w:val="auto"/>
                      <w:szCs w:val="21"/>
                      <w:lang w:val="en-US" w:eastAsia="zh-CN"/>
                    </w:rPr>
                    <w:t>m</w:t>
                  </w:r>
                </w:p>
              </w:tc>
              <w:tc>
                <w:tcPr>
                  <w:tcW w:w="1427" w:type="pct"/>
                  <w:noWrap w:val="0"/>
                  <w:vAlign w:val="center"/>
                </w:tcPr>
                <w:p w14:paraId="6B37684E">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约7</w:t>
                  </w:r>
                  <w:r>
                    <w:rPr>
                      <w:rFonts w:hint="default" w:ascii="Times New Roman" w:hAnsi="Times New Roman" w:eastAsia="宋体" w:cs="Times New Roman"/>
                      <w:color w:val="auto"/>
                      <w:szCs w:val="21"/>
                      <w:lang w:val="en-US" w:eastAsia="zh-CN"/>
                    </w:rPr>
                    <w:t>户/</w:t>
                  </w:r>
                  <w:r>
                    <w:rPr>
                      <w:rFonts w:hint="eastAsia" w:ascii="Times New Roman" w:hAnsi="Times New Roman" w:eastAsia="宋体" w:cs="Times New Roman"/>
                      <w:color w:val="auto"/>
                      <w:szCs w:val="21"/>
                      <w:lang w:val="en-US" w:eastAsia="zh-CN"/>
                    </w:rPr>
                    <w:t>21</w:t>
                  </w:r>
                  <w:r>
                    <w:rPr>
                      <w:rFonts w:hint="default" w:ascii="Times New Roman" w:hAnsi="Times New Roman" w:eastAsia="宋体" w:cs="Times New Roman"/>
                      <w:color w:val="auto"/>
                      <w:szCs w:val="21"/>
                      <w:lang w:val="en-US" w:eastAsia="zh-CN"/>
                    </w:rPr>
                    <w:t>人</w:t>
                  </w:r>
                </w:p>
                <w:p w14:paraId="59BD682F">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（50m评价范围内）</w:t>
                  </w:r>
                </w:p>
              </w:tc>
              <w:tc>
                <w:tcPr>
                  <w:tcW w:w="1321" w:type="pct"/>
                  <w:noWrap w:val="0"/>
                  <w:vAlign w:val="center"/>
                </w:tcPr>
                <w:p w14:paraId="4A13DDB9">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《声环境质量标准》(GB3096-2008)</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类标准</w:t>
                  </w:r>
                </w:p>
              </w:tc>
            </w:tr>
            <w:tr w14:paraId="40E6E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7" w:type="pct"/>
                  <w:noWrap w:val="0"/>
                  <w:vAlign w:val="center"/>
                </w:tcPr>
                <w:p w14:paraId="2AE8DC7B">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4472" w:type="pct"/>
                  <w:gridSpan w:val="4"/>
                  <w:noWrap w:val="0"/>
                  <w:vAlign w:val="center"/>
                </w:tcPr>
                <w:p w14:paraId="6D95178B">
                  <w:pPr>
                    <w:adjustRightInd w:val="0"/>
                    <w:snapToGrid w:val="0"/>
                    <w:spacing w:line="3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项目厂界外500</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rPr>
                    <w:t>范围内无地下水集中式饮用水水源和热水、矿泉水、温泉等特殊地下水资源</w:t>
                  </w:r>
                </w:p>
              </w:tc>
            </w:tr>
          </w:tbl>
          <w:p w14:paraId="19A8515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1"/>
                <w:szCs w:val="21"/>
                <w:lang w:eastAsia="zh-CN"/>
              </w:rPr>
              <w:t>注：项目</w:t>
            </w:r>
            <w:r>
              <w:rPr>
                <w:rFonts w:hint="eastAsia" w:ascii="Times New Roman" w:hAnsi="Times New Roman" w:eastAsia="宋体" w:cs="Times New Roman"/>
                <w:color w:val="auto"/>
                <w:kern w:val="0"/>
                <w:sz w:val="21"/>
                <w:szCs w:val="21"/>
                <w:lang w:val="en-US" w:eastAsia="zh-CN"/>
              </w:rPr>
              <w:t>优化</w:t>
            </w:r>
            <w:r>
              <w:rPr>
                <w:rFonts w:hint="eastAsia" w:ascii="Times New Roman" w:hAnsi="Times New Roman" w:eastAsia="宋体" w:cs="Times New Roman"/>
                <w:color w:val="auto"/>
                <w:kern w:val="0"/>
                <w:sz w:val="21"/>
                <w:szCs w:val="21"/>
                <w:lang w:eastAsia="zh-CN"/>
              </w:rPr>
              <w:t>平面布置，</w:t>
            </w:r>
            <w:r>
              <w:rPr>
                <w:rFonts w:hint="eastAsia" w:ascii="Times New Roman" w:hAnsi="Times New Roman" w:eastAsia="宋体" w:cs="Times New Roman"/>
                <w:color w:val="auto"/>
                <w:kern w:val="0"/>
                <w:sz w:val="21"/>
                <w:szCs w:val="21"/>
                <w:lang w:val="en-US" w:eastAsia="zh-CN"/>
              </w:rPr>
              <w:t>对靠近西、北侧山前村的区域，布设为仓库、生活区或二期用地（闲置，暂未规划），</w:t>
            </w:r>
            <w:r>
              <w:rPr>
                <w:rFonts w:hint="eastAsia" w:ascii="Times New Roman" w:hAnsi="Times New Roman" w:eastAsia="宋体" w:cs="Times New Roman"/>
                <w:color w:val="auto"/>
                <w:kern w:val="0"/>
                <w:sz w:val="21"/>
                <w:szCs w:val="21"/>
                <w:lang w:eastAsia="zh-CN"/>
              </w:rPr>
              <w:t>减少</w:t>
            </w:r>
            <w:r>
              <w:rPr>
                <w:rFonts w:hint="eastAsia" w:ascii="Times New Roman" w:hAnsi="Times New Roman" w:eastAsia="宋体" w:cs="Times New Roman"/>
                <w:color w:val="auto"/>
                <w:kern w:val="0"/>
                <w:sz w:val="21"/>
                <w:szCs w:val="21"/>
                <w:lang w:val="en-US" w:eastAsia="zh-CN"/>
              </w:rPr>
              <w:t>本项目</w:t>
            </w:r>
            <w:r>
              <w:rPr>
                <w:rFonts w:hint="eastAsia" w:ascii="Times New Roman" w:hAnsi="Times New Roman" w:eastAsia="宋体" w:cs="Times New Roman"/>
                <w:color w:val="auto"/>
                <w:kern w:val="0"/>
                <w:sz w:val="21"/>
                <w:szCs w:val="21"/>
                <w:lang w:eastAsia="zh-CN"/>
              </w:rPr>
              <w:t>对西、</w:t>
            </w:r>
            <w:r>
              <w:rPr>
                <w:rFonts w:hint="eastAsia" w:ascii="Times New Roman" w:hAnsi="Times New Roman" w:eastAsia="宋体" w:cs="Times New Roman"/>
                <w:color w:val="auto"/>
                <w:kern w:val="0"/>
                <w:sz w:val="21"/>
                <w:szCs w:val="21"/>
                <w:lang w:val="en-US" w:eastAsia="zh-CN"/>
              </w:rPr>
              <w:t>北</w:t>
            </w:r>
            <w:r>
              <w:rPr>
                <w:rFonts w:hint="eastAsia" w:ascii="Times New Roman" w:hAnsi="Times New Roman" w:eastAsia="宋体" w:cs="Times New Roman"/>
                <w:color w:val="auto"/>
                <w:kern w:val="0"/>
                <w:sz w:val="21"/>
                <w:szCs w:val="21"/>
                <w:lang w:eastAsia="zh-CN"/>
              </w:rPr>
              <w:t>侧山前村的影响，最近生产车间距离西侧山前村约</w:t>
            </w:r>
            <w:r>
              <w:rPr>
                <w:rFonts w:hint="eastAsia" w:ascii="Times New Roman" w:hAnsi="Times New Roman" w:eastAsia="宋体" w:cs="Times New Roman"/>
                <w:color w:val="auto"/>
                <w:kern w:val="0"/>
                <w:sz w:val="21"/>
                <w:szCs w:val="21"/>
                <w:lang w:val="en-US" w:eastAsia="zh-CN"/>
              </w:rPr>
              <w:t>70m</w:t>
            </w:r>
            <w:r>
              <w:rPr>
                <w:rFonts w:hint="eastAsia" w:ascii="Times New Roman" w:hAnsi="Times New Roman" w:eastAsia="宋体" w:cs="Times New Roman"/>
                <w:color w:val="auto"/>
                <w:kern w:val="0"/>
                <w:sz w:val="24"/>
                <w:lang w:val="en-US" w:eastAsia="zh-CN"/>
              </w:rPr>
              <w:t>。</w:t>
            </w:r>
          </w:p>
          <w:p w14:paraId="795832FF">
            <w:pPr>
              <w:keepNext w:val="0"/>
              <w:keepLines w:val="0"/>
              <w:pageBreakBefore w:val="0"/>
              <w:widowControl w:val="0"/>
              <w:kinsoku/>
              <w:wordWrap/>
              <w:overflowPunct/>
              <w:topLinePunct w:val="0"/>
              <w:autoSpaceDE/>
              <w:autoSpaceDN/>
              <w:bidi w:val="0"/>
              <w:adjustRightInd w:val="0"/>
              <w:snapToGrid w:val="0"/>
              <w:spacing w:before="313" w:beforeLines="100" w:line="360" w:lineRule="auto"/>
              <w:textAlignment w:val="auto"/>
              <w:rPr>
                <w:rFonts w:ascii="Times New Roman" w:hAnsi="Times New Roman"/>
                <w:b/>
                <w:color w:val="auto"/>
                <w:sz w:val="24"/>
              </w:rPr>
            </w:pPr>
            <w:r>
              <w:rPr>
                <w:rFonts w:ascii="Times New Roman" w:hAnsi="Times New Roman"/>
                <w:b/>
                <w:color w:val="auto"/>
                <w:sz w:val="24"/>
              </w:rPr>
              <w:t>3.</w:t>
            </w:r>
            <w:r>
              <w:rPr>
                <w:rFonts w:hint="eastAsia" w:ascii="Times New Roman" w:hAnsi="Times New Roman"/>
                <w:b/>
                <w:color w:val="auto"/>
                <w:sz w:val="24"/>
              </w:rPr>
              <w:t>6</w:t>
            </w:r>
            <w:r>
              <w:rPr>
                <w:rFonts w:ascii="Times New Roman" w:hAnsi="Times New Roman"/>
                <w:b/>
                <w:color w:val="auto"/>
                <w:sz w:val="24"/>
              </w:rPr>
              <w:t>.2 生态环境保护目标</w:t>
            </w:r>
          </w:p>
          <w:p w14:paraId="465AA2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根据《建设项目环境影响报告表编制技术指南</w:t>
            </w:r>
            <w:r>
              <w:rPr>
                <w:rFonts w:hint="eastAsia"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rPr>
              <w:t>污染影响类</w:t>
            </w:r>
            <w:r>
              <w:rPr>
                <w:rFonts w:hint="eastAsia"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rPr>
              <w:t>试行</w:t>
            </w:r>
            <w:r>
              <w:rPr>
                <w:rFonts w:hint="eastAsia"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rPr>
              <w:t>环办环评〔2020〕33号</w:t>
            </w:r>
            <w:r>
              <w:rPr>
                <w:rFonts w:hint="eastAsia"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rPr>
              <w:t xml:space="preserve"> “产业园区外建设项目新增用地的，应明确新增用地范围内生态环境保护目标”。本项目</w:t>
            </w:r>
            <w:r>
              <w:rPr>
                <w:rFonts w:hint="eastAsia" w:ascii="Times New Roman" w:hAnsi="Times New Roman" w:eastAsia="宋体" w:cs="Times New Roman"/>
                <w:color w:val="auto"/>
                <w:kern w:val="0"/>
                <w:sz w:val="24"/>
                <w:lang w:eastAsia="zh-CN"/>
              </w:rPr>
              <w:t>租用现有工业厂区，未新增用地</w:t>
            </w:r>
            <w:r>
              <w:rPr>
                <w:rFonts w:hint="default" w:ascii="Times New Roman" w:hAnsi="Times New Roman" w:eastAsia="宋体" w:cs="Times New Roman"/>
                <w:color w:val="auto"/>
                <w:kern w:val="0"/>
                <w:sz w:val="24"/>
              </w:rPr>
              <w:t>。</w:t>
            </w:r>
          </w:p>
          <w:p w14:paraId="0D0128AE">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olor w:val="auto"/>
              </w:rPr>
            </w:pPr>
            <w:r>
              <w:rPr>
                <w:rFonts w:hint="eastAsia" w:ascii="Times New Roman" w:hAnsi="Times New Roman" w:eastAsia="宋体" w:cs="Times New Roman"/>
                <w:color w:val="auto"/>
                <w:kern w:val="0"/>
                <w:sz w:val="24"/>
                <w:szCs w:val="24"/>
                <w:lang w:val="en-US" w:eastAsia="zh-CN" w:bidi="ar-SA"/>
              </w:rPr>
              <w:t>经查福建省生态分区管控数据应用平台，</w:t>
            </w:r>
            <w:r>
              <w:rPr>
                <w:rFonts w:hint="default" w:ascii="Times New Roman" w:hAnsi="Times New Roman" w:eastAsia="宋体" w:cs="Times New Roman"/>
                <w:color w:val="auto"/>
                <w:kern w:val="0"/>
                <w:sz w:val="24"/>
                <w:szCs w:val="24"/>
                <w:lang w:val="en-US" w:eastAsia="zh-CN" w:bidi="ar-SA"/>
              </w:rPr>
              <w:t>本项目位于“长乐区一般生态空间—生物多样性生态功能重要区域”（环境管控单元编码ZH35011210007</w:t>
            </w:r>
            <w:r>
              <w:rPr>
                <w:rFonts w:hint="eastAsia" w:ascii="Times New Roman" w:hAnsi="Times New Roman" w:eastAsia="宋体" w:cs="Times New Roman"/>
                <w:color w:val="auto"/>
                <w:kern w:val="0"/>
                <w:sz w:val="24"/>
                <w:szCs w:val="24"/>
                <w:lang w:val="en-US" w:eastAsia="zh-CN" w:bidi="ar-SA"/>
              </w:rPr>
              <w:t>，详见附图12、13）</w:t>
            </w:r>
            <w:r>
              <w:rPr>
                <w:rFonts w:hint="default" w:ascii="Times New Roman" w:hAnsi="Times New Roman" w:eastAsia="宋体" w:cs="Times New Roman"/>
                <w:color w:val="auto"/>
                <w:kern w:val="0"/>
                <w:sz w:val="24"/>
                <w:szCs w:val="24"/>
                <w:lang w:val="en-US" w:eastAsia="zh-CN" w:bidi="ar-SA"/>
              </w:rPr>
              <w:t>，项目租赁现有工业厂区进行生产经营活动，用地范围内无珍稀濒危物种种群、极小种群等，项目运营期污染物经妥善处理达标排放或委托处理处置</w:t>
            </w:r>
            <w:r>
              <w:rPr>
                <w:rFonts w:hint="eastAsia" w:ascii="Times New Roman" w:hAnsi="Times New Roman" w:eastAsia="宋体" w:cs="Times New Roman"/>
                <w:color w:val="auto"/>
                <w:kern w:val="0"/>
                <w:sz w:val="24"/>
                <w:szCs w:val="24"/>
                <w:lang w:val="en-US" w:eastAsia="zh-CN" w:bidi="ar-SA"/>
              </w:rPr>
              <w:t>，不会影响厂界周边现状生物多样性维护的生态保护功能。</w:t>
            </w:r>
          </w:p>
        </w:tc>
      </w:tr>
      <w:tr w14:paraId="454DE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80" w:type="dxa"/>
            <w:noWrap w:val="0"/>
            <w:tcMar>
              <w:left w:w="28" w:type="dxa"/>
              <w:right w:w="28" w:type="dxa"/>
            </w:tcMar>
            <w:vAlign w:val="center"/>
          </w:tcPr>
          <w:p w14:paraId="4025153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24DDB39C">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530C09B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617B02C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1A7DF58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190" w:type="dxa"/>
            <w:noWrap w:val="0"/>
            <w:vAlign w:val="center"/>
          </w:tcPr>
          <w:p w14:paraId="51F38CED">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lang w:val="en-US" w:eastAsia="zh-CN"/>
              </w:rPr>
            </w:pPr>
            <w:r>
              <w:rPr>
                <w:rFonts w:hint="default" w:ascii="Times New Roman" w:hAnsi="Times New Roman" w:eastAsia="宋体" w:cs="Times New Roman"/>
                <w:b/>
                <w:bCs w:val="0"/>
                <w:color w:val="auto"/>
                <w:sz w:val="28"/>
                <w:szCs w:val="28"/>
                <w:lang w:val="en-US" w:eastAsia="zh-CN"/>
              </w:rPr>
              <w:t>3.</w:t>
            </w:r>
            <w:r>
              <w:rPr>
                <w:rFonts w:hint="eastAsia" w:ascii="Times New Roman" w:hAnsi="Times New Roman" w:eastAsia="宋体" w:cs="Times New Roman"/>
                <w:b/>
                <w:bCs w:val="0"/>
                <w:color w:val="auto"/>
                <w:sz w:val="28"/>
                <w:szCs w:val="28"/>
                <w:lang w:val="en-US" w:eastAsia="zh-CN"/>
              </w:rPr>
              <w:t>7</w:t>
            </w:r>
            <w:r>
              <w:rPr>
                <w:rFonts w:hint="default" w:ascii="Times New Roman" w:hAnsi="Times New Roman" w:eastAsia="宋体" w:cs="Times New Roman"/>
                <w:b/>
                <w:bCs w:val="0"/>
                <w:color w:val="auto"/>
                <w:sz w:val="28"/>
                <w:szCs w:val="28"/>
                <w:lang w:val="en-US" w:eastAsia="zh-CN"/>
              </w:rPr>
              <w:t xml:space="preserve"> 污染物排放标准</w:t>
            </w:r>
          </w:p>
          <w:p w14:paraId="35FA6A99">
            <w:pPr>
              <w:adjustRightInd w:val="0"/>
              <w:snapToGrid w:val="0"/>
              <w:spacing w:line="360" w:lineRule="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3.</w:t>
            </w:r>
            <w:r>
              <w:rPr>
                <w:rFonts w:hint="eastAsia" w:ascii="Times New Roman" w:hAnsi="Times New Roman" w:eastAsia="宋体" w:cs="Times New Roman"/>
                <w:b/>
                <w:bCs w:val="0"/>
                <w:color w:val="auto"/>
                <w:sz w:val="24"/>
                <w:szCs w:val="24"/>
                <w:lang w:val="en-US" w:eastAsia="zh-CN"/>
              </w:rPr>
              <w:t>7</w:t>
            </w:r>
            <w:r>
              <w:rPr>
                <w:rFonts w:hint="default" w:ascii="Times New Roman" w:hAnsi="Times New Roman" w:eastAsia="宋体" w:cs="Times New Roman"/>
                <w:b/>
                <w:bCs w:val="0"/>
                <w:color w:val="auto"/>
                <w:sz w:val="24"/>
                <w:szCs w:val="24"/>
                <w:lang w:val="en-US" w:eastAsia="zh-CN"/>
              </w:rPr>
              <w:t xml:space="preserve">.1 </w:t>
            </w:r>
            <w:r>
              <w:rPr>
                <w:rFonts w:hint="default" w:ascii="Times New Roman" w:hAnsi="Times New Roman" w:eastAsia="宋体" w:cs="Times New Roman"/>
                <w:b/>
                <w:bCs w:val="0"/>
                <w:color w:val="auto"/>
                <w:sz w:val="24"/>
                <w:szCs w:val="24"/>
              </w:rPr>
              <w:t>水污染物</w:t>
            </w:r>
            <w:r>
              <w:rPr>
                <w:rFonts w:hint="default" w:ascii="Times New Roman" w:hAnsi="Times New Roman" w:eastAsia="宋体" w:cs="Times New Roman"/>
                <w:b/>
                <w:bCs w:val="0"/>
                <w:color w:val="auto"/>
                <w:sz w:val="24"/>
                <w:szCs w:val="24"/>
                <w:lang w:val="en-US" w:eastAsia="zh-CN"/>
              </w:rPr>
              <w:t>排放标准</w:t>
            </w:r>
          </w:p>
          <w:p w14:paraId="686A5096">
            <w:pPr>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施工期</w:t>
            </w:r>
          </w:p>
          <w:p w14:paraId="76AB3B84">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施工期设临时隔油沉淀池，施工废水经隔油沉淀处理后全部回用场地洒水抑尘和施工，不外排。本项目施工人员租用周边民房，依托区域现有污水处理系统和排水系统，因此不另行设置排放标准。</w:t>
            </w:r>
          </w:p>
          <w:p w14:paraId="7B67B8D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（2）运营期</w:t>
            </w:r>
          </w:p>
          <w:p w14:paraId="464839D0">
            <w:pPr>
              <w:spacing w:line="360" w:lineRule="auto"/>
              <w:ind w:firstLine="480" w:firstLineChars="200"/>
              <w:rPr>
                <w:rFonts w:hint="eastAsia"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w:t>
            </w:r>
            <w:r>
              <w:rPr>
                <w:rFonts w:hint="eastAsia" w:ascii="Times New Roman" w:hAnsi="Times New Roman" w:cs="Times New Roman"/>
                <w:color w:val="auto"/>
                <w:sz w:val="24"/>
                <w:highlight w:val="none"/>
                <w:lang w:val="en-US" w:eastAsia="zh-CN"/>
              </w:rPr>
              <w:t>经处理的清洁废水、作业区露天区域初期雨水经处理后达</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城市污水再生利用 城市杂用水水质</w:t>
            </w:r>
            <w:r>
              <w:rPr>
                <w:rFonts w:hint="default" w:ascii="Times New Roman" w:hAnsi="Times New Roman" w:cs="Times New Roman"/>
                <w:color w:val="auto"/>
                <w:sz w:val="24"/>
                <w:highlight w:val="none"/>
              </w:rPr>
              <w:t>》(GB8978-1996)</w:t>
            </w:r>
            <w:r>
              <w:rPr>
                <w:rFonts w:hint="eastAsia" w:ascii="Times New Roman" w:hAnsi="Times New Roman" w:cs="Times New Roman"/>
                <w:color w:val="auto"/>
                <w:sz w:val="24"/>
                <w:highlight w:val="none"/>
                <w:lang w:val="en-US" w:eastAsia="zh-CN"/>
              </w:rPr>
              <w:t>表1中道路清扫水质标准，回用于场地洒水清扫、停车区冲洗，不外排，标准限值详见表3.7-1。</w:t>
            </w:r>
          </w:p>
          <w:p w14:paraId="4BEF596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highlight w:val="none"/>
                <w:lang w:val="en-US" w:eastAsia="zh-CN"/>
              </w:rPr>
              <w:t>生活污水经化粪池预处理后排入福州市长乐区松下镇山前村污水管网，纳入福州市长乐区松下镇山前村污水处理站集中处理。废水纳管水质</w:t>
            </w:r>
            <w:r>
              <w:rPr>
                <w:rFonts w:hint="default" w:ascii="Times New Roman" w:hAnsi="Times New Roman" w:cs="Times New Roman"/>
                <w:color w:val="auto"/>
                <w:sz w:val="24"/>
                <w:highlight w:val="none"/>
                <w:lang w:val="en-US" w:eastAsia="zh-CN"/>
              </w:rPr>
              <w:t>执行</w:t>
            </w:r>
            <w:r>
              <w:rPr>
                <w:rFonts w:hint="default" w:ascii="Times New Roman" w:hAnsi="Times New Roman" w:cs="Times New Roman"/>
                <w:color w:val="auto"/>
                <w:sz w:val="24"/>
                <w:highlight w:val="none"/>
              </w:rPr>
              <w:t>《污水综合排放标准》(GB8978-1996)表4三级标准(其中氨氮参照执行《污水排入城镇下水道水质标准》(GB/T 31962-2015)表1中B级标准限值)</w:t>
            </w:r>
            <w:r>
              <w:rPr>
                <w:rFonts w:hint="default" w:ascii="Times New Roman" w:hAnsi="Times New Roman" w:eastAsia="宋体" w:cs="Times New Roman"/>
                <w:color w:val="auto"/>
                <w:sz w:val="24"/>
                <w:szCs w:val="24"/>
                <w:highlight w:val="none"/>
              </w:rPr>
              <w:t>，详见表</w:t>
            </w:r>
            <w:r>
              <w:rPr>
                <w:rFonts w:hint="default" w:ascii="Times New Roman" w:hAnsi="Times New Roman" w:eastAsia="宋体" w:cs="Times New Roman"/>
                <w:color w:val="auto"/>
                <w:sz w:val="24"/>
                <w:szCs w:val="24"/>
                <w:highlight w:val="none"/>
                <w:lang w:val="en-US" w:eastAsia="zh-CN"/>
              </w:rPr>
              <w:t>3.7-</w:t>
            </w:r>
            <w:r>
              <w:rPr>
                <w:rFonts w:hint="eastAsia" w:ascii="Times New Roman" w:hAnsi="Times New Roman" w:eastAsia="宋体" w:cs="Times New Roman"/>
                <w:color w:val="auto"/>
                <w:sz w:val="24"/>
                <w:szCs w:val="24"/>
                <w:highlight w:val="none"/>
                <w:lang w:val="en-US" w:eastAsia="zh-CN"/>
              </w:rPr>
              <w:t>2，同时也符合松下山前村污水处理站进水指标</w:t>
            </w:r>
            <w:r>
              <w:rPr>
                <w:rFonts w:hint="default" w:ascii="Times New Roman" w:hAnsi="Times New Roman" w:eastAsia="宋体" w:cs="Times New Roman"/>
                <w:color w:val="auto"/>
                <w:sz w:val="24"/>
                <w:szCs w:val="24"/>
                <w:highlight w:val="none"/>
              </w:rPr>
              <w:t>。</w:t>
            </w:r>
          </w:p>
          <w:p w14:paraId="225160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auto"/>
                <w:sz w:val="24"/>
                <w:szCs w:val="24"/>
                <w:highlight w:val="none"/>
                <w:lang w:eastAsia="zh-CN"/>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3.</w:t>
            </w:r>
            <w:r>
              <w:rPr>
                <w:rFonts w:hint="eastAsia" w:ascii="Times New Roman" w:hAnsi="Times New Roman" w:eastAsia="黑体" w:cs="Times New Roman"/>
                <w:color w:val="auto"/>
                <w:sz w:val="24"/>
                <w:szCs w:val="24"/>
                <w:highlight w:val="none"/>
                <w:lang w:val="en-US" w:eastAsia="zh-CN"/>
              </w:rPr>
              <w:t>7</w:t>
            </w:r>
            <w:r>
              <w:rPr>
                <w:rFonts w:hint="default" w:ascii="Times New Roman" w:hAnsi="Times New Roman" w:eastAsia="黑体" w:cs="Times New Roman"/>
                <w:color w:val="auto"/>
                <w:sz w:val="24"/>
                <w:szCs w:val="24"/>
                <w:highlight w:val="none"/>
                <w:lang w:val="en-US" w:eastAsia="zh-CN"/>
              </w:rPr>
              <w:t>-1</w:t>
            </w:r>
            <w:r>
              <w:rPr>
                <w:rFonts w:hint="default" w:ascii="Times New Roman" w:hAnsi="Times New Roman" w:eastAsia="黑体" w:cs="Times New Roman"/>
                <w:color w:val="auto"/>
                <w:sz w:val="24"/>
                <w:szCs w:val="24"/>
                <w:highlight w:val="none"/>
              </w:rPr>
              <w:t xml:space="preserve">  项目</w:t>
            </w:r>
            <w:r>
              <w:rPr>
                <w:rFonts w:hint="eastAsia" w:ascii="Times New Roman" w:hAnsi="Times New Roman" w:eastAsia="黑体" w:cs="Times New Roman"/>
                <w:color w:val="auto"/>
                <w:sz w:val="24"/>
                <w:szCs w:val="24"/>
                <w:highlight w:val="none"/>
                <w:lang w:val="en-US" w:eastAsia="zh-CN"/>
              </w:rPr>
              <w:t>回用水水质</w:t>
            </w:r>
            <w:r>
              <w:rPr>
                <w:rFonts w:hint="default" w:ascii="Times New Roman" w:hAnsi="Times New Roman" w:eastAsia="黑体" w:cs="Times New Roman"/>
                <w:color w:val="auto"/>
                <w:sz w:val="24"/>
                <w:szCs w:val="24"/>
                <w:highlight w:val="none"/>
              </w:rPr>
              <w:t>标准</w:t>
            </w:r>
            <w:r>
              <w:rPr>
                <w:rFonts w:hint="default" w:ascii="Times New Roman" w:hAnsi="Times New Roman" w:eastAsia="黑体" w:cs="Times New Roman"/>
                <w:color w:val="auto"/>
                <w:sz w:val="24"/>
                <w:szCs w:val="24"/>
                <w:highlight w:val="none"/>
                <w:lang w:eastAsia="zh-CN"/>
              </w:rPr>
              <w:t>限值一览表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2878"/>
              <w:gridCol w:w="3384"/>
            </w:tblGrid>
            <w:tr w14:paraId="1C523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7332F7AD">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污染物名称</w:t>
                  </w:r>
                </w:p>
              </w:tc>
              <w:tc>
                <w:tcPr>
                  <w:tcW w:w="1778" w:type="pct"/>
                  <w:noWrap w:val="0"/>
                  <w:vAlign w:val="center"/>
                </w:tcPr>
                <w:p w14:paraId="5D27F9FE">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ascii="Times New Roman" w:hAnsi="Times New Roman" w:eastAsia="宋体" w:cs="Times New Roman"/>
                      <w:color w:val="auto"/>
                      <w:kern w:val="18"/>
                      <w:sz w:val="21"/>
                      <w:szCs w:val="21"/>
                      <w:highlight w:val="none"/>
                      <w:lang w:val="en-US" w:eastAsia="zh-CN"/>
                    </w:rPr>
                    <w:t>道路清扫</w:t>
                  </w:r>
                </w:p>
              </w:tc>
              <w:tc>
                <w:tcPr>
                  <w:tcW w:w="2091" w:type="pct"/>
                  <w:noWrap w:val="0"/>
                  <w:vAlign w:val="center"/>
                </w:tcPr>
                <w:p w14:paraId="734F2272">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标准来源</w:t>
                  </w:r>
                </w:p>
              </w:tc>
            </w:tr>
            <w:tr w14:paraId="5EBD8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77112358">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pH</w:t>
                  </w:r>
                </w:p>
              </w:tc>
              <w:tc>
                <w:tcPr>
                  <w:tcW w:w="1778" w:type="pct"/>
                  <w:noWrap w:val="0"/>
                  <w:vAlign w:val="center"/>
                </w:tcPr>
                <w:p w14:paraId="0EE8A0B9">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rPr>
                    <w:t>6～9</w:t>
                  </w:r>
                  <w:r>
                    <w:rPr>
                      <w:rFonts w:hint="default" w:ascii="Times New Roman" w:hAnsi="Times New Roman" w:cs="Times New Roman"/>
                      <w:color w:val="auto"/>
                      <w:kern w:val="18"/>
                      <w:sz w:val="21"/>
                      <w:szCs w:val="21"/>
                      <w:highlight w:val="none"/>
                      <w:lang w:val="en-US" w:eastAsia="zh-CN"/>
                    </w:rPr>
                    <w:t>(</w:t>
                  </w:r>
                  <w:r>
                    <w:rPr>
                      <w:rFonts w:hint="default" w:ascii="Times New Roman" w:hAnsi="Times New Roman" w:eastAsia="宋体" w:cs="Times New Roman"/>
                      <w:color w:val="auto"/>
                      <w:sz w:val="21"/>
                      <w:szCs w:val="21"/>
                      <w:highlight w:val="none"/>
                    </w:rPr>
                    <w:t>无量纲</w:t>
                  </w:r>
                  <w:r>
                    <w:rPr>
                      <w:rFonts w:hint="default" w:ascii="Times New Roman" w:hAnsi="Times New Roman" w:cs="Times New Roman"/>
                      <w:color w:val="auto"/>
                      <w:sz w:val="21"/>
                      <w:szCs w:val="21"/>
                      <w:highlight w:val="none"/>
                      <w:lang w:val="en-US" w:eastAsia="zh-CN"/>
                    </w:rPr>
                    <w:t>)</w:t>
                  </w:r>
                </w:p>
              </w:tc>
              <w:tc>
                <w:tcPr>
                  <w:tcW w:w="2091" w:type="pct"/>
                  <w:vMerge w:val="restart"/>
                  <w:noWrap w:val="0"/>
                  <w:vAlign w:val="center"/>
                </w:tcPr>
                <w:p w14:paraId="08B36CBE">
                  <w:pPr>
                    <w:widowControl/>
                    <w:spacing w:line="340" w:lineRule="exact"/>
                    <w:jc w:val="center"/>
                    <w:rPr>
                      <w:rFonts w:hint="default" w:ascii="Times New Roman" w:hAnsi="Times New Roman" w:eastAsia="宋体" w:cs="Times New Roman"/>
                      <w:color w:val="auto"/>
                      <w:kern w:val="18"/>
                      <w:sz w:val="21"/>
                      <w:szCs w:val="21"/>
                      <w:highlight w:val="none"/>
                      <w:lang w:eastAsia="zh-CN"/>
                    </w:rPr>
                  </w:pPr>
                  <w:r>
                    <w:rPr>
                      <w:rFonts w:hint="default" w:ascii="Times New Roman" w:hAnsi="Times New Roman" w:eastAsia="宋体" w:cs="Times New Roman"/>
                      <w:color w:val="auto"/>
                      <w:kern w:val="18"/>
                      <w:sz w:val="21"/>
                      <w:szCs w:val="21"/>
                      <w:highlight w:val="none"/>
                    </w:rPr>
                    <w:t>《城市污水再生利用 城市杂用水水质》(GB8978-1996)表1中道路清扫水质标准</w:t>
                  </w:r>
                </w:p>
              </w:tc>
            </w:tr>
            <w:tr w14:paraId="11575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094051FC">
                  <w:pPr>
                    <w:spacing w:line="340" w:lineRule="exact"/>
                    <w:jc w:val="center"/>
                    <w:rPr>
                      <w:rFonts w:hint="eastAsia" w:ascii="Times New Roman" w:hAnsi="Times New Roman" w:eastAsia="宋体" w:cs="Times New Roman"/>
                      <w:color w:val="auto"/>
                      <w:kern w:val="18"/>
                      <w:sz w:val="21"/>
                      <w:szCs w:val="21"/>
                      <w:highlight w:val="none"/>
                      <w:lang w:val="en-US" w:eastAsia="zh-CN"/>
                    </w:rPr>
                  </w:pPr>
                  <w:r>
                    <w:rPr>
                      <w:rFonts w:hint="eastAsia" w:ascii="Times New Roman" w:hAnsi="Times New Roman" w:eastAsia="宋体" w:cs="Times New Roman"/>
                      <w:color w:val="auto"/>
                      <w:kern w:val="18"/>
                      <w:sz w:val="21"/>
                      <w:szCs w:val="21"/>
                      <w:highlight w:val="none"/>
                      <w:lang w:val="en-US" w:eastAsia="zh-CN"/>
                    </w:rPr>
                    <w:t>色度</w:t>
                  </w:r>
                </w:p>
              </w:tc>
              <w:tc>
                <w:tcPr>
                  <w:tcW w:w="1778" w:type="pct"/>
                  <w:noWrap w:val="0"/>
                  <w:vAlign w:val="center"/>
                </w:tcPr>
                <w:p w14:paraId="3B316CC3">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ascii="Times New Roman" w:hAnsi="Times New Roman" w:eastAsia="宋体" w:cs="Times New Roman"/>
                      <w:color w:val="auto"/>
                      <w:kern w:val="18"/>
                      <w:sz w:val="21"/>
                      <w:szCs w:val="21"/>
                      <w:highlight w:val="none"/>
                      <w:lang w:val="en-US" w:eastAsia="zh-CN"/>
                    </w:rPr>
                    <w:t>30（度，铂钴色度单位）</w:t>
                  </w:r>
                </w:p>
              </w:tc>
              <w:tc>
                <w:tcPr>
                  <w:tcW w:w="2091" w:type="pct"/>
                  <w:vMerge w:val="continue"/>
                  <w:noWrap w:val="0"/>
                  <w:vAlign w:val="center"/>
                </w:tcPr>
                <w:p w14:paraId="3FC893A5">
                  <w:pPr>
                    <w:widowControl/>
                    <w:spacing w:line="340" w:lineRule="exact"/>
                    <w:jc w:val="center"/>
                    <w:rPr>
                      <w:rFonts w:hint="default" w:ascii="Times New Roman" w:hAnsi="Times New Roman" w:eastAsia="宋体" w:cs="Times New Roman"/>
                      <w:color w:val="auto"/>
                      <w:kern w:val="18"/>
                      <w:sz w:val="21"/>
                      <w:szCs w:val="21"/>
                      <w:highlight w:val="none"/>
                    </w:rPr>
                  </w:pPr>
                </w:p>
              </w:tc>
            </w:tr>
            <w:tr w14:paraId="1E1B7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640F97B6">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ascii="Times New Roman" w:hAnsi="Times New Roman" w:eastAsia="宋体" w:cs="Times New Roman"/>
                      <w:color w:val="auto"/>
                      <w:kern w:val="18"/>
                      <w:sz w:val="21"/>
                      <w:szCs w:val="21"/>
                      <w:highlight w:val="none"/>
                      <w:lang w:val="en-US" w:eastAsia="zh-CN"/>
                    </w:rPr>
                    <w:t>嗅</w:t>
                  </w:r>
                </w:p>
              </w:tc>
              <w:tc>
                <w:tcPr>
                  <w:tcW w:w="1778" w:type="pct"/>
                  <w:noWrap w:val="0"/>
                  <w:vAlign w:val="center"/>
                </w:tcPr>
                <w:p w14:paraId="7B645659">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ascii="Times New Roman" w:hAnsi="Times New Roman" w:eastAsia="宋体" w:cs="Times New Roman"/>
                      <w:color w:val="auto"/>
                      <w:kern w:val="18"/>
                      <w:sz w:val="21"/>
                      <w:szCs w:val="21"/>
                      <w:highlight w:val="none"/>
                      <w:lang w:val="en-US" w:eastAsia="zh-CN"/>
                    </w:rPr>
                    <w:t>无不快感</w:t>
                  </w:r>
                </w:p>
              </w:tc>
              <w:tc>
                <w:tcPr>
                  <w:tcW w:w="2091" w:type="pct"/>
                  <w:vMerge w:val="continue"/>
                  <w:noWrap w:val="0"/>
                  <w:vAlign w:val="center"/>
                </w:tcPr>
                <w:p w14:paraId="6351EF1C">
                  <w:pPr>
                    <w:widowControl/>
                    <w:spacing w:line="340" w:lineRule="exact"/>
                    <w:jc w:val="center"/>
                    <w:rPr>
                      <w:rFonts w:hint="default" w:ascii="Times New Roman" w:hAnsi="Times New Roman" w:eastAsia="宋体" w:cs="Times New Roman"/>
                      <w:color w:val="auto"/>
                      <w:kern w:val="18"/>
                      <w:sz w:val="21"/>
                      <w:szCs w:val="21"/>
                      <w:highlight w:val="none"/>
                    </w:rPr>
                  </w:pPr>
                </w:p>
              </w:tc>
            </w:tr>
            <w:tr w14:paraId="07E58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7B7296C4">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ascii="Times New Roman" w:hAnsi="Times New Roman" w:eastAsia="宋体" w:cs="Times New Roman"/>
                      <w:color w:val="auto"/>
                      <w:kern w:val="18"/>
                      <w:sz w:val="21"/>
                      <w:szCs w:val="21"/>
                      <w:highlight w:val="none"/>
                      <w:lang w:val="en-US" w:eastAsia="zh-CN"/>
                    </w:rPr>
                    <w:t>浊度</w:t>
                  </w:r>
                </w:p>
              </w:tc>
              <w:tc>
                <w:tcPr>
                  <w:tcW w:w="1778" w:type="pct"/>
                  <w:noWrap w:val="0"/>
                  <w:vAlign w:val="center"/>
                </w:tcPr>
                <w:p w14:paraId="3BCCBA04">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ascii="Times New Roman" w:hAnsi="Times New Roman" w:eastAsia="宋体" w:cs="Times New Roman"/>
                      <w:color w:val="auto"/>
                      <w:kern w:val="18"/>
                      <w:sz w:val="21"/>
                      <w:szCs w:val="21"/>
                      <w:highlight w:val="none"/>
                      <w:lang w:val="en-US" w:eastAsia="zh-CN"/>
                    </w:rPr>
                    <w:t>10 NTU</w:t>
                  </w:r>
                </w:p>
              </w:tc>
              <w:tc>
                <w:tcPr>
                  <w:tcW w:w="2091" w:type="pct"/>
                  <w:vMerge w:val="continue"/>
                  <w:noWrap w:val="0"/>
                  <w:vAlign w:val="center"/>
                </w:tcPr>
                <w:p w14:paraId="47AE5B37">
                  <w:pPr>
                    <w:widowControl/>
                    <w:spacing w:line="340" w:lineRule="exact"/>
                    <w:jc w:val="center"/>
                    <w:rPr>
                      <w:rFonts w:hint="default" w:ascii="Times New Roman" w:hAnsi="Times New Roman" w:eastAsia="宋体" w:cs="Times New Roman"/>
                      <w:color w:val="auto"/>
                      <w:kern w:val="18"/>
                      <w:sz w:val="21"/>
                      <w:szCs w:val="21"/>
                      <w:highlight w:val="none"/>
                    </w:rPr>
                  </w:pPr>
                </w:p>
              </w:tc>
            </w:tr>
            <w:tr w14:paraId="704A5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66B0F07E">
                  <w:pPr>
                    <w:spacing w:line="340" w:lineRule="exact"/>
                    <w:jc w:val="center"/>
                    <w:rPr>
                      <w:rFonts w:hint="eastAsia" w:ascii="Times New Roman" w:hAnsi="Times New Roman" w:eastAsia="宋体" w:cs="Times New Roman"/>
                      <w:color w:val="auto"/>
                      <w:kern w:val="18"/>
                      <w:sz w:val="21"/>
                      <w:szCs w:val="21"/>
                      <w:highlight w:val="none"/>
                      <w:lang w:eastAsia="zh-CN"/>
                    </w:rPr>
                  </w:pPr>
                  <w:r>
                    <w:rPr>
                      <w:rFonts w:hint="eastAsia" w:ascii="Times New Roman" w:hAnsi="Times New Roman" w:eastAsia="宋体" w:cs="Times New Roman"/>
                      <w:color w:val="auto"/>
                      <w:kern w:val="18"/>
                      <w:sz w:val="21"/>
                      <w:szCs w:val="21"/>
                      <w:highlight w:val="none"/>
                      <w:lang w:val="en-US" w:eastAsia="zh-CN"/>
                    </w:rPr>
                    <w:t>氨氮</w:t>
                  </w:r>
                </w:p>
              </w:tc>
              <w:tc>
                <w:tcPr>
                  <w:tcW w:w="1778" w:type="pct"/>
                  <w:noWrap w:val="0"/>
                  <w:vAlign w:val="center"/>
                </w:tcPr>
                <w:p w14:paraId="65B60186">
                  <w:pPr>
                    <w:spacing w:line="340" w:lineRule="exact"/>
                    <w:jc w:val="center"/>
                    <w:rPr>
                      <w:rFonts w:hint="default" w:ascii="Times New Roman" w:hAnsi="Times New Roman" w:eastAsia="宋体" w:cs="Times New Roman"/>
                      <w:color w:val="auto"/>
                      <w:kern w:val="18"/>
                      <w:sz w:val="21"/>
                      <w:szCs w:val="21"/>
                      <w:highlight w:val="none"/>
                    </w:rPr>
                  </w:pPr>
                  <w:r>
                    <w:rPr>
                      <w:rFonts w:hint="eastAsia" w:ascii="Times New Roman" w:hAnsi="Times New Roman" w:eastAsia="宋体" w:cs="Times New Roman"/>
                      <w:color w:val="auto"/>
                      <w:kern w:val="18"/>
                      <w:sz w:val="21"/>
                      <w:szCs w:val="21"/>
                      <w:highlight w:val="none"/>
                      <w:lang w:val="en-US" w:eastAsia="zh-CN"/>
                    </w:rPr>
                    <w:t>8</w:t>
                  </w:r>
                  <w:r>
                    <w:rPr>
                      <w:rFonts w:hint="default" w:ascii="Times New Roman" w:hAnsi="Times New Roman" w:eastAsia="宋体" w:cs="Times New Roman"/>
                      <w:color w:val="auto"/>
                      <w:kern w:val="18"/>
                      <w:sz w:val="21"/>
                      <w:szCs w:val="21"/>
                      <w:highlight w:val="none"/>
                    </w:rPr>
                    <w:t>mg/L</w:t>
                  </w:r>
                </w:p>
              </w:tc>
              <w:tc>
                <w:tcPr>
                  <w:tcW w:w="2091" w:type="pct"/>
                  <w:vMerge w:val="continue"/>
                  <w:noWrap w:val="0"/>
                  <w:vAlign w:val="center"/>
                </w:tcPr>
                <w:p w14:paraId="7949ECA1">
                  <w:pPr>
                    <w:widowControl/>
                    <w:spacing w:line="340" w:lineRule="exact"/>
                    <w:jc w:val="left"/>
                    <w:rPr>
                      <w:rFonts w:hint="default" w:ascii="Times New Roman" w:hAnsi="Times New Roman" w:eastAsia="宋体" w:cs="Times New Roman"/>
                      <w:color w:val="auto"/>
                      <w:kern w:val="18"/>
                      <w:sz w:val="21"/>
                      <w:szCs w:val="21"/>
                      <w:highlight w:val="none"/>
                    </w:rPr>
                  </w:pPr>
                </w:p>
              </w:tc>
            </w:tr>
            <w:tr w14:paraId="78F07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65F35549">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ascii="Times New Roman" w:hAnsi="Times New Roman" w:eastAsia="宋体" w:cs="Times New Roman"/>
                      <w:color w:val="auto"/>
                      <w:kern w:val="18"/>
                      <w:sz w:val="21"/>
                      <w:szCs w:val="21"/>
                      <w:highlight w:val="none"/>
                      <w:lang w:val="en-US" w:eastAsia="zh-CN"/>
                    </w:rPr>
                    <w:t>LAS</w:t>
                  </w:r>
                </w:p>
              </w:tc>
              <w:tc>
                <w:tcPr>
                  <w:tcW w:w="1778" w:type="pct"/>
                  <w:noWrap w:val="0"/>
                  <w:vAlign w:val="center"/>
                </w:tcPr>
                <w:p w14:paraId="0C4D6E6A">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ascii="Times New Roman" w:hAnsi="Times New Roman" w:eastAsia="宋体" w:cs="Times New Roman"/>
                      <w:color w:val="auto"/>
                      <w:kern w:val="18"/>
                      <w:sz w:val="21"/>
                      <w:szCs w:val="21"/>
                      <w:highlight w:val="none"/>
                      <w:lang w:val="en-US" w:eastAsia="zh-CN"/>
                    </w:rPr>
                    <w:t>0.5</w:t>
                  </w:r>
                  <w:r>
                    <w:rPr>
                      <w:rFonts w:hint="default" w:ascii="Times New Roman" w:hAnsi="Times New Roman" w:eastAsia="宋体" w:cs="Times New Roman"/>
                      <w:color w:val="auto"/>
                      <w:kern w:val="18"/>
                      <w:sz w:val="21"/>
                      <w:szCs w:val="21"/>
                      <w:highlight w:val="none"/>
                    </w:rPr>
                    <w:t>mg/L</w:t>
                  </w:r>
                </w:p>
              </w:tc>
              <w:tc>
                <w:tcPr>
                  <w:tcW w:w="2091" w:type="pct"/>
                  <w:vMerge w:val="continue"/>
                  <w:noWrap w:val="0"/>
                  <w:vAlign w:val="center"/>
                </w:tcPr>
                <w:p w14:paraId="208F6CB5">
                  <w:pPr>
                    <w:widowControl/>
                    <w:spacing w:line="340" w:lineRule="exact"/>
                    <w:jc w:val="left"/>
                    <w:rPr>
                      <w:rFonts w:hint="default" w:ascii="Times New Roman" w:hAnsi="Times New Roman" w:eastAsia="宋体" w:cs="Times New Roman"/>
                      <w:color w:val="auto"/>
                      <w:kern w:val="18"/>
                      <w:sz w:val="21"/>
                      <w:szCs w:val="21"/>
                      <w:highlight w:val="none"/>
                    </w:rPr>
                  </w:pPr>
                </w:p>
              </w:tc>
            </w:tr>
          </w:tbl>
          <w:p w14:paraId="10F010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auto"/>
                <w:sz w:val="24"/>
                <w:szCs w:val="24"/>
                <w:highlight w:val="none"/>
              </w:rPr>
            </w:pPr>
          </w:p>
          <w:p w14:paraId="360E36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auto"/>
                <w:sz w:val="24"/>
                <w:szCs w:val="24"/>
                <w:highlight w:val="none"/>
                <w:lang w:eastAsia="zh-CN"/>
              </w:rPr>
            </w:pPr>
            <w:r>
              <w:rPr>
                <w:rFonts w:hint="default" w:ascii="Times New Roman" w:hAnsi="Times New Roman" w:eastAsia="黑体" w:cs="Times New Roman"/>
                <w:color w:val="auto"/>
                <w:sz w:val="24"/>
                <w:szCs w:val="24"/>
                <w:highlight w:val="none"/>
              </w:rPr>
              <w:t>表</w:t>
            </w:r>
            <w:r>
              <w:rPr>
                <w:rFonts w:hint="default" w:ascii="Times New Roman" w:hAnsi="Times New Roman" w:eastAsia="黑体" w:cs="Times New Roman"/>
                <w:color w:val="auto"/>
                <w:sz w:val="24"/>
                <w:szCs w:val="24"/>
                <w:highlight w:val="none"/>
                <w:lang w:val="en-US" w:eastAsia="zh-CN"/>
              </w:rPr>
              <w:t>3.</w:t>
            </w:r>
            <w:r>
              <w:rPr>
                <w:rFonts w:hint="eastAsia" w:ascii="Times New Roman" w:hAnsi="Times New Roman" w:eastAsia="黑体" w:cs="Times New Roman"/>
                <w:color w:val="auto"/>
                <w:sz w:val="24"/>
                <w:szCs w:val="24"/>
                <w:highlight w:val="none"/>
                <w:lang w:val="en-US" w:eastAsia="zh-CN"/>
              </w:rPr>
              <w:t>7</w:t>
            </w:r>
            <w:r>
              <w:rPr>
                <w:rFonts w:hint="default" w:ascii="Times New Roman" w:hAnsi="Times New Roman" w:eastAsia="黑体" w:cs="Times New Roman"/>
                <w:color w:val="auto"/>
                <w:sz w:val="24"/>
                <w:szCs w:val="24"/>
                <w:highlight w:val="none"/>
                <w:lang w:val="en-US" w:eastAsia="zh-CN"/>
              </w:rPr>
              <w:t>-</w:t>
            </w:r>
            <w:r>
              <w:rPr>
                <w:rFonts w:hint="eastAsia"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 xml:space="preserve">  项目</w:t>
            </w:r>
            <w:r>
              <w:rPr>
                <w:rFonts w:hint="eastAsia" w:ascii="Times New Roman" w:hAnsi="Times New Roman" w:eastAsia="黑体" w:cs="Times New Roman"/>
                <w:color w:val="auto"/>
                <w:sz w:val="24"/>
                <w:szCs w:val="24"/>
                <w:highlight w:val="none"/>
                <w:lang w:val="en-US" w:eastAsia="zh-CN"/>
              </w:rPr>
              <w:t>生活污水</w:t>
            </w:r>
            <w:r>
              <w:rPr>
                <w:rFonts w:hint="default" w:ascii="Times New Roman" w:hAnsi="Times New Roman" w:eastAsia="黑体" w:cs="Times New Roman"/>
                <w:color w:val="auto"/>
                <w:sz w:val="24"/>
                <w:szCs w:val="24"/>
                <w:highlight w:val="none"/>
              </w:rPr>
              <w:t>排放标准</w:t>
            </w:r>
            <w:r>
              <w:rPr>
                <w:rFonts w:hint="default" w:ascii="Times New Roman" w:hAnsi="Times New Roman" w:eastAsia="黑体" w:cs="Times New Roman"/>
                <w:color w:val="auto"/>
                <w:sz w:val="24"/>
                <w:szCs w:val="24"/>
                <w:highlight w:val="none"/>
                <w:lang w:eastAsia="zh-CN"/>
              </w:rPr>
              <w:t>限值一览表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988"/>
              <w:gridCol w:w="4275"/>
            </w:tblGrid>
            <w:tr w14:paraId="1A1E6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4989604E">
                  <w:pPr>
                    <w:spacing w:line="340" w:lineRule="exact"/>
                    <w:jc w:val="center"/>
                    <w:rPr>
                      <w:rFonts w:hint="default" w:ascii="Times New Roman" w:hAnsi="Times New Roman" w:eastAsia="宋体" w:cs="Times New Roman"/>
                      <w:color w:val="auto"/>
                      <w:kern w:val="18"/>
                      <w:sz w:val="21"/>
                      <w:szCs w:val="21"/>
                      <w:highlight w:val="none"/>
                    </w:rPr>
                  </w:pPr>
                  <w:bookmarkStart w:id="17" w:name="_Toc492278611"/>
                  <w:bookmarkStart w:id="18" w:name="_Toc461002554"/>
                  <w:bookmarkStart w:id="19" w:name="_Toc7698"/>
                  <w:bookmarkStart w:id="20" w:name="_Toc490031198"/>
                  <w:r>
                    <w:rPr>
                      <w:rFonts w:hint="default" w:ascii="Times New Roman" w:hAnsi="Times New Roman" w:eastAsia="宋体" w:cs="Times New Roman"/>
                      <w:color w:val="auto"/>
                      <w:kern w:val="18"/>
                      <w:sz w:val="21"/>
                      <w:szCs w:val="21"/>
                      <w:highlight w:val="none"/>
                    </w:rPr>
                    <w:t>污染物名称</w:t>
                  </w:r>
                </w:p>
              </w:tc>
              <w:tc>
                <w:tcPr>
                  <w:tcW w:w="1228" w:type="pct"/>
                  <w:noWrap w:val="0"/>
                  <w:vAlign w:val="center"/>
                </w:tcPr>
                <w:p w14:paraId="2459FCFB">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三级标准值</w:t>
                  </w:r>
                </w:p>
              </w:tc>
              <w:tc>
                <w:tcPr>
                  <w:tcW w:w="2641" w:type="pct"/>
                  <w:noWrap w:val="0"/>
                  <w:vAlign w:val="center"/>
                </w:tcPr>
                <w:p w14:paraId="7D371FC6">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标准来源</w:t>
                  </w:r>
                </w:p>
              </w:tc>
            </w:tr>
            <w:tr w14:paraId="09561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6A76EA33">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pH</w:t>
                  </w:r>
                </w:p>
              </w:tc>
              <w:tc>
                <w:tcPr>
                  <w:tcW w:w="1228" w:type="pct"/>
                  <w:noWrap w:val="0"/>
                  <w:vAlign w:val="center"/>
                </w:tcPr>
                <w:p w14:paraId="790591EC">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rPr>
                    <w:t>6～9</w:t>
                  </w:r>
                  <w:r>
                    <w:rPr>
                      <w:rFonts w:hint="default" w:ascii="Times New Roman" w:hAnsi="Times New Roman" w:cs="Times New Roman"/>
                      <w:color w:val="auto"/>
                      <w:kern w:val="18"/>
                      <w:sz w:val="21"/>
                      <w:szCs w:val="21"/>
                      <w:highlight w:val="none"/>
                      <w:lang w:val="en-US" w:eastAsia="zh-CN"/>
                    </w:rPr>
                    <w:t>(</w:t>
                  </w:r>
                  <w:r>
                    <w:rPr>
                      <w:rFonts w:hint="default" w:ascii="Times New Roman" w:hAnsi="Times New Roman" w:eastAsia="宋体" w:cs="Times New Roman"/>
                      <w:color w:val="auto"/>
                      <w:sz w:val="21"/>
                      <w:szCs w:val="21"/>
                      <w:highlight w:val="none"/>
                    </w:rPr>
                    <w:t>无量纲</w:t>
                  </w:r>
                  <w:r>
                    <w:rPr>
                      <w:rFonts w:hint="default" w:ascii="Times New Roman" w:hAnsi="Times New Roman" w:cs="Times New Roman"/>
                      <w:color w:val="auto"/>
                      <w:sz w:val="21"/>
                      <w:szCs w:val="21"/>
                      <w:highlight w:val="none"/>
                      <w:lang w:val="en-US" w:eastAsia="zh-CN"/>
                    </w:rPr>
                    <w:t>)</w:t>
                  </w:r>
                </w:p>
              </w:tc>
              <w:tc>
                <w:tcPr>
                  <w:tcW w:w="2641" w:type="pct"/>
                  <w:vMerge w:val="restart"/>
                  <w:noWrap w:val="0"/>
                  <w:vAlign w:val="center"/>
                </w:tcPr>
                <w:p w14:paraId="7B02D350">
                  <w:pPr>
                    <w:widowControl/>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《污水综合排放标准》</w:t>
                  </w:r>
                </w:p>
                <w:p w14:paraId="344E941A">
                  <w:pPr>
                    <w:widowControl/>
                    <w:spacing w:line="340" w:lineRule="exact"/>
                    <w:jc w:val="center"/>
                    <w:rPr>
                      <w:rFonts w:hint="default" w:ascii="Times New Roman" w:hAnsi="Times New Roman" w:eastAsia="宋体" w:cs="Times New Roman"/>
                      <w:color w:val="auto"/>
                      <w:kern w:val="18"/>
                      <w:sz w:val="21"/>
                      <w:szCs w:val="21"/>
                      <w:highlight w:val="none"/>
                      <w:lang w:eastAsia="zh-CN"/>
                    </w:rPr>
                  </w:pPr>
                  <w:r>
                    <w:rPr>
                      <w:rFonts w:hint="default" w:ascii="Times New Roman" w:hAnsi="Times New Roman" w:eastAsia="宋体" w:cs="Times New Roman"/>
                      <w:color w:val="auto"/>
                      <w:kern w:val="18"/>
                      <w:sz w:val="21"/>
                      <w:szCs w:val="21"/>
                      <w:highlight w:val="none"/>
                    </w:rPr>
                    <w:t>(GB8978-1996)中表4</w:t>
                  </w:r>
                </w:p>
              </w:tc>
            </w:tr>
            <w:tr w14:paraId="7B2A8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4B95B3B8">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COD</w:t>
                  </w:r>
                </w:p>
              </w:tc>
              <w:tc>
                <w:tcPr>
                  <w:tcW w:w="1228" w:type="pct"/>
                  <w:noWrap w:val="0"/>
                  <w:vAlign w:val="center"/>
                </w:tcPr>
                <w:p w14:paraId="3C336198">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500mg/L</w:t>
                  </w:r>
                </w:p>
              </w:tc>
              <w:tc>
                <w:tcPr>
                  <w:tcW w:w="2641" w:type="pct"/>
                  <w:vMerge w:val="continue"/>
                  <w:noWrap w:val="0"/>
                  <w:vAlign w:val="center"/>
                </w:tcPr>
                <w:p w14:paraId="5D30E830">
                  <w:pPr>
                    <w:widowControl/>
                    <w:spacing w:line="340" w:lineRule="exact"/>
                    <w:jc w:val="left"/>
                    <w:rPr>
                      <w:rFonts w:hint="default" w:ascii="Times New Roman" w:hAnsi="Times New Roman" w:eastAsia="宋体" w:cs="Times New Roman"/>
                      <w:color w:val="auto"/>
                      <w:kern w:val="18"/>
                      <w:sz w:val="21"/>
                      <w:szCs w:val="21"/>
                      <w:highlight w:val="none"/>
                    </w:rPr>
                  </w:pPr>
                </w:p>
              </w:tc>
            </w:tr>
            <w:tr w14:paraId="654BD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3F58F386">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BOD</w:t>
                  </w:r>
                  <w:r>
                    <w:rPr>
                      <w:rFonts w:hint="default" w:ascii="Times New Roman" w:hAnsi="Times New Roman" w:eastAsia="宋体" w:cs="Times New Roman"/>
                      <w:color w:val="auto"/>
                      <w:kern w:val="18"/>
                      <w:sz w:val="21"/>
                      <w:szCs w:val="21"/>
                      <w:highlight w:val="none"/>
                      <w:vertAlign w:val="subscript"/>
                    </w:rPr>
                    <w:t>5</w:t>
                  </w:r>
                </w:p>
              </w:tc>
              <w:tc>
                <w:tcPr>
                  <w:tcW w:w="1228" w:type="pct"/>
                  <w:noWrap w:val="0"/>
                  <w:vAlign w:val="center"/>
                </w:tcPr>
                <w:p w14:paraId="3DA4D4CA">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300mg/L</w:t>
                  </w:r>
                </w:p>
              </w:tc>
              <w:tc>
                <w:tcPr>
                  <w:tcW w:w="2641" w:type="pct"/>
                  <w:vMerge w:val="continue"/>
                  <w:noWrap w:val="0"/>
                  <w:vAlign w:val="center"/>
                </w:tcPr>
                <w:p w14:paraId="2E24D708">
                  <w:pPr>
                    <w:widowControl/>
                    <w:spacing w:line="340" w:lineRule="exact"/>
                    <w:jc w:val="left"/>
                    <w:rPr>
                      <w:rFonts w:hint="default" w:ascii="Times New Roman" w:hAnsi="Times New Roman" w:eastAsia="宋体" w:cs="Times New Roman"/>
                      <w:color w:val="auto"/>
                      <w:kern w:val="18"/>
                      <w:sz w:val="21"/>
                      <w:szCs w:val="21"/>
                      <w:highlight w:val="none"/>
                    </w:rPr>
                  </w:pPr>
                </w:p>
              </w:tc>
            </w:tr>
            <w:tr w14:paraId="09DD5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6D65FD6D">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SS</w:t>
                  </w:r>
                </w:p>
              </w:tc>
              <w:tc>
                <w:tcPr>
                  <w:tcW w:w="1228" w:type="pct"/>
                  <w:noWrap w:val="0"/>
                  <w:vAlign w:val="center"/>
                </w:tcPr>
                <w:p w14:paraId="22C800D0">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400mg/L</w:t>
                  </w:r>
                </w:p>
              </w:tc>
              <w:tc>
                <w:tcPr>
                  <w:tcW w:w="2641" w:type="pct"/>
                  <w:vMerge w:val="continue"/>
                  <w:noWrap w:val="0"/>
                  <w:vAlign w:val="center"/>
                </w:tcPr>
                <w:p w14:paraId="5F1A0946">
                  <w:pPr>
                    <w:widowControl/>
                    <w:spacing w:line="340" w:lineRule="exact"/>
                    <w:jc w:val="left"/>
                    <w:rPr>
                      <w:rFonts w:hint="default" w:ascii="Times New Roman" w:hAnsi="Times New Roman" w:eastAsia="宋体" w:cs="Times New Roman"/>
                      <w:color w:val="auto"/>
                      <w:kern w:val="18"/>
                      <w:sz w:val="21"/>
                      <w:szCs w:val="21"/>
                      <w:highlight w:val="none"/>
                    </w:rPr>
                  </w:pPr>
                </w:p>
              </w:tc>
            </w:tr>
            <w:tr w14:paraId="75B31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4C5629F0">
                  <w:pPr>
                    <w:spacing w:line="340" w:lineRule="exact"/>
                    <w:jc w:val="center"/>
                    <w:rPr>
                      <w:rFonts w:hint="eastAsia" w:ascii="Times New Roman" w:hAnsi="Times New Roman" w:eastAsia="宋体" w:cs="Times New Roman"/>
                      <w:color w:val="auto"/>
                      <w:kern w:val="18"/>
                      <w:sz w:val="21"/>
                      <w:szCs w:val="21"/>
                      <w:highlight w:val="none"/>
                      <w:lang w:eastAsia="zh-CN"/>
                    </w:rPr>
                  </w:pPr>
                  <w:r>
                    <w:rPr>
                      <w:rFonts w:hint="eastAsia" w:ascii="Times New Roman" w:hAnsi="Times New Roman" w:eastAsia="宋体" w:cs="Times New Roman"/>
                      <w:color w:val="auto"/>
                      <w:kern w:val="18"/>
                      <w:sz w:val="21"/>
                      <w:szCs w:val="21"/>
                      <w:highlight w:val="none"/>
                      <w:lang w:eastAsia="zh-CN"/>
                    </w:rPr>
                    <w:t>石油类</w:t>
                  </w:r>
                </w:p>
              </w:tc>
              <w:tc>
                <w:tcPr>
                  <w:tcW w:w="1228" w:type="pct"/>
                  <w:noWrap w:val="0"/>
                  <w:vAlign w:val="center"/>
                </w:tcPr>
                <w:p w14:paraId="0036F371">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ascii="Times New Roman" w:hAnsi="Times New Roman" w:eastAsia="宋体" w:cs="Times New Roman"/>
                      <w:color w:val="auto"/>
                      <w:kern w:val="18"/>
                      <w:sz w:val="21"/>
                      <w:szCs w:val="21"/>
                      <w:highlight w:val="none"/>
                      <w:lang w:val="en-US" w:eastAsia="zh-CN"/>
                    </w:rPr>
                    <w:t>5</w:t>
                  </w:r>
                  <w:r>
                    <w:rPr>
                      <w:rFonts w:hint="default" w:ascii="Times New Roman" w:hAnsi="Times New Roman" w:eastAsia="宋体" w:cs="Times New Roman"/>
                      <w:color w:val="auto"/>
                      <w:kern w:val="18"/>
                      <w:sz w:val="21"/>
                      <w:szCs w:val="21"/>
                      <w:highlight w:val="none"/>
                    </w:rPr>
                    <w:t>mg/L</w:t>
                  </w:r>
                </w:p>
              </w:tc>
              <w:tc>
                <w:tcPr>
                  <w:tcW w:w="2641" w:type="pct"/>
                  <w:vMerge w:val="continue"/>
                  <w:noWrap w:val="0"/>
                  <w:vAlign w:val="center"/>
                </w:tcPr>
                <w:p w14:paraId="116CE5E6">
                  <w:pPr>
                    <w:widowControl/>
                    <w:spacing w:line="340" w:lineRule="exact"/>
                    <w:jc w:val="left"/>
                    <w:rPr>
                      <w:rFonts w:hint="default" w:ascii="Times New Roman" w:hAnsi="Times New Roman" w:eastAsia="宋体" w:cs="Times New Roman"/>
                      <w:color w:val="auto"/>
                      <w:kern w:val="18"/>
                      <w:sz w:val="21"/>
                      <w:szCs w:val="21"/>
                      <w:highlight w:val="none"/>
                    </w:rPr>
                  </w:pPr>
                </w:p>
              </w:tc>
            </w:tr>
            <w:tr w14:paraId="256E6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pct"/>
                  <w:noWrap w:val="0"/>
                  <w:vAlign w:val="center"/>
                </w:tcPr>
                <w:p w14:paraId="1780761C">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p>
              </w:tc>
              <w:tc>
                <w:tcPr>
                  <w:tcW w:w="1228" w:type="pct"/>
                  <w:noWrap w:val="0"/>
                  <w:vAlign w:val="center"/>
                </w:tcPr>
                <w:p w14:paraId="41195491">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45mg/L</w:t>
                  </w:r>
                </w:p>
              </w:tc>
              <w:tc>
                <w:tcPr>
                  <w:tcW w:w="2641" w:type="pct"/>
                  <w:noWrap w:val="0"/>
                  <w:vAlign w:val="center"/>
                </w:tcPr>
                <w:p w14:paraId="50074F33">
                  <w:pPr>
                    <w:widowControl/>
                    <w:spacing w:line="340" w:lineRule="exact"/>
                    <w:jc w:val="center"/>
                    <w:rPr>
                      <w:rFonts w:hint="default" w:ascii="Times New Roman" w:hAnsi="Times New Roman" w:cs="Times New Roman"/>
                      <w:color w:val="auto"/>
                      <w:kern w:val="18"/>
                      <w:highlight w:val="none"/>
                    </w:rPr>
                  </w:pPr>
                  <w:r>
                    <w:rPr>
                      <w:rFonts w:hint="default" w:ascii="Times New Roman" w:hAnsi="Times New Roman" w:cs="Times New Roman"/>
                      <w:color w:val="auto"/>
                      <w:kern w:val="18"/>
                      <w:highlight w:val="none"/>
                    </w:rPr>
                    <w:t>《污水排入城镇下水道水质标准》</w:t>
                  </w:r>
                </w:p>
                <w:p w14:paraId="1882789E">
                  <w:pPr>
                    <w:widowControl/>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cs="Times New Roman"/>
                      <w:color w:val="auto"/>
                      <w:kern w:val="18"/>
                      <w:highlight w:val="none"/>
                      <w:lang w:val="en-US" w:eastAsia="zh-CN"/>
                    </w:rPr>
                    <w:t>(</w:t>
                  </w:r>
                  <w:r>
                    <w:rPr>
                      <w:rFonts w:hint="default" w:ascii="Times New Roman" w:hAnsi="Times New Roman" w:cs="Times New Roman"/>
                      <w:color w:val="auto"/>
                      <w:kern w:val="18"/>
                      <w:highlight w:val="none"/>
                    </w:rPr>
                    <w:t>GB/T 31962-2015</w:t>
                  </w:r>
                  <w:r>
                    <w:rPr>
                      <w:rFonts w:hint="default" w:ascii="Times New Roman" w:hAnsi="Times New Roman" w:cs="Times New Roman"/>
                      <w:color w:val="auto"/>
                      <w:kern w:val="18"/>
                      <w:highlight w:val="none"/>
                      <w:lang w:val="en-US" w:eastAsia="zh-CN"/>
                    </w:rPr>
                    <w:t>)</w:t>
                  </w:r>
                  <w:r>
                    <w:rPr>
                      <w:rFonts w:hint="default" w:ascii="Times New Roman" w:hAnsi="Times New Roman" w:cs="Times New Roman"/>
                      <w:color w:val="auto"/>
                      <w:kern w:val="18"/>
                      <w:highlight w:val="none"/>
                    </w:rPr>
                    <w:t>表1中</w:t>
                  </w:r>
                  <w:r>
                    <w:rPr>
                      <w:rFonts w:hint="default" w:ascii="Times New Roman" w:hAnsi="Times New Roman" w:cs="Times New Roman"/>
                      <w:color w:val="auto"/>
                      <w:kern w:val="18"/>
                      <w:highlight w:val="none"/>
                      <w:lang w:eastAsia="zh-CN"/>
                    </w:rPr>
                    <w:t>B级标准</w:t>
                  </w:r>
                </w:p>
              </w:tc>
            </w:tr>
            <w:bookmarkEnd w:id="17"/>
            <w:bookmarkEnd w:id="18"/>
            <w:bookmarkEnd w:id="19"/>
            <w:bookmarkEnd w:id="20"/>
          </w:tbl>
          <w:p w14:paraId="47BA7ECF">
            <w:pPr>
              <w:keepNext w:val="0"/>
              <w:keepLines w:val="0"/>
              <w:pageBreakBefore w:val="0"/>
              <w:widowControl w:val="0"/>
              <w:numPr>
                <w:ins w:id="0" w:author="Administrator" w:date=""/>
              </w:numPr>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color w:val="auto"/>
                <w:sz w:val="24"/>
              </w:rPr>
            </w:pPr>
            <w:r>
              <w:rPr>
                <w:rFonts w:ascii="Times New Roman" w:hAnsi="Times New Roman"/>
                <w:color w:val="auto"/>
                <w:sz w:val="24"/>
                <w:shd w:val="clear" w:color="auto" w:fill="FFFFFF"/>
              </w:rPr>
              <w:t>根据调查，</w:t>
            </w:r>
            <w:r>
              <w:rPr>
                <w:rFonts w:hint="eastAsia" w:ascii="Times New Roman" w:hAnsi="Times New Roman"/>
                <w:color w:val="auto"/>
                <w:sz w:val="24"/>
                <w:shd w:val="clear" w:color="auto" w:fill="FFFFFF"/>
                <w:lang w:eastAsia="zh-CN"/>
              </w:rPr>
              <w:t>福州市长乐区松下镇山前村污水处理站</w:t>
            </w:r>
            <w:r>
              <w:rPr>
                <w:rFonts w:hint="eastAsia" w:ascii="Times New Roman" w:hAnsi="Times New Roman"/>
                <w:color w:val="auto"/>
                <w:sz w:val="24"/>
                <w:lang w:val="en-US" w:eastAsia="zh-CN"/>
              </w:rPr>
              <w:t>尾水排放执行福建省</w:t>
            </w:r>
            <w:r>
              <w:rPr>
                <w:rFonts w:hint="eastAsia" w:ascii="Times New Roman" w:hAnsi="Times New Roman"/>
                <w:color w:val="auto"/>
                <w:sz w:val="24"/>
              </w:rPr>
              <w:t>《农村生活污水处理设施水污染物排放标准》</w:t>
            </w:r>
            <w:r>
              <w:rPr>
                <w:rFonts w:hint="default" w:ascii="Times New Roman" w:hAnsi="Times New Roman" w:eastAsia="宋体" w:cs="Times New Roman"/>
                <w:color w:val="auto"/>
                <w:kern w:val="18"/>
                <w:sz w:val="21"/>
                <w:szCs w:val="21"/>
                <w:highlight w:val="none"/>
              </w:rPr>
              <w:t>(</w:t>
            </w:r>
            <w:r>
              <w:rPr>
                <w:rFonts w:hint="eastAsia" w:ascii="Times New Roman" w:hAnsi="Times New Roman"/>
                <w:color w:val="auto"/>
                <w:sz w:val="24"/>
              </w:rPr>
              <w:t>DB35/ 1869-2019</w:t>
            </w:r>
            <w:r>
              <w:rPr>
                <w:rFonts w:hint="default" w:ascii="Times New Roman" w:hAnsi="Times New Roman" w:eastAsia="宋体" w:cs="Times New Roman"/>
                <w:color w:val="auto"/>
                <w:kern w:val="18"/>
                <w:sz w:val="21"/>
                <w:szCs w:val="21"/>
                <w:highlight w:val="none"/>
              </w:rPr>
              <w:t>)</w:t>
            </w:r>
            <w:r>
              <w:rPr>
                <w:rFonts w:ascii="Times New Roman" w:hAnsi="Times New Roman"/>
                <w:color w:val="auto"/>
                <w:sz w:val="24"/>
              </w:rPr>
              <w:t>的</w:t>
            </w:r>
            <w:r>
              <w:rPr>
                <w:rFonts w:hint="eastAsia" w:ascii="Times New Roman" w:hAnsi="Times New Roman"/>
                <w:color w:val="auto"/>
                <w:sz w:val="24"/>
                <w:lang w:eastAsia="zh-CN"/>
              </w:rPr>
              <w:t>二</w:t>
            </w:r>
            <w:r>
              <w:rPr>
                <w:rFonts w:ascii="Times New Roman" w:hAnsi="Times New Roman"/>
                <w:color w:val="auto"/>
                <w:sz w:val="24"/>
              </w:rPr>
              <w:t>级</w:t>
            </w:r>
            <w:r>
              <w:rPr>
                <w:rFonts w:hint="eastAsia" w:ascii="Times New Roman" w:hAnsi="Times New Roman"/>
                <w:color w:val="auto"/>
                <w:sz w:val="24"/>
                <w:lang w:val="en-US" w:eastAsia="zh-CN"/>
              </w:rPr>
              <w:t>A</w:t>
            </w:r>
            <w:r>
              <w:rPr>
                <w:rFonts w:ascii="Times New Roman" w:hAnsi="Times New Roman"/>
                <w:color w:val="auto"/>
                <w:sz w:val="24"/>
              </w:rPr>
              <w:t>标准，具体详见表3.</w:t>
            </w:r>
            <w:r>
              <w:rPr>
                <w:rFonts w:hint="eastAsia" w:ascii="Times New Roman" w:hAnsi="Times New Roman"/>
                <w:color w:val="auto"/>
                <w:sz w:val="24"/>
              </w:rPr>
              <w:t>7</w:t>
            </w:r>
            <w:r>
              <w:rPr>
                <w:rFonts w:ascii="Times New Roman" w:hAnsi="Times New Roman"/>
                <w:color w:val="auto"/>
                <w:sz w:val="24"/>
              </w:rPr>
              <w:t>-</w:t>
            </w:r>
            <w:r>
              <w:rPr>
                <w:rFonts w:hint="eastAsia" w:ascii="Times New Roman" w:hAnsi="Times New Roman"/>
                <w:color w:val="auto"/>
                <w:sz w:val="24"/>
                <w:lang w:val="en-US" w:eastAsia="zh-CN"/>
              </w:rPr>
              <w:t>3</w:t>
            </w:r>
            <w:r>
              <w:rPr>
                <w:rFonts w:ascii="Times New Roman" w:hAnsi="Times New Roman"/>
                <w:color w:val="auto"/>
                <w:sz w:val="24"/>
              </w:rPr>
              <w:t>。</w:t>
            </w:r>
          </w:p>
          <w:p w14:paraId="6C6AABC3">
            <w:pPr>
              <w:spacing w:before="120" w:beforeLines="50"/>
              <w:jc w:val="center"/>
              <w:rPr>
                <w:rFonts w:ascii="Times New Roman" w:hAnsi="Times New Roman" w:eastAsia="黑体"/>
                <w:color w:val="auto"/>
                <w:sz w:val="24"/>
              </w:rPr>
            </w:pPr>
            <w:r>
              <w:rPr>
                <w:rFonts w:ascii="Times New Roman" w:hAnsi="Times New Roman" w:eastAsia="黑体"/>
                <w:color w:val="auto"/>
                <w:sz w:val="24"/>
              </w:rPr>
              <w:t>表3.7-</w:t>
            </w:r>
            <w:r>
              <w:rPr>
                <w:rFonts w:hint="eastAsia" w:ascii="Times New Roman" w:hAnsi="Times New Roman" w:eastAsia="黑体"/>
                <w:color w:val="auto"/>
                <w:sz w:val="24"/>
                <w:lang w:val="en-US" w:eastAsia="zh-CN"/>
              </w:rPr>
              <w:t>3</w:t>
            </w:r>
            <w:r>
              <w:rPr>
                <w:rFonts w:ascii="Times New Roman" w:hAnsi="Times New Roman" w:eastAsia="黑体"/>
                <w:color w:val="auto"/>
                <w:sz w:val="24"/>
              </w:rPr>
              <w:t xml:space="preserve">  污水处理厂尾水排放标准一览表  </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306"/>
              <w:gridCol w:w="3090"/>
              <w:gridCol w:w="2735"/>
            </w:tblGrid>
            <w:tr w14:paraId="58B08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0"/>
                  <w:vAlign w:val="center"/>
                </w:tcPr>
                <w:p w14:paraId="596B35C9">
                  <w:pPr>
                    <w:spacing w:line="340" w:lineRule="exact"/>
                    <w:jc w:val="center"/>
                    <w:rPr>
                      <w:rFonts w:ascii="Times New Roman" w:hAnsi="Times New Roman"/>
                      <w:color w:val="auto"/>
                      <w:kern w:val="18"/>
                    </w:rPr>
                  </w:pPr>
                  <w:r>
                    <w:rPr>
                      <w:rFonts w:ascii="Times New Roman" w:hAnsi="Times New Roman"/>
                      <w:color w:val="auto"/>
                      <w:kern w:val="18"/>
                    </w:rPr>
                    <w:t>序号</w:t>
                  </w:r>
                </w:p>
              </w:tc>
              <w:tc>
                <w:tcPr>
                  <w:tcW w:w="807" w:type="pct"/>
                  <w:noWrap w:val="0"/>
                  <w:vAlign w:val="center"/>
                </w:tcPr>
                <w:p w14:paraId="568A1234">
                  <w:pPr>
                    <w:spacing w:line="340" w:lineRule="exact"/>
                    <w:jc w:val="center"/>
                    <w:rPr>
                      <w:rFonts w:ascii="Times New Roman" w:hAnsi="Times New Roman"/>
                      <w:color w:val="auto"/>
                      <w:kern w:val="18"/>
                    </w:rPr>
                  </w:pPr>
                  <w:r>
                    <w:rPr>
                      <w:rFonts w:ascii="Times New Roman" w:hAnsi="Times New Roman"/>
                      <w:color w:val="auto"/>
                      <w:kern w:val="18"/>
                    </w:rPr>
                    <w:t>污染物名称</w:t>
                  </w:r>
                </w:p>
              </w:tc>
              <w:tc>
                <w:tcPr>
                  <w:tcW w:w="1909" w:type="pct"/>
                  <w:noWrap w:val="0"/>
                  <w:vAlign w:val="center"/>
                </w:tcPr>
                <w:p w14:paraId="5AFD9D79">
                  <w:pPr>
                    <w:spacing w:line="340" w:lineRule="exact"/>
                    <w:jc w:val="center"/>
                    <w:rPr>
                      <w:rFonts w:ascii="Times New Roman" w:hAnsi="Times New Roman"/>
                      <w:color w:val="auto"/>
                      <w:kern w:val="18"/>
                    </w:rPr>
                  </w:pPr>
                  <w:r>
                    <w:rPr>
                      <w:rFonts w:hint="eastAsia" w:ascii="Times New Roman" w:hAnsi="Times New Roman"/>
                      <w:color w:val="auto"/>
                      <w:lang w:eastAsia="zh-CN"/>
                    </w:rPr>
                    <w:t>二</w:t>
                  </w:r>
                  <w:r>
                    <w:rPr>
                      <w:rFonts w:hint="eastAsia" w:ascii="Times New Roman" w:hAnsi="Times New Roman"/>
                      <w:color w:val="auto"/>
                    </w:rPr>
                    <w:t>级标准</w:t>
                  </w:r>
                  <w:r>
                    <w:rPr>
                      <w:rFonts w:hint="eastAsia" w:ascii="Times New Roman" w:hAnsi="Times New Roman"/>
                      <w:color w:val="auto"/>
                      <w:lang w:val="en-US" w:eastAsia="zh-CN"/>
                    </w:rPr>
                    <w:t>A</w:t>
                  </w:r>
                  <w:r>
                    <w:rPr>
                      <w:rFonts w:hint="eastAsia" w:ascii="Times New Roman" w:hAnsi="Times New Roman"/>
                      <w:color w:val="auto"/>
                    </w:rPr>
                    <w:t>标准</w:t>
                  </w:r>
                  <w:r>
                    <w:rPr>
                      <w:rFonts w:ascii="Times New Roman" w:hAnsi="Times New Roman"/>
                      <w:color w:val="auto"/>
                    </w:rPr>
                    <w:t>限值</w:t>
                  </w:r>
                </w:p>
              </w:tc>
              <w:tc>
                <w:tcPr>
                  <w:tcW w:w="1690" w:type="pct"/>
                  <w:noWrap w:val="0"/>
                  <w:vAlign w:val="center"/>
                </w:tcPr>
                <w:p w14:paraId="0629062E">
                  <w:pPr>
                    <w:spacing w:line="340" w:lineRule="exact"/>
                    <w:jc w:val="center"/>
                    <w:rPr>
                      <w:rFonts w:ascii="Times New Roman" w:hAnsi="Times New Roman"/>
                      <w:color w:val="auto"/>
                      <w:kern w:val="18"/>
                    </w:rPr>
                  </w:pPr>
                  <w:r>
                    <w:rPr>
                      <w:rFonts w:ascii="Times New Roman" w:hAnsi="Times New Roman"/>
                      <w:color w:val="auto"/>
                      <w:kern w:val="18"/>
                    </w:rPr>
                    <w:t>标准来源</w:t>
                  </w:r>
                </w:p>
              </w:tc>
            </w:tr>
            <w:tr w14:paraId="12EAF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0"/>
                  <w:vAlign w:val="center"/>
                </w:tcPr>
                <w:p w14:paraId="6C285171">
                  <w:pPr>
                    <w:spacing w:line="340" w:lineRule="exact"/>
                    <w:jc w:val="center"/>
                    <w:rPr>
                      <w:rFonts w:ascii="Times New Roman" w:hAnsi="Times New Roman"/>
                      <w:color w:val="auto"/>
                      <w:kern w:val="18"/>
                    </w:rPr>
                  </w:pPr>
                  <w:r>
                    <w:rPr>
                      <w:rFonts w:ascii="Times New Roman" w:hAnsi="Times New Roman"/>
                      <w:color w:val="auto"/>
                      <w:kern w:val="18"/>
                    </w:rPr>
                    <w:t>1</w:t>
                  </w:r>
                </w:p>
              </w:tc>
              <w:tc>
                <w:tcPr>
                  <w:tcW w:w="807" w:type="pct"/>
                  <w:noWrap w:val="0"/>
                  <w:vAlign w:val="center"/>
                </w:tcPr>
                <w:p w14:paraId="3B0A97C7">
                  <w:pPr>
                    <w:spacing w:line="340" w:lineRule="exact"/>
                    <w:jc w:val="center"/>
                    <w:rPr>
                      <w:rFonts w:ascii="Times New Roman" w:hAnsi="Times New Roman"/>
                      <w:color w:val="auto"/>
                      <w:kern w:val="18"/>
                    </w:rPr>
                  </w:pPr>
                  <w:r>
                    <w:rPr>
                      <w:rFonts w:ascii="Times New Roman" w:hAnsi="Times New Roman"/>
                      <w:color w:val="auto"/>
                      <w:kern w:val="18"/>
                    </w:rPr>
                    <w:t>pH</w:t>
                  </w:r>
                </w:p>
              </w:tc>
              <w:tc>
                <w:tcPr>
                  <w:tcW w:w="1909" w:type="pct"/>
                  <w:noWrap w:val="0"/>
                  <w:vAlign w:val="center"/>
                </w:tcPr>
                <w:p w14:paraId="5286C40D">
                  <w:pPr>
                    <w:spacing w:line="340" w:lineRule="exact"/>
                    <w:jc w:val="center"/>
                    <w:rPr>
                      <w:rFonts w:ascii="Times New Roman" w:hAnsi="Times New Roman"/>
                      <w:color w:val="auto"/>
                      <w:kern w:val="18"/>
                    </w:rPr>
                  </w:pPr>
                  <w:r>
                    <w:rPr>
                      <w:rFonts w:ascii="Times New Roman" w:hAnsi="Times New Roman"/>
                      <w:color w:val="auto"/>
                      <w:kern w:val="18"/>
                    </w:rPr>
                    <w:t xml:space="preserve">6～9 </w:t>
                  </w:r>
                  <w:r>
                    <w:rPr>
                      <w:rFonts w:ascii="Times New Roman" w:hAnsi="Times New Roman"/>
                      <w:color w:val="auto"/>
                      <w:kern w:val="18"/>
                      <w:szCs w:val="21"/>
                    </w:rPr>
                    <w:t>(</w:t>
                  </w:r>
                  <w:r>
                    <w:rPr>
                      <w:rFonts w:ascii="Times New Roman" w:hAnsi="Times New Roman"/>
                      <w:color w:val="auto"/>
                      <w:szCs w:val="21"/>
                    </w:rPr>
                    <w:t>无量纲)</w:t>
                  </w:r>
                </w:p>
              </w:tc>
              <w:tc>
                <w:tcPr>
                  <w:tcW w:w="1690" w:type="pct"/>
                  <w:vMerge w:val="restart"/>
                  <w:noWrap w:val="0"/>
                  <w:vAlign w:val="center"/>
                </w:tcPr>
                <w:p w14:paraId="7D59423F">
                  <w:pPr>
                    <w:widowControl/>
                    <w:spacing w:line="340" w:lineRule="exact"/>
                    <w:jc w:val="center"/>
                    <w:rPr>
                      <w:rFonts w:ascii="Times New Roman" w:hAnsi="Times New Roman"/>
                      <w:color w:val="auto"/>
                    </w:rPr>
                  </w:pPr>
                  <w:r>
                    <w:rPr>
                      <w:rFonts w:ascii="Times New Roman" w:hAnsi="Times New Roman"/>
                      <w:color w:val="auto"/>
                    </w:rPr>
                    <w:t>《</w:t>
                  </w:r>
                  <w:r>
                    <w:rPr>
                      <w:rFonts w:hint="eastAsia" w:ascii="Times New Roman" w:hAnsi="Times New Roman" w:eastAsia="宋体" w:cs="Times New Roman"/>
                      <w:color w:val="auto"/>
                    </w:rPr>
                    <w:t>农村生活污水处理设施水污染物排放标准</w:t>
                  </w:r>
                  <w:r>
                    <w:rPr>
                      <w:rFonts w:ascii="Times New Roman" w:hAnsi="Times New Roman"/>
                      <w:color w:val="auto"/>
                    </w:rPr>
                    <w:t>》</w:t>
                  </w:r>
                  <w:r>
                    <w:rPr>
                      <w:rFonts w:hint="eastAsia" w:ascii="Times New Roman" w:hAnsi="Times New Roman" w:eastAsia="宋体" w:cs="Times New Roman"/>
                      <w:color w:val="auto"/>
                    </w:rPr>
                    <w:t>(DB35/ 1869-2019)的</w:t>
                  </w:r>
                  <w:r>
                    <w:rPr>
                      <w:rFonts w:hint="eastAsia" w:ascii="Times New Roman" w:hAnsi="Times New Roman" w:eastAsia="宋体" w:cs="Times New Roman"/>
                      <w:color w:val="auto"/>
                      <w:lang w:eastAsia="zh-CN"/>
                    </w:rPr>
                    <w:t>二</w:t>
                  </w:r>
                  <w:r>
                    <w:rPr>
                      <w:rFonts w:hint="eastAsia" w:ascii="Times New Roman" w:hAnsi="Times New Roman" w:eastAsia="宋体" w:cs="Times New Roman"/>
                      <w:color w:val="auto"/>
                    </w:rPr>
                    <w:t>级</w:t>
                  </w:r>
                  <w:r>
                    <w:rPr>
                      <w:rFonts w:hint="eastAsia" w:ascii="Times New Roman" w:hAnsi="Times New Roman" w:eastAsia="宋体" w:cs="Times New Roman"/>
                      <w:color w:val="auto"/>
                      <w:lang w:val="en-US" w:eastAsia="zh-CN"/>
                    </w:rPr>
                    <w:t>A</w:t>
                  </w:r>
                  <w:r>
                    <w:rPr>
                      <w:rFonts w:hint="eastAsia" w:ascii="Times New Roman" w:hAnsi="Times New Roman" w:eastAsia="宋体" w:cs="Times New Roman"/>
                      <w:color w:val="auto"/>
                    </w:rPr>
                    <w:t>标</w:t>
                  </w:r>
                  <w:r>
                    <w:rPr>
                      <w:rFonts w:ascii="Times New Roman" w:hAnsi="Times New Roman"/>
                      <w:color w:val="auto"/>
                      <w:sz w:val="24"/>
                    </w:rPr>
                    <w:t>准</w:t>
                  </w:r>
                </w:p>
              </w:tc>
            </w:tr>
            <w:tr w14:paraId="1F73C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0"/>
                  <w:vAlign w:val="center"/>
                </w:tcPr>
                <w:p w14:paraId="52FBC2B6">
                  <w:pPr>
                    <w:spacing w:line="340" w:lineRule="exact"/>
                    <w:jc w:val="center"/>
                    <w:rPr>
                      <w:rFonts w:ascii="Times New Roman" w:hAnsi="Times New Roman"/>
                      <w:color w:val="auto"/>
                      <w:kern w:val="18"/>
                    </w:rPr>
                  </w:pPr>
                  <w:r>
                    <w:rPr>
                      <w:rFonts w:ascii="Times New Roman" w:hAnsi="Times New Roman"/>
                      <w:color w:val="auto"/>
                      <w:kern w:val="18"/>
                    </w:rPr>
                    <w:t>2</w:t>
                  </w:r>
                </w:p>
              </w:tc>
              <w:tc>
                <w:tcPr>
                  <w:tcW w:w="807" w:type="pct"/>
                  <w:noWrap w:val="0"/>
                  <w:vAlign w:val="center"/>
                </w:tcPr>
                <w:p w14:paraId="608A2CC0">
                  <w:pPr>
                    <w:spacing w:line="340" w:lineRule="exact"/>
                    <w:jc w:val="center"/>
                    <w:rPr>
                      <w:rFonts w:ascii="Times New Roman" w:hAnsi="Times New Roman"/>
                      <w:color w:val="auto"/>
                      <w:kern w:val="18"/>
                    </w:rPr>
                  </w:pPr>
                  <w:r>
                    <w:rPr>
                      <w:rFonts w:ascii="Times New Roman" w:hAnsi="Times New Roman"/>
                      <w:color w:val="auto"/>
                      <w:kern w:val="18"/>
                    </w:rPr>
                    <w:t>SS</w:t>
                  </w:r>
                </w:p>
              </w:tc>
              <w:tc>
                <w:tcPr>
                  <w:tcW w:w="1909" w:type="pct"/>
                  <w:noWrap w:val="0"/>
                  <w:vAlign w:val="center"/>
                </w:tcPr>
                <w:p w14:paraId="4E0D0463">
                  <w:pPr>
                    <w:spacing w:line="340" w:lineRule="exact"/>
                    <w:jc w:val="center"/>
                    <w:rPr>
                      <w:rFonts w:ascii="Times New Roman" w:hAnsi="Times New Roman"/>
                      <w:color w:val="auto"/>
                      <w:kern w:val="18"/>
                    </w:rPr>
                  </w:pPr>
                  <w:r>
                    <w:rPr>
                      <w:rFonts w:hint="eastAsia" w:ascii="Times New Roman" w:hAnsi="Times New Roman"/>
                      <w:color w:val="auto"/>
                      <w:kern w:val="18"/>
                      <w:lang w:val="en-US" w:eastAsia="zh-CN"/>
                    </w:rPr>
                    <w:t>30</w:t>
                  </w:r>
                  <w:r>
                    <w:rPr>
                      <w:rFonts w:ascii="Times New Roman" w:hAnsi="Times New Roman"/>
                      <w:color w:val="auto"/>
                      <w:kern w:val="18"/>
                    </w:rPr>
                    <w:t>mg/L</w:t>
                  </w:r>
                </w:p>
              </w:tc>
              <w:tc>
                <w:tcPr>
                  <w:tcW w:w="1690" w:type="pct"/>
                  <w:vMerge w:val="continue"/>
                  <w:noWrap w:val="0"/>
                  <w:vAlign w:val="center"/>
                </w:tcPr>
                <w:p w14:paraId="412E2DF0">
                  <w:pPr>
                    <w:widowControl/>
                    <w:spacing w:line="340" w:lineRule="exact"/>
                    <w:jc w:val="left"/>
                    <w:rPr>
                      <w:rFonts w:ascii="Times New Roman" w:hAnsi="Times New Roman"/>
                      <w:color w:val="auto"/>
                      <w:kern w:val="18"/>
                    </w:rPr>
                  </w:pPr>
                </w:p>
              </w:tc>
            </w:tr>
            <w:tr w14:paraId="38551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0"/>
                  <w:vAlign w:val="center"/>
                </w:tcPr>
                <w:p w14:paraId="2DA0B63D">
                  <w:pPr>
                    <w:spacing w:line="340" w:lineRule="exact"/>
                    <w:jc w:val="center"/>
                    <w:rPr>
                      <w:rFonts w:ascii="Times New Roman" w:hAnsi="Times New Roman"/>
                      <w:color w:val="auto"/>
                      <w:kern w:val="18"/>
                    </w:rPr>
                  </w:pPr>
                  <w:r>
                    <w:rPr>
                      <w:rFonts w:ascii="Times New Roman" w:hAnsi="Times New Roman"/>
                      <w:color w:val="auto"/>
                      <w:kern w:val="18"/>
                    </w:rPr>
                    <w:t>3</w:t>
                  </w:r>
                </w:p>
              </w:tc>
              <w:tc>
                <w:tcPr>
                  <w:tcW w:w="807" w:type="pct"/>
                  <w:noWrap w:val="0"/>
                  <w:vAlign w:val="center"/>
                </w:tcPr>
                <w:p w14:paraId="68AC17DE">
                  <w:pPr>
                    <w:spacing w:line="340" w:lineRule="exact"/>
                    <w:jc w:val="center"/>
                    <w:rPr>
                      <w:rFonts w:ascii="Times New Roman" w:hAnsi="Times New Roman"/>
                      <w:color w:val="auto"/>
                      <w:kern w:val="18"/>
                    </w:rPr>
                  </w:pPr>
                  <w:r>
                    <w:rPr>
                      <w:rFonts w:ascii="Times New Roman" w:hAnsi="Times New Roman"/>
                      <w:color w:val="auto"/>
                      <w:kern w:val="18"/>
                    </w:rPr>
                    <w:t>COD</w:t>
                  </w:r>
                </w:p>
              </w:tc>
              <w:tc>
                <w:tcPr>
                  <w:tcW w:w="1909" w:type="pct"/>
                  <w:noWrap w:val="0"/>
                  <w:vAlign w:val="center"/>
                </w:tcPr>
                <w:p w14:paraId="6B86F185">
                  <w:pPr>
                    <w:spacing w:line="340" w:lineRule="exact"/>
                    <w:jc w:val="center"/>
                    <w:rPr>
                      <w:rFonts w:ascii="Times New Roman" w:hAnsi="Times New Roman"/>
                      <w:color w:val="auto"/>
                      <w:kern w:val="18"/>
                    </w:rPr>
                  </w:pPr>
                  <w:r>
                    <w:rPr>
                      <w:rFonts w:hint="eastAsia" w:ascii="Times New Roman" w:hAnsi="Times New Roman"/>
                      <w:color w:val="auto"/>
                      <w:kern w:val="18"/>
                      <w:lang w:val="en-US" w:eastAsia="zh-CN"/>
                    </w:rPr>
                    <w:t>100</w:t>
                  </w:r>
                  <w:r>
                    <w:rPr>
                      <w:rFonts w:ascii="Times New Roman" w:hAnsi="Times New Roman"/>
                      <w:color w:val="auto"/>
                      <w:kern w:val="18"/>
                    </w:rPr>
                    <w:t>mg/L</w:t>
                  </w:r>
                </w:p>
              </w:tc>
              <w:tc>
                <w:tcPr>
                  <w:tcW w:w="1690" w:type="pct"/>
                  <w:vMerge w:val="continue"/>
                  <w:noWrap w:val="0"/>
                  <w:vAlign w:val="center"/>
                </w:tcPr>
                <w:p w14:paraId="6E3EAB77">
                  <w:pPr>
                    <w:widowControl/>
                    <w:spacing w:line="340" w:lineRule="exact"/>
                    <w:jc w:val="left"/>
                    <w:rPr>
                      <w:rFonts w:ascii="Times New Roman" w:hAnsi="Times New Roman"/>
                      <w:color w:val="auto"/>
                      <w:kern w:val="18"/>
                    </w:rPr>
                  </w:pPr>
                </w:p>
              </w:tc>
            </w:tr>
            <w:tr w14:paraId="4A55E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0"/>
                  <w:vAlign w:val="center"/>
                </w:tcPr>
                <w:p w14:paraId="5B4679B6">
                  <w:pPr>
                    <w:spacing w:line="340" w:lineRule="exact"/>
                    <w:jc w:val="center"/>
                    <w:rPr>
                      <w:rFonts w:ascii="Times New Roman" w:hAnsi="Times New Roman"/>
                      <w:color w:val="auto"/>
                      <w:kern w:val="18"/>
                    </w:rPr>
                  </w:pPr>
                  <w:r>
                    <w:rPr>
                      <w:rFonts w:ascii="Times New Roman" w:hAnsi="Times New Roman"/>
                      <w:color w:val="auto"/>
                      <w:kern w:val="18"/>
                    </w:rPr>
                    <w:t>4</w:t>
                  </w:r>
                </w:p>
              </w:tc>
              <w:tc>
                <w:tcPr>
                  <w:tcW w:w="807" w:type="pct"/>
                  <w:noWrap w:val="0"/>
                  <w:vAlign w:val="center"/>
                </w:tcPr>
                <w:p w14:paraId="0E2B6202">
                  <w:pPr>
                    <w:spacing w:line="340" w:lineRule="exact"/>
                    <w:jc w:val="center"/>
                    <w:rPr>
                      <w:rFonts w:ascii="Times New Roman" w:hAnsi="Times New Roman"/>
                      <w:color w:val="auto"/>
                      <w:kern w:val="18"/>
                    </w:rPr>
                  </w:pPr>
                  <w:r>
                    <w:rPr>
                      <w:rFonts w:ascii="Times New Roman" w:hAnsi="Times New Roman"/>
                      <w:color w:val="auto"/>
                      <w:kern w:val="18"/>
                    </w:rPr>
                    <w:t>NH</w:t>
                  </w:r>
                  <w:r>
                    <w:rPr>
                      <w:rFonts w:ascii="Times New Roman" w:hAnsi="Times New Roman"/>
                      <w:color w:val="auto"/>
                      <w:kern w:val="18"/>
                      <w:vertAlign w:val="subscript"/>
                    </w:rPr>
                    <w:t>3</w:t>
                  </w:r>
                  <w:r>
                    <w:rPr>
                      <w:rFonts w:ascii="Times New Roman" w:hAnsi="Times New Roman"/>
                      <w:color w:val="auto"/>
                      <w:kern w:val="18"/>
                    </w:rPr>
                    <w:t>-N</w:t>
                  </w:r>
                </w:p>
              </w:tc>
              <w:tc>
                <w:tcPr>
                  <w:tcW w:w="1909" w:type="pct"/>
                  <w:noWrap w:val="0"/>
                  <w:vAlign w:val="center"/>
                </w:tcPr>
                <w:p w14:paraId="600F7A57">
                  <w:pPr>
                    <w:spacing w:line="340" w:lineRule="exact"/>
                    <w:jc w:val="center"/>
                    <w:rPr>
                      <w:rFonts w:ascii="Times New Roman" w:hAnsi="Times New Roman"/>
                      <w:color w:val="auto"/>
                      <w:kern w:val="18"/>
                    </w:rPr>
                  </w:pPr>
                  <w:r>
                    <w:rPr>
                      <w:rFonts w:hint="eastAsia" w:ascii="Times New Roman" w:hAnsi="Times New Roman"/>
                      <w:color w:val="auto"/>
                      <w:kern w:val="18"/>
                      <w:lang w:val="en-US" w:eastAsia="zh-CN"/>
                    </w:rPr>
                    <w:t>25(15)</w:t>
                  </w:r>
                  <w:r>
                    <w:rPr>
                      <w:rFonts w:ascii="Times New Roman" w:hAnsi="Times New Roman"/>
                      <w:color w:val="auto"/>
                      <w:kern w:val="18"/>
                    </w:rPr>
                    <w:t>mg/L</w:t>
                  </w:r>
                </w:p>
              </w:tc>
              <w:tc>
                <w:tcPr>
                  <w:tcW w:w="1690" w:type="pct"/>
                  <w:vMerge w:val="continue"/>
                  <w:noWrap w:val="0"/>
                  <w:vAlign w:val="center"/>
                </w:tcPr>
                <w:p w14:paraId="5CE6D84D">
                  <w:pPr>
                    <w:widowControl/>
                    <w:spacing w:line="340" w:lineRule="exact"/>
                    <w:jc w:val="left"/>
                    <w:rPr>
                      <w:rFonts w:ascii="Times New Roman" w:hAnsi="Times New Roman"/>
                      <w:color w:val="auto"/>
                      <w:kern w:val="18"/>
                    </w:rPr>
                  </w:pPr>
                </w:p>
              </w:tc>
            </w:tr>
            <w:tr w14:paraId="7DF4F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0"/>
                  <w:vAlign w:val="center"/>
                </w:tcPr>
                <w:p w14:paraId="455E3F38">
                  <w:pPr>
                    <w:spacing w:line="340" w:lineRule="exact"/>
                    <w:jc w:val="center"/>
                    <w:rPr>
                      <w:rFonts w:ascii="Times New Roman" w:hAnsi="Times New Roman"/>
                      <w:color w:val="auto"/>
                      <w:kern w:val="18"/>
                    </w:rPr>
                  </w:pPr>
                  <w:r>
                    <w:rPr>
                      <w:rFonts w:ascii="Times New Roman" w:hAnsi="Times New Roman"/>
                      <w:color w:val="auto"/>
                      <w:kern w:val="18"/>
                    </w:rPr>
                    <w:t>5</w:t>
                  </w:r>
                </w:p>
              </w:tc>
              <w:tc>
                <w:tcPr>
                  <w:tcW w:w="807" w:type="pct"/>
                  <w:noWrap w:val="0"/>
                  <w:vAlign w:val="center"/>
                </w:tcPr>
                <w:p w14:paraId="30B464EF">
                  <w:pPr>
                    <w:spacing w:line="340" w:lineRule="exact"/>
                    <w:jc w:val="center"/>
                    <w:rPr>
                      <w:rFonts w:hint="default" w:ascii="Times New Roman" w:hAnsi="Times New Roman" w:eastAsia="宋体"/>
                      <w:color w:val="auto"/>
                      <w:kern w:val="18"/>
                      <w:lang w:val="en-US" w:eastAsia="zh-CN"/>
                    </w:rPr>
                  </w:pPr>
                  <w:r>
                    <w:rPr>
                      <w:rFonts w:hint="eastAsia" w:ascii="Times New Roman" w:hAnsi="Times New Roman"/>
                      <w:color w:val="auto"/>
                      <w:kern w:val="18"/>
                      <w:lang w:val="en-US" w:eastAsia="zh-CN"/>
                    </w:rPr>
                    <w:t>TN</w:t>
                  </w:r>
                </w:p>
              </w:tc>
              <w:tc>
                <w:tcPr>
                  <w:tcW w:w="1909" w:type="pct"/>
                  <w:noWrap w:val="0"/>
                  <w:vAlign w:val="center"/>
                </w:tcPr>
                <w:p w14:paraId="61318C36">
                  <w:pPr>
                    <w:spacing w:line="340" w:lineRule="exact"/>
                    <w:jc w:val="center"/>
                    <w:rPr>
                      <w:rFonts w:hint="eastAsia" w:ascii="Times New Roman" w:hAnsi="Times New Roman" w:eastAsia="宋体"/>
                      <w:color w:val="auto"/>
                      <w:kern w:val="18"/>
                      <w:lang w:val="en-US" w:eastAsia="zh-CN"/>
                    </w:rPr>
                  </w:pPr>
                  <w:r>
                    <w:rPr>
                      <w:rFonts w:hint="eastAsia" w:ascii="Times New Roman" w:hAnsi="Times New Roman"/>
                      <w:color w:val="auto"/>
                      <w:kern w:val="18"/>
                      <w:lang w:val="en-US" w:eastAsia="zh-CN"/>
                    </w:rPr>
                    <w:t>/</w:t>
                  </w:r>
                </w:p>
              </w:tc>
              <w:tc>
                <w:tcPr>
                  <w:tcW w:w="1690" w:type="pct"/>
                  <w:vMerge w:val="continue"/>
                  <w:noWrap w:val="0"/>
                  <w:vAlign w:val="center"/>
                </w:tcPr>
                <w:p w14:paraId="3B44ADB2">
                  <w:pPr>
                    <w:widowControl/>
                    <w:spacing w:line="340" w:lineRule="exact"/>
                    <w:jc w:val="center"/>
                    <w:rPr>
                      <w:rFonts w:ascii="Times New Roman" w:hAnsi="Times New Roman"/>
                      <w:color w:val="auto"/>
                      <w:kern w:val="18"/>
                    </w:rPr>
                  </w:pPr>
                </w:p>
              </w:tc>
            </w:tr>
            <w:tr w14:paraId="399B4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0"/>
                  <w:vAlign w:val="center"/>
                </w:tcPr>
                <w:p w14:paraId="3CE6EE4A">
                  <w:pPr>
                    <w:spacing w:line="340" w:lineRule="exact"/>
                    <w:jc w:val="center"/>
                    <w:rPr>
                      <w:rFonts w:hint="eastAsia" w:ascii="Times New Roman" w:hAnsi="Times New Roman" w:eastAsia="宋体"/>
                      <w:color w:val="auto"/>
                      <w:kern w:val="18"/>
                      <w:lang w:val="en-US" w:eastAsia="zh-CN"/>
                    </w:rPr>
                  </w:pPr>
                  <w:r>
                    <w:rPr>
                      <w:rFonts w:hint="eastAsia" w:ascii="Times New Roman" w:hAnsi="Times New Roman"/>
                      <w:color w:val="auto"/>
                      <w:kern w:val="18"/>
                      <w:lang w:val="en-US" w:eastAsia="zh-CN"/>
                    </w:rPr>
                    <w:t>6</w:t>
                  </w:r>
                </w:p>
              </w:tc>
              <w:tc>
                <w:tcPr>
                  <w:tcW w:w="807" w:type="pct"/>
                  <w:noWrap w:val="0"/>
                  <w:vAlign w:val="center"/>
                </w:tcPr>
                <w:p w14:paraId="0B9589F7">
                  <w:pPr>
                    <w:spacing w:line="340" w:lineRule="exact"/>
                    <w:jc w:val="center"/>
                    <w:rPr>
                      <w:rFonts w:hint="default" w:ascii="Times New Roman" w:hAnsi="Times New Roman" w:eastAsia="宋体"/>
                      <w:color w:val="auto"/>
                      <w:kern w:val="18"/>
                      <w:lang w:val="en-US" w:eastAsia="zh-CN"/>
                    </w:rPr>
                  </w:pPr>
                  <w:r>
                    <w:rPr>
                      <w:rFonts w:hint="eastAsia" w:ascii="Times New Roman" w:hAnsi="Times New Roman"/>
                      <w:color w:val="auto"/>
                      <w:kern w:val="18"/>
                      <w:lang w:val="en-US" w:eastAsia="zh-CN"/>
                    </w:rPr>
                    <w:t>TP</w:t>
                  </w:r>
                </w:p>
              </w:tc>
              <w:tc>
                <w:tcPr>
                  <w:tcW w:w="1909" w:type="pct"/>
                  <w:noWrap w:val="0"/>
                  <w:vAlign w:val="center"/>
                </w:tcPr>
                <w:p w14:paraId="4869A1CE">
                  <w:pPr>
                    <w:spacing w:line="340" w:lineRule="exact"/>
                    <w:jc w:val="center"/>
                    <w:rPr>
                      <w:rFonts w:hint="eastAsia" w:ascii="Times New Roman" w:hAnsi="Times New Roman"/>
                      <w:color w:val="auto"/>
                      <w:kern w:val="18"/>
                      <w:lang w:val="en-US" w:eastAsia="zh-CN"/>
                    </w:rPr>
                  </w:pPr>
                  <w:r>
                    <w:rPr>
                      <w:rFonts w:hint="eastAsia" w:ascii="Times New Roman" w:hAnsi="Times New Roman"/>
                      <w:color w:val="auto"/>
                      <w:kern w:val="18"/>
                      <w:lang w:val="en-US" w:eastAsia="zh-CN"/>
                    </w:rPr>
                    <w:t>3</w:t>
                  </w:r>
                  <w:r>
                    <w:rPr>
                      <w:rFonts w:ascii="Times New Roman" w:hAnsi="Times New Roman"/>
                      <w:color w:val="auto"/>
                      <w:kern w:val="18"/>
                    </w:rPr>
                    <w:t>mg/L</w:t>
                  </w:r>
                </w:p>
              </w:tc>
              <w:tc>
                <w:tcPr>
                  <w:tcW w:w="1690" w:type="pct"/>
                  <w:vMerge w:val="continue"/>
                  <w:noWrap w:val="0"/>
                  <w:vAlign w:val="center"/>
                </w:tcPr>
                <w:p w14:paraId="219CEFB3">
                  <w:pPr>
                    <w:widowControl/>
                    <w:spacing w:line="340" w:lineRule="exact"/>
                    <w:jc w:val="center"/>
                    <w:rPr>
                      <w:rFonts w:ascii="Times New Roman" w:hAnsi="Times New Roman"/>
                      <w:color w:val="auto"/>
                      <w:kern w:val="18"/>
                    </w:rPr>
                  </w:pPr>
                </w:p>
              </w:tc>
            </w:tr>
            <w:tr w14:paraId="16509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0"/>
                  <w:vAlign w:val="center"/>
                </w:tcPr>
                <w:p w14:paraId="0B43B0D5">
                  <w:pPr>
                    <w:spacing w:line="340" w:lineRule="exact"/>
                    <w:jc w:val="center"/>
                    <w:rPr>
                      <w:rFonts w:hint="eastAsia" w:ascii="Times New Roman" w:hAnsi="Times New Roman" w:eastAsia="宋体"/>
                      <w:color w:val="auto"/>
                      <w:kern w:val="18"/>
                      <w:lang w:val="en-US" w:eastAsia="zh-CN"/>
                    </w:rPr>
                  </w:pPr>
                  <w:r>
                    <w:rPr>
                      <w:rFonts w:hint="eastAsia" w:ascii="Times New Roman" w:hAnsi="Times New Roman"/>
                      <w:color w:val="auto"/>
                      <w:kern w:val="18"/>
                      <w:lang w:val="en-US" w:eastAsia="zh-CN"/>
                    </w:rPr>
                    <w:t>7</w:t>
                  </w:r>
                </w:p>
              </w:tc>
              <w:tc>
                <w:tcPr>
                  <w:tcW w:w="807" w:type="pct"/>
                  <w:noWrap w:val="0"/>
                  <w:vAlign w:val="center"/>
                </w:tcPr>
                <w:p w14:paraId="57C7C3D3">
                  <w:pPr>
                    <w:spacing w:line="340" w:lineRule="exact"/>
                    <w:jc w:val="center"/>
                    <w:rPr>
                      <w:rFonts w:hint="default" w:ascii="Times New Roman" w:hAnsi="Times New Roman" w:eastAsia="宋体"/>
                      <w:color w:val="auto"/>
                      <w:kern w:val="18"/>
                      <w:lang w:val="en-US" w:eastAsia="zh-CN"/>
                    </w:rPr>
                  </w:pPr>
                  <w:r>
                    <w:rPr>
                      <w:rFonts w:hint="eastAsia" w:ascii="Times New Roman" w:hAnsi="Times New Roman"/>
                      <w:color w:val="auto"/>
                      <w:kern w:val="18"/>
                      <w:lang w:val="en-US" w:eastAsia="zh-CN"/>
                    </w:rPr>
                    <w:t>动植物油</w:t>
                  </w:r>
                </w:p>
              </w:tc>
              <w:tc>
                <w:tcPr>
                  <w:tcW w:w="1909" w:type="pct"/>
                  <w:noWrap w:val="0"/>
                  <w:vAlign w:val="center"/>
                </w:tcPr>
                <w:p w14:paraId="790CFBC2">
                  <w:pPr>
                    <w:spacing w:line="340" w:lineRule="exact"/>
                    <w:jc w:val="center"/>
                    <w:rPr>
                      <w:rFonts w:hint="default" w:ascii="Times New Roman" w:hAnsi="Times New Roman"/>
                      <w:color w:val="auto"/>
                      <w:kern w:val="18"/>
                      <w:lang w:val="en-US" w:eastAsia="zh-CN"/>
                    </w:rPr>
                  </w:pPr>
                  <w:r>
                    <w:rPr>
                      <w:rFonts w:hint="eastAsia" w:ascii="Times New Roman" w:hAnsi="Times New Roman"/>
                      <w:color w:val="auto"/>
                      <w:kern w:val="18"/>
                      <w:lang w:val="en-US" w:eastAsia="zh-CN"/>
                    </w:rPr>
                    <w:t>5</w:t>
                  </w:r>
                  <w:r>
                    <w:rPr>
                      <w:rFonts w:ascii="Times New Roman" w:hAnsi="Times New Roman"/>
                      <w:color w:val="auto"/>
                      <w:kern w:val="18"/>
                    </w:rPr>
                    <w:t>mg/L</w:t>
                  </w:r>
                </w:p>
              </w:tc>
              <w:tc>
                <w:tcPr>
                  <w:tcW w:w="1690" w:type="pct"/>
                  <w:vMerge w:val="continue"/>
                  <w:noWrap w:val="0"/>
                  <w:vAlign w:val="center"/>
                </w:tcPr>
                <w:p w14:paraId="09D75244">
                  <w:pPr>
                    <w:widowControl/>
                    <w:spacing w:line="340" w:lineRule="exact"/>
                    <w:jc w:val="center"/>
                    <w:rPr>
                      <w:rFonts w:ascii="Times New Roman" w:hAnsi="Times New Roman"/>
                      <w:color w:val="auto"/>
                      <w:kern w:val="18"/>
                    </w:rPr>
                  </w:pPr>
                </w:p>
              </w:tc>
            </w:tr>
          </w:tbl>
          <w:p w14:paraId="6EC2459F">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val="0"/>
                <w:color w:val="auto"/>
                <w:sz w:val="24"/>
                <w:szCs w:val="24"/>
                <w:highlight w:val="yellow"/>
              </w:rPr>
            </w:pPr>
            <w:r>
              <w:rPr>
                <w:rFonts w:hint="default" w:ascii="Times New Roman" w:hAnsi="Times New Roman" w:eastAsia="宋体" w:cs="Times New Roman"/>
                <w:b/>
                <w:bCs w:val="0"/>
                <w:color w:val="auto"/>
                <w:sz w:val="24"/>
                <w:szCs w:val="24"/>
              </w:rPr>
              <w:t>3.</w:t>
            </w:r>
            <w:r>
              <w:rPr>
                <w:rFonts w:hint="eastAsia" w:ascii="Times New Roman" w:hAnsi="Times New Roman" w:eastAsia="宋体" w:cs="Times New Roman"/>
                <w:b/>
                <w:bCs w:val="0"/>
                <w:color w:val="auto"/>
                <w:sz w:val="24"/>
                <w:szCs w:val="24"/>
                <w:lang w:val="en-US" w:eastAsia="zh-CN"/>
              </w:rPr>
              <w:t>7</w:t>
            </w:r>
            <w:r>
              <w:rPr>
                <w:rFonts w:hint="default" w:ascii="Times New Roman" w:hAnsi="Times New Roman" w:eastAsia="宋体" w:cs="Times New Roman"/>
                <w:b/>
                <w:bCs w:val="0"/>
                <w:color w:val="auto"/>
                <w:sz w:val="24"/>
                <w:szCs w:val="24"/>
                <w:lang w:val="en-US" w:eastAsia="zh-CN"/>
              </w:rPr>
              <w:t xml:space="preserve">.2 </w:t>
            </w:r>
            <w:r>
              <w:rPr>
                <w:rFonts w:hint="default" w:ascii="Times New Roman" w:hAnsi="Times New Roman" w:eastAsia="宋体" w:cs="Times New Roman"/>
                <w:b/>
                <w:bCs w:val="0"/>
                <w:color w:val="auto"/>
                <w:sz w:val="24"/>
                <w:szCs w:val="24"/>
                <w:highlight w:val="none"/>
                <w:lang w:val="en-US" w:eastAsia="zh-CN"/>
              </w:rPr>
              <w:t>大气</w:t>
            </w:r>
            <w:r>
              <w:rPr>
                <w:rFonts w:hint="default" w:ascii="Times New Roman" w:hAnsi="Times New Roman" w:eastAsia="宋体" w:cs="Times New Roman"/>
                <w:b/>
                <w:bCs w:val="0"/>
                <w:color w:val="auto"/>
                <w:sz w:val="24"/>
                <w:szCs w:val="24"/>
                <w:highlight w:val="none"/>
              </w:rPr>
              <w:t>污染物</w:t>
            </w:r>
            <w:r>
              <w:rPr>
                <w:rFonts w:hint="default" w:ascii="Times New Roman" w:hAnsi="Times New Roman" w:eastAsia="宋体" w:cs="Times New Roman"/>
                <w:b/>
                <w:bCs w:val="0"/>
                <w:color w:val="auto"/>
                <w:sz w:val="24"/>
                <w:szCs w:val="24"/>
                <w:highlight w:val="none"/>
                <w:lang w:val="en-US" w:eastAsia="zh-CN"/>
              </w:rPr>
              <w:t>排放标准</w:t>
            </w:r>
          </w:p>
          <w:p w14:paraId="02BC45F8">
            <w:pPr>
              <w:autoSpaceDE w:val="0"/>
              <w:autoSpaceDN w:val="0"/>
              <w:spacing w:line="360" w:lineRule="auto"/>
              <w:ind w:firstLine="480" w:firstLineChars="200"/>
              <w:textAlignment w:val="bottom"/>
              <w:rPr>
                <w:rFonts w:hint="eastAsia" w:ascii="Times New Roman" w:hAnsi="Times New Roman"/>
                <w:color w:val="auto"/>
                <w:sz w:val="24"/>
                <w:shd w:val="clear" w:color="auto" w:fill="FFFFFF"/>
              </w:rPr>
            </w:pPr>
            <w:r>
              <w:rPr>
                <w:rFonts w:hint="eastAsia" w:ascii="Times New Roman" w:hAnsi="Times New Roman"/>
                <w:color w:val="auto"/>
                <w:sz w:val="24"/>
                <w:shd w:val="clear" w:color="auto" w:fill="FFFFFF"/>
              </w:rPr>
              <w:t>（1）施工期</w:t>
            </w:r>
          </w:p>
          <w:p w14:paraId="1680F32C">
            <w:pPr>
              <w:autoSpaceDE w:val="0"/>
              <w:autoSpaceDN w:val="0"/>
              <w:spacing w:line="360" w:lineRule="auto"/>
              <w:ind w:firstLine="480" w:firstLineChars="200"/>
              <w:textAlignment w:val="bottom"/>
              <w:rPr>
                <w:rFonts w:ascii="Times New Roman" w:hAnsi="Times New Roman"/>
                <w:color w:val="auto"/>
                <w:sz w:val="24"/>
                <w:shd w:val="clear" w:color="auto" w:fill="FFFFFF"/>
              </w:rPr>
            </w:pPr>
            <w:r>
              <w:rPr>
                <w:rFonts w:hint="eastAsia" w:ascii="Times New Roman" w:hAnsi="Times New Roman"/>
                <w:color w:val="auto"/>
                <w:sz w:val="24"/>
                <w:shd w:val="clear" w:color="auto" w:fill="FFFFFF"/>
              </w:rPr>
              <w:t>项目施工扬尘排放执行《大气污染物综合排放标准》（GB16297-1996）表2中的无组织排放监控浓度限值，详见表3.7-</w:t>
            </w:r>
            <w:r>
              <w:rPr>
                <w:rFonts w:hint="eastAsia" w:ascii="Times New Roman" w:hAnsi="Times New Roman"/>
                <w:color w:val="auto"/>
                <w:sz w:val="24"/>
                <w:shd w:val="clear" w:color="auto" w:fill="FFFFFF"/>
                <w:lang w:val="en-US" w:eastAsia="zh-CN"/>
              </w:rPr>
              <w:t>5</w:t>
            </w:r>
            <w:r>
              <w:rPr>
                <w:rFonts w:hint="eastAsia" w:ascii="Times New Roman" w:hAnsi="Times New Roman"/>
                <w:color w:val="auto"/>
                <w:sz w:val="24"/>
                <w:shd w:val="clear" w:color="auto" w:fill="FFFFFF"/>
              </w:rPr>
              <w:t>。</w:t>
            </w:r>
          </w:p>
          <w:p w14:paraId="113CC1FB">
            <w:pPr>
              <w:autoSpaceDE w:val="0"/>
              <w:autoSpaceDN w:val="0"/>
              <w:spacing w:line="360" w:lineRule="auto"/>
              <w:ind w:firstLine="480" w:firstLineChars="200"/>
              <w:textAlignment w:val="bottom"/>
              <w:rPr>
                <w:rFonts w:hint="default" w:ascii="Times New Roman" w:hAnsi="Times New Roman" w:eastAsia="宋体"/>
                <w:color w:val="auto"/>
                <w:sz w:val="24"/>
                <w:shd w:val="clear" w:color="auto" w:fill="FFFFFF"/>
                <w:lang w:val="en-US" w:eastAsia="zh-CN"/>
              </w:rPr>
            </w:pPr>
            <w:r>
              <w:rPr>
                <w:rFonts w:hint="eastAsia" w:ascii="Times New Roman" w:hAnsi="Times New Roman"/>
                <w:color w:val="auto"/>
                <w:sz w:val="24"/>
                <w:shd w:val="clear" w:color="auto" w:fill="FFFFFF"/>
                <w:lang w:eastAsia="zh-CN"/>
              </w:rPr>
              <w:t>（</w:t>
            </w:r>
            <w:r>
              <w:rPr>
                <w:rFonts w:hint="eastAsia" w:ascii="Times New Roman" w:hAnsi="Times New Roman"/>
                <w:color w:val="auto"/>
                <w:sz w:val="24"/>
                <w:shd w:val="clear" w:color="auto" w:fill="FFFFFF"/>
                <w:lang w:val="en-US" w:eastAsia="zh-CN"/>
              </w:rPr>
              <w:t>2</w:t>
            </w:r>
            <w:r>
              <w:rPr>
                <w:rFonts w:hint="eastAsia" w:ascii="Times New Roman" w:hAnsi="Times New Roman"/>
                <w:color w:val="auto"/>
                <w:sz w:val="24"/>
                <w:shd w:val="clear" w:color="auto" w:fill="FFFFFF"/>
                <w:lang w:eastAsia="zh-CN"/>
              </w:rPr>
              <w:t>）</w:t>
            </w:r>
            <w:r>
              <w:rPr>
                <w:rFonts w:hint="eastAsia" w:ascii="Times New Roman" w:hAnsi="Times New Roman"/>
                <w:color w:val="auto"/>
                <w:sz w:val="24"/>
                <w:shd w:val="clear" w:color="auto" w:fill="FFFFFF"/>
                <w:lang w:val="en-US" w:eastAsia="zh-CN"/>
              </w:rPr>
              <w:t>运营期</w:t>
            </w:r>
          </w:p>
          <w:p w14:paraId="6C783516">
            <w:pPr>
              <w:autoSpaceDE w:val="0"/>
              <w:autoSpaceDN w:val="0"/>
              <w:spacing w:line="360" w:lineRule="auto"/>
              <w:ind w:firstLine="480" w:firstLineChars="200"/>
              <w:textAlignment w:val="bottom"/>
              <w:rPr>
                <w:rFonts w:hint="default" w:ascii="Times New Roman" w:hAnsi="Times New Roman" w:eastAsia="宋体" w:cs="Times New Roman"/>
                <w:color w:val="auto"/>
                <w:sz w:val="24"/>
                <w:shd w:val="clear" w:color="auto" w:fill="FFFFFF"/>
                <w:lang w:val="en-US" w:eastAsia="zh-CN"/>
              </w:rPr>
            </w:pPr>
            <w:r>
              <w:rPr>
                <w:rFonts w:ascii="Times New Roman" w:hAnsi="Times New Roman"/>
                <w:color w:val="auto"/>
                <w:sz w:val="24"/>
                <w:shd w:val="clear" w:color="auto" w:fill="FFFFFF"/>
              </w:rPr>
              <w:t>本项目运营期</w:t>
            </w:r>
            <w:r>
              <w:rPr>
                <w:rFonts w:hint="eastAsia" w:ascii="Times New Roman" w:hAnsi="Times New Roman"/>
                <w:color w:val="auto"/>
                <w:sz w:val="24"/>
                <w:shd w:val="clear" w:color="auto" w:fill="FFFFFF"/>
                <w:lang w:eastAsia="zh-CN"/>
              </w:rPr>
              <w:t>大气污染因子主要为颗粒物、非甲烷总烃、</w:t>
            </w:r>
            <w:r>
              <w:rPr>
                <w:rFonts w:hint="eastAsia" w:ascii="Times New Roman" w:hAnsi="Times New Roman"/>
                <w:color w:val="auto"/>
                <w:sz w:val="24"/>
                <w:shd w:val="clear" w:color="auto" w:fill="FFFFFF"/>
                <w:lang w:val="en-US" w:eastAsia="zh-CN"/>
              </w:rPr>
              <w:t>臭气浓度。</w:t>
            </w:r>
            <w:r>
              <w:rPr>
                <w:rFonts w:hint="eastAsia" w:ascii="Times New Roman" w:hAnsi="Times New Roman"/>
                <w:color w:val="auto"/>
                <w:sz w:val="24"/>
                <w:shd w:val="clear" w:color="auto" w:fill="FFFFFF"/>
                <w:lang w:eastAsia="zh-CN"/>
              </w:rPr>
              <w:t>参考《排污许可证申请与核发技术规范 废弃资源加工工业》(HJ 1034-2019)中废机动车、废机电加工工业排污单位废气产排污环节名称、污染物种类、排放形式及污染防治设施一览表（排放标准执行GB16297），项目所在区域现暂无</w:t>
            </w:r>
            <w:r>
              <w:rPr>
                <w:rFonts w:hint="eastAsia" w:ascii="Times New Roman" w:hAnsi="Times New Roman"/>
                <w:color w:val="auto"/>
                <w:sz w:val="24"/>
                <w:shd w:val="clear" w:color="auto" w:fill="FFFFFF"/>
                <w:lang w:val="en-US" w:eastAsia="zh-CN"/>
              </w:rPr>
              <w:t>更严格的</w:t>
            </w:r>
            <w:r>
              <w:rPr>
                <w:rFonts w:hint="eastAsia" w:ascii="Times New Roman" w:hAnsi="Times New Roman"/>
                <w:color w:val="auto"/>
                <w:sz w:val="24"/>
                <w:shd w:val="clear" w:color="auto" w:fill="FFFFFF"/>
                <w:lang w:eastAsia="zh-CN"/>
              </w:rPr>
              <w:t>大气污染综合排放地标和废弃资源加工行业废气排放标准，因此项目颗粒物、非甲烷总烃污染物排放执行《大气污染物综合排放标准》(GB16297-1996)表2二级标准限值</w:t>
            </w:r>
            <w:r>
              <w:rPr>
                <w:rFonts w:hint="eastAsia" w:ascii="Times New Roman" w:hAnsi="Times New Roman"/>
                <w:color w:val="auto"/>
                <w:sz w:val="24"/>
                <w:shd w:val="clear" w:color="auto" w:fill="FFFFFF"/>
                <w:lang w:val="en-US" w:eastAsia="zh-CN"/>
              </w:rPr>
              <w:t>及厂界无组织监控浓度限值</w:t>
            </w:r>
            <w:r>
              <w:rPr>
                <w:rFonts w:hint="eastAsia" w:ascii="Times New Roman" w:hAnsi="Times New Roman"/>
                <w:color w:val="auto"/>
                <w:sz w:val="24"/>
                <w:shd w:val="clear" w:color="auto" w:fill="FFFFFF"/>
                <w:lang w:eastAsia="zh-CN"/>
              </w:rPr>
              <w:t>，详见表3.7-</w:t>
            </w:r>
            <w:r>
              <w:rPr>
                <w:rFonts w:hint="eastAsia" w:ascii="Times New Roman" w:hAnsi="Times New Roman"/>
                <w:color w:val="auto"/>
                <w:sz w:val="24"/>
                <w:shd w:val="clear" w:color="auto" w:fill="FFFFFF"/>
                <w:lang w:val="en-US" w:eastAsia="zh-CN"/>
              </w:rPr>
              <w:t>4、表3.7-5</w:t>
            </w:r>
            <w:r>
              <w:rPr>
                <w:rFonts w:hint="eastAsia" w:ascii="Times New Roman" w:hAnsi="Times New Roman"/>
                <w:color w:val="auto"/>
                <w:sz w:val="24"/>
                <w:shd w:val="clear" w:color="auto" w:fill="FFFFFF"/>
                <w:lang w:eastAsia="zh-CN"/>
              </w:rPr>
              <w:t>。同时，厂区无组</w:t>
            </w:r>
            <w:r>
              <w:rPr>
                <w:rFonts w:hint="eastAsia" w:ascii="Times New Roman" w:hAnsi="Times New Roman" w:eastAsia="宋体" w:cs="Times New Roman"/>
                <w:color w:val="auto"/>
                <w:sz w:val="24"/>
                <w:shd w:val="clear" w:color="auto" w:fill="FFFFFF"/>
                <w:lang w:eastAsia="zh-CN"/>
              </w:rPr>
              <w:t>织排放的非甲烷总烃还应执行《挥发性有机物无组织排放控制标准》(GB 37822-2019)中附录A表A.1标准限值，</w:t>
            </w:r>
            <w:r>
              <w:rPr>
                <w:rFonts w:hint="eastAsia" w:ascii="Times New Roman" w:hAnsi="Times New Roman" w:eastAsia="宋体" w:cs="Times New Roman"/>
                <w:color w:val="auto"/>
                <w:sz w:val="24"/>
                <w:shd w:val="clear" w:color="auto" w:fill="FFFFFF"/>
                <w:lang w:val="en-US" w:eastAsia="zh-CN"/>
              </w:rPr>
              <w:t>详见</w:t>
            </w:r>
            <w:r>
              <w:rPr>
                <w:rFonts w:hint="eastAsia" w:ascii="Times New Roman" w:hAnsi="Times New Roman"/>
                <w:color w:val="auto"/>
                <w:sz w:val="24"/>
                <w:shd w:val="clear" w:color="auto" w:fill="FFFFFF"/>
                <w:lang w:val="en-US" w:eastAsia="zh-CN"/>
              </w:rPr>
              <w:t>表3.7-5。</w:t>
            </w:r>
          </w:p>
          <w:p w14:paraId="1B9D5F67">
            <w:pPr>
              <w:autoSpaceDE w:val="0"/>
              <w:autoSpaceDN w:val="0"/>
              <w:spacing w:line="360" w:lineRule="auto"/>
              <w:ind w:firstLine="480" w:firstLineChars="200"/>
              <w:textAlignment w:val="bottom"/>
              <w:rPr>
                <w:rFonts w:hint="default" w:ascii="Times New Roman" w:hAnsi="Times New Roman" w:eastAsia="宋体" w:cs="Times New Roman"/>
                <w:color w:val="auto"/>
                <w:sz w:val="24"/>
                <w:shd w:val="clear" w:color="auto" w:fill="FFFFFF"/>
                <w:lang w:val="en-US" w:eastAsia="zh-CN"/>
              </w:rPr>
            </w:pPr>
            <w:r>
              <w:rPr>
                <w:rFonts w:hint="eastAsia" w:ascii="Times New Roman" w:hAnsi="Times New Roman" w:eastAsia="宋体" w:cs="Times New Roman"/>
                <w:color w:val="auto"/>
                <w:sz w:val="24"/>
                <w:shd w:val="clear" w:color="auto" w:fill="FFFFFF"/>
                <w:lang w:val="en-US" w:eastAsia="zh-CN"/>
              </w:rPr>
              <w:t>厂界无组织臭气浓度排放执行《恶臭污染物排放标准》（GB14554-93）中表1中二级新改扩建标准，详见表3.7-5。</w:t>
            </w:r>
          </w:p>
          <w:p w14:paraId="0E3EAEEF">
            <w:pPr>
              <w:spacing w:before="120" w:beforeLines="50"/>
              <w:ind w:left="0" w:leftChars="0" w:firstLine="0" w:firstLineChars="0"/>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表3.</w:t>
            </w:r>
            <w:r>
              <w:rPr>
                <w:rFonts w:hint="eastAsia" w:ascii="Times New Roman" w:hAnsi="Times New Roman" w:eastAsia="黑体" w:cs="Times New Roman"/>
                <w:color w:val="auto"/>
                <w:sz w:val="24"/>
                <w:szCs w:val="24"/>
                <w:lang w:val="en-US" w:eastAsia="zh-CN"/>
              </w:rPr>
              <w:t>7</w:t>
            </w:r>
            <w:r>
              <w:rPr>
                <w:rFonts w:hint="default" w:ascii="Times New Roman" w:hAnsi="Times New Roman" w:eastAsia="黑体" w:cs="Times New Roman"/>
                <w:color w:val="auto"/>
                <w:sz w:val="24"/>
                <w:szCs w:val="24"/>
              </w:rPr>
              <w:t>-</w:t>
            </w:r>
            <w:r>
              <w:rPr>
                <w:rFonts w:hint="eastAsia" w:ascii="Times New Roman" w:hAnsi="Times New Roman" w:eastAsia="黑体" w:cs="Times New Roman"/>
                <w:color w:val="auto"/>
                <w:sz w:val="24"/>
                <w:szCs w:val="24"/>
                <w:lang w:val="en-US" w:eastAsia="zh-CN"/>
              </w:rPr>
              <w:t xml:space="preserve">4 </w:t>
            </w:r>
            <w:r>
              <w:rPr>
                <w:rFonts w:hint="eastAsia" w:ascii="Times New Roman" w:hAnsi="Times New Roman" w:eastAsia="黑体" w:cs="Times New Roman"/>
                <w:color w:val="auto"/>
                <w:sz w:val="24"/>
                <w:szCs w:val="24"/>
                <w:highlight w:val="none"/>
                <w:lang w:val="en-US" w:eastAsia="zh-CN"/>
              </w:rPr>
              <w:t>本项目有组织废气</w:t>
            </w:r>
            <w:r>
              <w:rPr>
                <w:rFonts w:hint="default" w:ascii="Times New Roman" w:hAnsi="Times New Roman" w:eastAsia="黑体" w:cs="Times New Roman"/>
                <w:color w:val="auto"/>
                <w:sz w:val="24"/>
                <w:szCs w:val="24"/>
                <w:highlight w:val="none"/>
                <w:lang w:val="en-US" w:eastAsia="zh-CN"/>
              </w:rPr>
              <w:t>排放标准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04"/>
              <w:gridCol w:w="1007"/>
              <w:gridCol w:w="874"/>
              <w:gridCol w:w="1306"/>
              <w:gridCol w:w="1134"/>
              <w:gridCol w:w="2466"/>
            </w:tblGrid>
            <w:tr w14:paraId="794FB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06" w:type="pct"/>
                  <w:tcBorders>
                    <w:tl2br w:val="nil"/>
                    <w:tr2bl w:val="nil"/>
                  </w:tcBorders>
                  <w:noWrap w:val="0"/>
                  <w:vAlign w:val="center"/>
                </w:tcPr>
                <w:p w14:paraId="4B29159B">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622" w:type="pct"/>
                  <w:tcBorders>
                    <w:tl2br w:val="nil"/>
                    <w:tr2bl w:val="nil"/>
                  </w:tcBorders>
                  <w:noWrap w:val="0"/>
                  <w:vAlign w:val="center"/>
                </w:tcPr>
                <w:p w14:paraId="35CDFA53">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最高允许排放浓度</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shd w:val="clear" w:color="auto" w:fill="FFFFFF"/>
                      <w:vertAlign w:val="superscript"/>
                    </w:rPr>
                    <w:t>3</w:t>
                  </w:r>
                  <w:r>
                    <w:rPr>
                      <w:rFonts w:hint="eastAsia" w:ascii="Times New Roman" w:hAnsi="Times New Roman" w:eastAsia="宋体" w:cs="Times New Roman"/>
                      <w:color w:val="auto"/>
                      <w:sz w:val="21"/>
                      <w:szCs w:val="21"/>
                      <w:lang w:eastAsia="zh-CN"/>
                    </w:rPr>
                    <w:t>）</w:t>
                  </w:r>
                </w:p>
              </w:tc>
              <w:tc>
                <w:tcPr>
                  <w:tcW w:w="540" w:type="pct"/>
                  <w:tcBorders>
                    <w:tl2br w:val="nil"/>
                    <w:tr2bl w:val="nil"/>
                  </w:tcBorders>
                  <w:noWrap w:val="0"/>
                  <w:vAlign w:val="center"/>
                </w:tcPr>
                <w:p w14:paraId="79B828BB">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w:t>
                  </w:r>
                </w:p>
                <w:p w14:paraId="22996438">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高度</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lang w:eastAsia="zh-CN"/>
                    </w:rPr>
                    <w:t>）</w:t>
                  </w:r>
                </w:p>
              </w:tc>
              <w:tc>
                <w:tcPr>
                  <w:tcW w:w="807" w:type="pct"/>
                  <w:tcBorders>
                    <w:tl2br w:val="nil"/>
                    <w:tr2bl w:val="nil"/>
                  </w:tcBorders>
                  <w:noWrap w:val="0"/>
                  <w:vAlign w:val="center"/>
                </w:tcPr>
                <w:p w14:paraId="3D807A0A">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最高允许</w:t>
                  </w:r>
                </w:p>
                <w:p w14:paraId="14C08F36">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排放速率（</w:t>
                  </w:r>
                  <w:r>
                    <w:rPr>
                      <w:rFonts w:hint="default" w:ascii="Times New Roman" w:hAnsi="Times New Roman" w:eastAsia="宋体" w:cs="Times New Roman"/>
                      <w:color w:val="auto"/>
                      <w:sz w:val="21"/>
                      <w:szCs w:val="21"/>
                      <w:highlight w:val="none"/>
                      <w:lang w:val="en-US" w:eastAsia="zh-CN"/>
                    </w:rPr>
                    <w:t>kg/h</w:t>
                  </w:r>
                  <w:r>
                    <w:rPr>
                      <w:rFonts w:hint="eastAsia" w:ascii="Times New Roman" w:hAnsi="Times New Roman" w:eastAsia="宋体" w:cs="Times New Roman"/>
                      <w:color w:val="auto"/>
                      <w:sz w:val="21"/>
                      <w:szCs w:val="21"/>
                      <w:lang w:val="en-US" w:eastAsia="zh-CN"/>
                    </w:rPr>
                    <w:t>）</w:t>
                  </w:r>
                </w:p>
              </w:tc>
              <w:tc>
                <w:tcPr>
                  <w:tcW w:w="701" w:type="pct"/>
                  <w:tcBorders>
                    <w:tl2br w:val="nil"/>
                    <w:tr2bl w:val="nil"/>
                  </w:tcBorders>
                  <w:noWrap w:val="0"/>
                  <w:vAlign w:val="center"/>
                </w:tcPr>
                <w:p w14:paraId="79817B5E">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污染物排放监控限值</w:t>
                  </w:r>
                </w:p>
              </w:tc>
              <w:tc>
                <w:tcPr>
                  <w:tcW w:w="1521" w:type="pct"/>
                  <w:tcBorders>
                    <w:tl2br w:val="nil"/>
                    <w:tr2bl w:val="nil"/>
                  </w:tcBorders>
                  <w:noWrap w:val="0"/>
                  <w:vAlign w:val="center"/>
                </w:tcPr>
                <w:p w14:paraId="052389CF">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w:t>
                  </w:r>
                  <w:r>
                    <w:rPr>
                      <w:rFonts w:hint="default" w:ascii="Times New Roman" w:hAnsi="Times New Roman" w:eastAsia="宋体" w:cs="Times New Roman"/>
                      <w:color w:val="auto"/>
                      <w:sz w:val="21"/>
                      <w:szCs w:val="21"/>
                      <w:highlight w:val="none"/>
                      <w:u w:val="none"/>
                      <w:lang w:eastAsia="zh-CN"/>
                    </w:rPr>
                    <w:t>依据</w:t>
                  </w:r>
                </w:p>
              </w:tc>
            </w:tr>
            <w:tr w14:paraId="6FE44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06" w:type="pct"/>
                  <w:tcBorders>
                    <w:tl2br w:val="nil"/>
                    <w:tr2bl w:val="nil"/>
                  </w:tcBorders>
                  <w:noWrap w:val="0"/>
                  <w:vAlign w:val="center"/>
                </w:tcPr>
                <w:p w14:paraId="67215CD6">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622" w:type="pct"/>
                  <w:tcBorders>
                    <w:tl2br w:val="nil"/>
                    <w:tr2bl w:val="nil"/>
                  </w:tcBorders>
                  <w:noWrap w:val="0"/>
                  <w:vAlign w:val="center"/>
                </w:tcPr>
                <w:p w14:paraId="22D9D47D">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p>
              </w:tc>
              <w:tc>
                <w:tcPr>
                  <w:tcW w:w="540" w:type="pct"/>
                  <w:tcBorders>
                    <w:tl2br w:val="nil"/>
                    <w:tr2bl w:val="nil"/>
                  </w:tcBorders>
                  <w:noWrap w:val="0"/>
                  <w:vAlign w:val="center"/>
                </w:tcPr>
                <w:p w14:paraId="1298DA16">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w:t>
                  </w:r>
                </w:p>
              </w:tc>
              <w:tc>
                <w:tcPr>
                  <w:tcW w:w="807" w:type="pct"/>
                  <w:tcBorders>
                    <w:tl2br w:val="nil"/>
                    <w:tr2bl w:val="nil"/>
                  </w:tcBorders>
                  <w:noWrap w:val="0"/>
                  <w:vAlign w:val="center"/>
                </w:tcPr>
                <w:p w14:paraId="36E64FB7">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5（从严50%）</w:t>
                  </w:r>
                </w:p>
              </w:tc>
              <w:tc>
                <w:tcPr>
                  <w:tcW w:w="701" w:type="pct"/>
                  <w:tcBorders>
                    <w:tl2br w:val="nil"/>
                    <w:tr2bl w:val="nil"/>
                  </w:tcBorders>
                  <w:noWrap w:val="0"/>
                  <w:vAlign w:val="center"/>
                </w:tcPr>
                <w:p w14:paraId="3E1E9EB3">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车间或生产设施排气筒</w:t>
                  </w:r>
                </w:p>
              </w:tc>
              <w:tc>
                <w:tcPr>
                  <w:tcW w:w="1521" w:type="pct"/>
                  <w:tcBorders>
                    <w:tl2br w:val="nil"/>
                    <w:tr2bl w:val="nil"/>
                  </w:tcBorders>
                  <w:noWrap w:val="0"/>
                  <w:vAlign w:val="center"/>
                </w:tcPr>
                <w:p w14:paraId="10FD94C7">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《大气污染物综合排放标准》(GB16297-1996)</w:t>
                  </w:r>
                  <w:r>
                    <w:rPr>
                      <w:rFonts w:hint="eastAsia" w:ascii="Times New Roman" w:hAnsi="Times New Roman" w:eastAsia="宋体" w:cs="Times New Roman"/>
                      <w:color w:val="auto"/>
                      <w:sz w:val="21"/>
                      <w:szCs w:val="21"/>
                      <w:lang w:eastAsia="zh-CN"/>
                    </w:rPr>
                    <w:t>表</w:t>
                  </w:r>
                  <w:r>
                    <w:rPr>
                      <w:rFonts w:hint="eastAsia" w:ascii="Times New Roman" w:hAnsi="Times New Roman" w:eastAsia="宋体" w:cs="Times New Roman"/>
                      <w:color w:val="auto"/>
                      <w:sz w:val="21"/>
                      <w:szCs w:val="21"/>
                      <w:lang w:val="en-US" w:eastAsia="zh-CN"/>
                    </w:rPr>
                    <w:t>2二级标准限值</w:t>
                  </w:r>
                </w:p>
              </w:tc>
            </w:tr>
            <w:tr w14:paraId="398D8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0" w:type="pct"/>
                  <w:gridSpan w:val="6"/>
                  <w:tcBorders>
                    <w:tl2br w:val="nil"/>
                    <w:tr2bl w:val="nil"/>
                  </w:tcBorders>
                  <w:noWrap w:val="0"/>
                  <w:vAlign w:val="center"/>
                </w:tcPr>
                <w:p w14:paraId="10F32D23">
                  <w:pPr>
                    <w:pStyle w:val="43"/>
                    <w:keepNext w:val="0"/>
                    <w:keepLines w:val="0"/>
                    <w:pageBreakBefore w:val="0"/>
                    <w:widowControl w:val="0"/>
                    <w:kinsoku/>
                    <w:wordWrap/>
                    <w:overflowPunct/>
                    <w:topLinePunct w:val="0"/>
                    <w:autoSpaceDE/>
                    <w:autoSpaceDN/>
                    <w:bidi w:val="0"/>
                    <w:adjustRightInd w:val="0"/>
                    <w:snapToGrid w:val="0"/>
                    <w:spacing w:beforeLines="0" w:afterLines="0" w:line="34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highlight w:val="none"/>
                    </w:rPr>
                    <w:t>备注：</w:t>
                  </w:r>
                  <w:r>
                    <w:rPr>
                      <w:rFonts w:hint="default" w:ascii="Times New Roman" w:hAnsi="Times New Roman" w:eastAsia="宋体" w:cs="Times New Roman"/>
                      <w:color w:val="auto"/>
                      <w:sz w:val="21"/>
                      <w:szCs w:val="21"/>
                      <w:highlight w:val="none"/>
                      <w:lang w:val="en-US" w:eastAsia="zh-CN"/>
                    </w:rPr>
                    <w:t>根据项目周边建筑物高度情况，</w:t>
                  </w:r>
                  <w:r>
                    <w:rPr>
                      <w:rFonts w:hint="default" w:ascii="Times New Roman" w:hAnsi="Times New Roman" w:eastAsia="宋体" w:cs="Times New Roman"/>
                      <w:color w:val="auto"/>
                      <w:szCs w:val="21"/>
                      <w:highlight w:val="none"/>
                    </w:rPr>
                    <w:t>项目排气筒高度无法高出周围200米半径范围的建筑5米以上，本项目排气筒高度</w:t>
                  </w: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m，排放速率按上述</w:t>
                  </w:r>
                  <w:r>
                    <w:rPr>
                      <w:rFonts w:hint="eastAsia" w:ascii="Times New Roman" w:hAnsi="Times New Roman" w:eastAsia="宋体" w:cs="Times New Roman"/>
                      <w:color w:val="auto"/>
                      <w:szCs w:val="21"/>
                      <w:highlight w:val="none"/>
                      <w:lang w:eastAsia="zh-CN"/>
                    </w:rPr>
                    <w:t>限值</w:t>
                  </w:r>
                  <w:r>
                    <w:rPr>
                      <w:rFonts w:hint="default" w:ascii="Times New Roman" w:hAnsi="Times New Roman" w:eastAsia="宋体" w:cs="Times New Roman"/>
                      <w:color w:val="auto"/>
                      <w:szCs w:val="21"/>
                      <w:highlight w:val="none"/>
                    </w:rPr>
                    <w:t>的50%执行</w:t>
                  </w:r>
                </w:p>
              </w:tc>
            </w:tr>
          </w:tbl>
          <w:p w14:paraId="6402F6BD">
            <w:pPr>
              <w:keepNext w:val="0"/>
              <w:keepLines w:val="0"/>
              <w:pageBreakBefore w:val="0"/>
              <w:widowControl w:val="0"/>
              <w:kinsoku/>
              <w:wordWrap/>
              <w:overflowPunct/>
              <w:topLinePunct w:val="0"/>
              <w:autoSpaceDE/>
              <w:autoSpaceDN/>
              <w:bidi w:val="0"/>
              <w:adjustRightInd w:val="0"/>
              <w:snapToGrid w:val="0"/>
              <w:spacing w:before="381" w:beforeLines="100"/>
              <w:jc w:val="center"/>
              <w:textAlignment w:val="auto"/>
              <w:rPr>
                <w:rFonts w:hint="eastAsia" w:ascii="Times New Roman" w:hAnsi="Times New Roman" w:eastAsia="黑体" w:cs="Times New Roman"/>
                <w:color w:val="auto"/>
                <w:sz w:val="24"/>
                <w:szCs w:val="22"/>
                <w:highlight w:val="none"/>
                <w:vertAlign w:val="superscript"/>
                <w:lang w:val="en-US" w:eastAsia="zh-CN"/>
              </w:rPr>
            </w:pPr>
            <w:r>
              <w:rPr>
                <w:rFonts w:hint="eastAsia" w:ascii="Times New Roman" w:hAnsi="Times New Roman" w:eastAsia="黑体" w:cs="Times New Roman"/>
                <w:color w:val="auto"/>
                <w:sz w:val="24"/>
                <w:szCs w:val="22"/>
                <w:highlight w:val="none"/>
                <w:lang w:val="en-US" w:eastAsia="zh-CN"/>
              </w:rPr>
              <w:t xml:space="preserve">表3.7-5  </w:t>
            </w:r>
            <w:r>
              <w:rPr>
                <w:rFonts w:hint="default" w:ascii="Times New Roman" w:hAnsi="Times New Roman" w:eastAsia="黑体" w:cs="Times New Roman"/>
                <w:color w:val="auto"/>
                <w:sz w:val="24"/>
                <w:szCs w:val="22"/>
                <w:highlight w:val="none"/>
                <w:lang w:val="en-US" w:eastAsia="zh-CN"/>
              </w:rPr>
              <w:t>无组织</w:t>
            </w:r>
            <w:r>
              <w:rPr>
                <w:rFonts w:hint="eastAsia" w:ascii="Times New Roman" w:hAnsi="Times New Roman" w:eastAsia="黑体" w:cs="Times New Roman"/>
                <w:color w:val="auto"/>
                <w:sz w:val="24"/>
                <w:szCs w:val="22"/>
                <w:highlight w:val="none"/>
                <w:lang w:val="en-US" w:eastAsia="zh-CN"/>
              </w:rPr>
              <w:t>废气</w:t>
            </w:r>
            <w:r>
              <w:rPr>
                <w:rFonts w:hint="default" w:ascii="Times New Roman" w:hAnsi="Times New Roman" w:eastAsia="黑体" w:cs="Times New Roman"/>
                <w:color w:val="auto"/>
                <w:sz w:val="24"/>
                <w:szCs w:val="22"/>
                <w:highlight w:val="none"/>
                <w:lang w:val="en-US" w:eastAsia="zh-CN"/>
              </w:rPr>
              <w:t>排放控制要求</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4"/>
              <w:gridCol w:w="958"/>
              <w:gridCol w:w="2632"/>
              <w:gridCol w:w="3617"/>
            </w:tblGrid>
            <w:tr w14:paraId="377F3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pct"/>
                  <w:vMerge w:val="restart"/>
                  <w:tcBorders>
                    <w:tl2br w:val="nil"/>
                    <w:tr2bl w:val="nil"/>
                  </w:tcBorders>
                  <w:noWrap w:val="0"/>
                  <w:vAlign w:val="center"/>
                </w:tcPr>
                <w:p w14:paraId="0C9B314B">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污染物</w:t>
                  </w:r>
                </w:p>
              </w:tc>
              <w:tc>
                <w:tcPr>
                  <w:tcW w:w="2218" w:type="pct"/>
                  <w:gridSpan w:val="2"/>
                  <w:tcBorders>
                    <w:tl2br w:val="nil"/>
                    <w:tr2bl w:val="nil"/>
                  </w:tcBorders>
                  <w:noWrap w:val="0"/>
                  <w:vAlign w:val="center"/>
                </w:tcPr>
                <w:p w14:paraId="3FD7F5D9">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无组织排放监控浓度限值</w:t>
                  </w:r>
                </w:p>
              </w:tc>
              <w:tc>
                <w:tcPr>
                  <w:tcW w:w="2234" w:type="pct"/>
                  <w:vMerge w:val="restart"/>
                  <w:tcBorders>
                    <w:tl2br w:val="nil"/>
                    <w:tr2bl w:val="nil"/>
                  </w:tcBorders>
                  <w:noWrap w:val="0"/>
                  <w:vAlign w:val="center"/>
                </w:tcPr>
                <w:p w14:paraId="0E2F323E">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标准依据</w:t>
                  </w:r>
                </w:p>
              </w:tc>
            </w:tr>
            <w:tr w14:paraId="44575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pct"/>
                  <w:vMerge w:val="continue"/>
                  <w:tcBorders>
                    <w:tl2br w:val="nil"/>
                    <w:tr2bl w:val="nil"/>
                  </w:tcBorders>
                  <w:noWrap w:val="0"/>
                  <w:vAlign w:val="center"/>
                </w:tcPr>
                <w:p w14:paraId="09B86B5E">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rPr>
                  </w:pPr>
                </w:p>
              </w:tc>
              <w:tc>
                <w:tcPr>
                  <w:tcW w:w="592" w:type="pct"/>
                  <w:tcBorders>
                    <w:tl2br w:val="nil"/>
                    <w:tr2bl w:val="nil"/>
                  </w:tcBorders>
                  <w:noWrap w:val="0"/>
                  <w:vAlign w:val="center"/>
                </w:tcPr>
                <w:p w14:paraId="7921DD19">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监控点</w:t>
                  </w:r>
                </w:p>
              </w:tc>
              <w:tc>
                <w:tcPr>
                  <w:tcW w:w="1626" w:type="pct"/>
                  <w:tcBorders>
                    <w:tl2br w:val="nil"/>
                    <w:tr2bl w:val="nil"/>
                  </w:tcBorders>
                  <w:noWrap w:val="0"/>
                  <w:vAlign w:val="center"/>
                </w:tcPr>
                <w:p w14:paraId="4C1673DD">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浓度</w:t>
                  </w:r>
                </w:p>
              </w:tc>
              <w:tc>
                <w:tcPr>
                  <w:tcW w:w="2234" w:type="pct"/>
                  <w:vMerge w:val="continue"/>
                  <w:tcBorders>
                    <w:tl2br w:val="nil"/>
                    <w:tr2bl w:val="nil"/>
                  </w:tcBorders>
                  <w:noWrap w:val="0"/>
                  <w:vAlign w:val="center"/>
                </w:tcPr>
                <w:p w14:paraId="2E84CC67">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rPr>
                  </w:pPr>
                </w:p>
              </w:tc>
            </w:tr>
            <w:tr w14:paraId="16A09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pct"/>
                  <w:vMerge w:val="restart"/>
                  <w:tcBorders>
                    <w:tl2br w:val="nil"/>
                    <w:tr2bl w:val="nil"/>
                  </w:tcBorders>
                  <w:noWrap w:val="0"/>
                  <w:vAlign w:val="center"/>
                </w:tcPr>
                <w:p w14:paraId="00AC5F25">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非甲烷</w:t>
                  </w:r>
                </w:p>
                <w:p w14:paraId="0F0A69B8">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总烃</w:t>
                  </w:r>
                </w:p>
              </w:tc>
              <w:tc>
                <w:tcPr>
                  <w:tcW w:w="592" w:type="pct"/>
                  <w:tcBorders>
                    <w:tl2br w:val="nil"/>
                    <w:tr2bl w:val="nil"/>
                  </w:tcBorders>
                  <w:noWrap w:val="0"/>
                  <w:vAlign w:val="center"/>
                </w:tcPr>
                <w:p w14:paraId="7AD37C34">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eastAsia="zh-CN"/>
                    </w:rPr>
                    <w:t>企业边界</w:t>
                  </w:r>
                </w:p>
              </w:tc>
              <w:tc>
                <w:tcPr>
                  <w:tcW w:w="1626" w:type="pct"/>
                  <w:tcBorders>
                    <w:tl2br w:val="nil"/>
                    <w:tr2bl w:val="nil"/>
                  </w:tcBorders>
                  <w:noWrap w:val="0"/>
                  <w:vAlign w:val="center"/>
                </w:tcPr>
                <w:p w14:paraId="3162CAE4">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highlight w:val="none"/>
                      <w:u w:val="none"/>
                      <w:lang w:val="en-US" w:eastAsia="zh-CN"/>
                    </w:rPr>
                    <w:t>4.0</w:t>
                  </w:r>
                  <w:r>
                    <w:rPr>
                      <w:rFonts w:hint="default" w:ascii="Times New Roman" w:hAnsi="Times New Roman" w:eastAsia="宋体" w:cs="Times New Roman"/>
                      <w:color w:val="auto"/>
                      <w:sz w:val="21"/>
                      <w:szCs w:val="21"/>
                      <w:highlight w:val="none"/>
                      <w:u w:val="none"/>
                      <w:shd w:val="clear" w:color="auto" w:fill="FFFFFF"/>
                    </w:rPr>
                    <w:t>mg/m</w:t>
                  </w:r>
                  <w:r>
                    <w:rPr>
                      <w:rFonts w:hint="default" w:ascii="Times New Roman" w:hAnsi="Times New Roman" w:eastAsia="宋体" w:cs="Times New Roman"/>
                      <w:color w:val="auto"/>
                      <w:sz w:val="21"/>
                      <w:szCs w:val="21"/>
                      <w:highlight w:val="none"/>
                      <w:u w:val="none"/>
                      <w:shd w:val="clear" w:color="auto" w:fill="FFFFFF"/>
                      <w:vertAlign w:val="superscript"/>
                    </w:rPr>
                    <w:t>3</w:t>
                  </w:r>
                </w:p>
              </w:tc>
              <w:tc>
                <w:tcPr>
                  <w:tcW w:w="2234" w:type="pct"/>
                  <w:tcBorders>
                    <w:tl2br w:val="nil"/>
                    <w:tr2bl w:val="nil"/>
                  </w:tcBorders>
                  <w:noWrap w:val="0"/>
                  <w:vAlign w:val="center"/>
                </w:tcPr>
                <w:p w14:paraId="26F309E9">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val="en-US" w:eastAsia="zh-CN" w:bidi="he-IL"/>
                    </w:rPr>
                  </w:pPr>
                  <w:r>
                    <w:rPr>
                      <w:rFonts w:hint="default" w:ascii="Times New Roman" w:hAnsi="Times New Roman" w:eastAsia="宋体" w:cs="Times New Roman"/>
                      <w:color w:val="auto"/>
                      <w:sz w:val="21"/>
                      <w:szCs w:val="21"/>
                    </w:rPr>
                    <w:t>《大气污染物综合排放标准》(GB16297-1996)</w:t>
                  </w:r>
                  <w:r>
                    <w:rPr>
                      <w:rFonts w:hint="eastAsia" w:ascii="Times New Roman" w:hAnsi="Times New Roman" w:eastAsia="宋体" w:cs="Times New Roman"/>
                      <w:color w:val="auto"/>
                      <w:sz w:val="21"/>
                      <w:szCs w:val="21"/>
                      <w:lang w:eastAsia="zh-CN"/>
                    </w:rPr>
                    <w:t>表</w:t>
                  </w:r>
                  <w:r>
                    <w:rPr>
                      <w:rFonts w:hint="eastAsia" w:ascii="Times New Roman" w:hAnsi="Times New Roman" w:eastAsia="宋体" w:cs="Times New Roman"/>
                      <w:color w:val="auto"/>
                      <w:sz w:val="21"/>
                      <w:szCs w:val="21"/>
                      <w:lang w:val="en-US" w:eastAsia="zh-CN"/>
                    </w:rPr>
                    <w:t>2</w:t>
                  </w:r>
                </w:p>
              </w:tc>
            </w:tr>
            <w:tr w14:paraId="6A3E1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pct"/>
                  <w:vMerge w:val="continue"/>
                  <w:tcBorders>
                    <w:tl2br w:val="nil"/>
                    <w:tr2bl w:val="nil"/>
                  </w:tcBorders>
                  <w:noWrap w:val="0"/>
                  <w:vAlign w:val="center"/>
                </w:tcPr>
                <w:p w14:paraId="6729866F">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rPr>
                  </w:pPr>
                </w:p>
              </w:tc>
              <w:tc>
                <w:tcPr>
                  <w:tcW w:w="592" w:type="pct"/>
                  <w:vMerge w:val="restart"/>
                  <w:tcBorders>
                    <w:tl2br w:val="nil"/>
                    <w:tr2bl w:val="nil"/>
                  </w:tcBorders>
                  <w:noWrap w:val="0"/>
                  <w:vAlign w:val="center"/>
                </w:tcPr>
                <w:p w14:paraId="649B1A7A">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厂区内</w:t>
                  </w:r>
                </w:p>
              </w:tc>
              <w:tc>
                <w:tcPr>
                  <w:tcW w:w="1626" w:type="pct"/>
                  <w:tcBorders>
                    <w:tl2br w:val="nil"/>
                    <w:tr2bl w:val="nil"/>
                  </w:tcBorders>
                  <w:noWrap w:val="0"/>
                  <w:vAlign w:val="center"/>
                </w:tcPr>
                <w:p w14:paraId="66AA71C7">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rPr>
                    <w:t>厂内</w:t>
                  </w:r>
                  <w:r>
                    <w:rPr>
                      <w:rFonts w:hint="default" w:ascii="Times New Roman" w:hAnsi="Times New Roman" w:eastAsia="宋体" w:cs="Times New Roman"/>
                      <w:color w:val="auto"/>
                      <w:sz w:val="21"/>
                      <w:szCs w:val="21"/>
                      <w:highlight w:val="none"/>
                      <w:u w:val="none"/>
                      <w:lang w:eastAsia="zh-CN"/>
                    </w:rPr>
                    <w:t>监控点</w:t>
                  </w:r>
                  <w:r>
                    <w:rPr>
                      <w:rFonts w:hint="default" w:ascii="Times New Roman" w:hAnsi="Times New Roman" w:eastAsia="宋体" w:cs="Times New Roman"/>
                      <w:color w:val="auto"/>
                      <w:sz w:val="21"/>
                      <w:szCs w:val="21"/>
                    </w:rPr>
                    <w:t>1h平均浓度值≤</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2234" w:type="pct"/>
                  <w:vMerge w:val="restart"/>
                  <w:tcBorders>
                    <w:tl2br w:val="nil"/>
                    <w:tr2bl w:val="nil"/>
                  </w:tcBorders>
                  <w:noWrap w:val="0"/>
                  <w:vAlign w:val="center"/>
                </w:tcPr>
                <w:p w14:paraId="12B4D7CC">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u w:val="none"/>
                      <w:lang w:val="en-US" w:eastAsia="zh-CN" w:bidi="he-IL"/>
                    </w:rPr>
                    <w:t>挥发性有机物无组织排放控制标准》</w:t>
                  </w:r>
                  <w:r>
                    <w:rPr>
                      <w:rFonts w:hint="eastAsia" w:ascii="Times New Roman" w:hAnsi="Times New Roman" w:eastAsia="宋体"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u w:val="none"/>
                      <w:lang w:val="en-US" w:eastAsia="zh-CN" w:bidi="he-IL"/>
                    </w:rPr>
                    <w:t>GB37822-2019</w:t>
                  </w:r>
                  <w:r>
                    <w:rPr>
                      <w:rFonts w:hint="eastAsia" w:ascii="Times New Roman" w:hAnsi="Times New Roman" w:eastAsia="宋体"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u w:val="none"/>
                      <w:lang w:val="en-US" w:eastAsia="zh-CN" w:bidi="he-IL"/>
                    </w:rPr>
                    <w:t>附录A表A.1</w:t>
                  </w:r>
                </w:p>
              </w:tc>
            </w:tr>
            <w:tr w14:paraId="47E96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pct"/>
                  <w:vMerge w:val="continue"/>
                  <w:tcBorders>
                    <w:tl2br w:val="nil"/>
                    <w:tr2bl w:val="nil"/>
                  </w:tcBorders>
                  <w:noWrap w:val="0"/>
                  <w:vAlign w:val="center"/>
                </w:tcPr>
                <w:p w14:paraId="37DB9A39">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rPr>
                  </w:pPr>
                </w:p>
              </w:tc>
              <w:tc>
                <w:tcPr>
                  <w:tcW w:w="592" w:type="pct"/>
                  <w:vMerge w:val="continue"/>
                  <w:tcBorders>
                    <w:tl2br w:val="nil"/>
                    <w:tr2bl w:val="nil"/>
                  </w:tcBorders>
                  <w:noWrap w:val="0"/>
                  <w:vAlign w:val="center"/>
                </w:tcPr>
                <w:p w14:paraId="00E07A11">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eastAsia="zh-CN"/>
                    </w:rPr>
                  </w:pPr>
                </w:p>
              </w:tc>
              <w:tc>
                <w:tcPr>
                  <w:tcW w:w="1626" w:type="pct"/>
                  <w:tcBorders>
                    <w:tl2br w:val="nil"/>
                    <w:tr2bl w:val="nil"/>
                  </w:tcBorders>
                  <w:noWrap w:val="0"/>
                  <w:vAlign w:val="center"/>
                </w:tcPr>
                <w:p w14:paraId="2251E749">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厂内监控点</w:t>
                  </w:r>
                  <w:r>
                    <w:rPr>
                      <w:rFonts w:hint="default" w:ascii="Times New Roman" w:hAnsi="Times New Roman" w:eastAsia="宋体" w:cs="Times New Roman"/>
                      <w:color w:val="auto"/>
                      <w:sz w:val="21"/>
                      <w:szCs w:val="21"/>
                      <w:highlight w:val="none"/>
                      <w:u w:val="none"/>
                      <w:vertAlign w:val="baseline"/>
                      <w:lang w:eastAsia="zh-CN"/>
                    </w:rPr>
                    <w:t>任意一次浓度值</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u w:val="none"/>
                      <w:vertAlign w:val="baseline"/>
                      <w:lang w:val="en-US" w:eastAsia="zh-CN"/>
                    </w:rPr>
                    <w:t>30</w:t>
                  </w:r>
                  <w:r>
                    <w:rPr>
                      <w:rFonts w:hint="default" w:ascii="Times New Roman" w:hAnsi="Times New Roman" w:eastAsia="宋体" w:cs="Times New Roman"/>
                      <w:color w:val="auto"/>
                      <w:sz w:val="21"/>
                      <w:szCs w:val="21"/>
                      <w:highlight w:val="none"/>
                      <w:u w:val="none"/>
                    </w:rPr>
                    <w:t>mg/m</w:t>
                  </w:r>
                  <w:r>
                    <w:rPr>
                      <w:rFonts w:hint="default" w:ascii="Times New Roman" w:hAnsi="Times New Roman" w:eastAsia="宋体" w:cs="Times New Roman"/>
                      <w:color w:val="auto"/>
                      <w:sz w:val="21"/>
                      <w:szCs w:val="21"/>
                      <w:highlight w:val="none"/>
                      <w:u w:val="none"/>
                      <w:vertAlign w:val="superscript"/>
                    </w:rPr>
                    <w:t>3</w:t>
                  </w:r>
                </w:p>
              </w:tc>
              <w:tc>
                <w:tcPr>
                  <w:tcW w:w="2234" w:type="pct"/>
                  <w:vMerge w:val="continue"/>
                  <w:tcBorders>
                    <w:tl2br w:val="nil"/>
                    <w:tr2bl w:val="nil"/>
                  </w:tcBorders>
                  <w:noWrap w:val="0"/>
                  <w:vAlign w:val="center"/>
                </w:tcPr>
                <w:p w14:paraId="4FBDC507">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p>
              </w:tc>
            </w:tr>
            <w:tr w14:paraId="7F9E0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pct"/>
                  <w:tcBorders>
                    <w:tl2br w:val="nil"/>
                    <w:tr2bl w:val="nil"/>
                  </w:tcBorders>
                  <w:noWrap w:val="0"/>
                  <w:vAlign w:val="center"/>
                </w:tcPr>
                <w:p w14:paraId="171A5C12">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颗粒物</w:t>
                  </w:r>
                </w:p>
              </w:tc>
              <w:tc>
                <w:tcPr>
                  <w:tcW w:w="592" w:type="pct"/>
                  <w:tcBorders>
                    <w:tl2br w:val="nil"/>
                    <w:tr2bl w:val="nil"/>
                  </w:tcBorders>
                  <w:noWrap w:val="0"/>
                  <w:vAlign w:val="center"/>
                </w:tcPr>
                <w:p w14:paraId="16668757">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企业边界</w:t>
                  </w:r>
                </w:p>
              </w:tc>
              <w:tc>
                <w:tcPr>
                  <w:tcW w:w="1626" w:type="pct"/>
                  <w:tcBorders>
                    <w:tl2br w:val="nil"/>
                    <w:tr2bl w:val="nil"/>
                  </w:tcBorders>
                  <w:noWrap w:val="0"/>
                  <w:vAlign w:val="center"/>
                </w:tcPr>
                <w:p w14:paraId="116DDFF1">
                  <w:pPr>
                    <w:pStyle w:val="44"/>
                    <w:keepNext w:val="0"/>
                    <w:keepLines w:val="0"/>
                    <w:pageBreakBefore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highlight w:val="none"/>
                      <w:u w:val="none"/>
                      <w:lang w:val="en-US"/>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shd w:val="clear" w:color="auto" w:fill="FFFFFF"/>
                    </w:rPr>
                    <w:t>mg/m</w:t>
                  </w:r>
                  <w:r>
                    <w:rPr>
                      <w:rFonts w:hint="default" w:ascii="Times New Roman" w:hAnsi="Times New Roman" w:eastAsia="宋体" w:cs="Times New Roman"/>
                      <w:color w:val="auto"/>
                      <w:sz w:val="21"/>
                      <w:szCs w:val="21"/>
                      <w:highlight w:val="none"/>
                      <w:u w:val="none"/>
                      <w:shd w:val="clear" w:color="auto" w:fill="FFFFFF"/>
                      <w:vertAlign w:val="superscript"/>
                    </w:rPr>
                    <w:t>3</w:t>
                  </w:r>
                </w:p>
              </w:tc>
              <w:tc>
                <w:tcPr>
                  <w:tcW w:w="2234" w:type="pct"/>
                  <w:tcBorders>
                    <w:tl2br w:val="nil"/>
                    <w:tr2bl w:val="nil"/>
                  </w:tcBorders>
                  <w:noWrap w:val="0"/>
                  <w:vAlign w:val="center"/>
                </w:tcPr>
                <w:p w14:paraId="3DAC582E">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val="en-US" w:eastAsia="zh-CN" w:bidi="he-IL"/>
                    </w:rPr>
                  </w:pPr>
                  <w:r>
                    <w:rPr>
                      <w:rFonts w:hint="default" w:ascii="Times New Roman" w:hAnsi="Times New Roman" w:eastAsia="宋体" w:cs="Times New Roman"/>
                      <w:color w:val="auto"/>
                      <w:sz w:val="21"/>
                      <w:szCs w:val="21"/>
                    </w:rPr>
                    <w:t>《大气污染物综合排放标准》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GB16297-1996</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表2</w:t>
                  </w:r>
                </w:p>
              </w:tc>
            </w:tr>
            <w:tr w14:paraId="2BBE1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6" w:type="pct"/>
                  <w:tcBorders>
                    <w:tl2br w:val="nil"/>
                    <w:tr2bl w:val="nil"/>
                  </w:tcBorders>
                  <w:noWrap w:val="0"/>
                  <w:vAlign w:val="center"/>
                </w:tcPr>
                <w:p w14:paraId="6BABD774">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臭气浓度</w:t>
                  </w:r>
                </w:p>
              </w:tc>
              <w:tc>
                <w:tcPr>
                  <w:tcW w:w="592" w:type="pct"/>
                  <w:tcBorders>
                    <w:tl2br w:val="nil"/>
                    <w:tr2bl w:val="nil"/>
                  </w:tcBorders>
                  <w:noWrap w:val="0"/>
                  <w:vAlign w:val="center"/>
                </w:tcPr>
                <w:p w14:paraId="6F619C79">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企业边界</w:t>
                  </w:r>
                </w:p>
              </w:tc>
              <w:tc>
                <w:tcPr>
                  <w:tcW w:w="1626" w:type="pct"/>
                  <w:tcBorders>
                    <w:tl2br w:val="nil"/>
                    <w:tr2bl w:val="nil"/>
                  </w:tcBorders>
                  <w:noWrap w:val="0"/>
                  <w:vAlign w:val="center"/>
                </w:tcPr>
                <w:p w14:paraId="7F93B962">
                  <w:pPr>
                    <w:pStyle w:val="44"/>
                    <w:keepNext w:val="0"/>
                    <w:keepLines w:val="0"/>
                    <w:pageBreakBefore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highlight w:val="none"/>
                      <w:u w:val="none"/>
                      <w:lang w:val="en-US" w:eastAsia="zh-CN"/>
                    </w:rPr>
                    <w:t>20（无量纲）</w:t>
                  </w:r>
                </w:p>
              </w:tc>
              <w:tc>
                <w:tcPr>
                  <w:tcW w:w="2234" w:type="pct"/>
                  <w:tcBorders>
                    <w:tl2br w:val="nil"/>
                    <w:tr2bl w:val="nil"/>
                  </w:tcBorders>
                  <w:noWrap w:val="0"/>
                  <w:vAlign w:val="center"/>
                </w:tcPr>
                <w:p w14:paraId="66D5BC6F">
                  <w:pPr>
                    <w:pStyle w:val="43"/>
                    <w:keepNext w:val="0"/>
                    <w:keepLines w:val="0"/>
                    <w:pageBreakBefore w:val="0"/>
                    <w:kinsoku/>
                    <w:wordWrap/>
                    <w:overflowPunct/>
                    <w:topLinePunct w:val="0"/>
                    <w:autoSpaceDE/>
                    <w:autoSpaceDN/>
                    <w:bidi w:val="0"/>
                    <w:adjustRightInd w:val="0"/>
                    <w:snapToGrid w:val="0"/>
                    <w:spacing w:beforeLines="0" w:afterLines="0"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《恶臭污染物排放标准》（GB14554-93）中表1中二级新改扩建标准</w:t>
                  </w:r>
                </w:p>
              </w:tc>
            </w:tr>
          </w:tbl>
          <w:p w14:paraId="6E8E0D61">
            <w:pPr>
              <w:spacing w:before="120" w:beforeLines="50"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3.</w:t>
            </w:r>
            <w:r>
              <w:rPr>
                <w:rFonts w:hint="eastAsia" w:ascii="Times New Roman" w:hAnsi="Times New Roman" w:cs="Times New Roman"/>
                <w:b/>
                <w:bCs/>
                <w:color w:val="auto"/>
                <w:sz w:val="24"/>
                <w:highlight w:val="none"/>
                <w:lang w:val="en-US" w:eastAsia="zh-CN"/>
              </w:rPr>
              <w:t>7</w:t>
            </w: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厂界噪声</w:t>
            </w:r>
          </w:p>
          <w:p w14:paraId="62637DA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施工期</w:t>
            </w:r>
          </w:p>
          <w:p w14:paraId="421D3936">
            <w:pPr>
              <w:pStyle w:val="45"/>
              <w:rPr>
                <w:rFonts w:hint="default" w:ascii="Times New Roman" w:hAnsi="Times New Roman" w:eastAsia="宋体" w:cs="Times New Roman"/>
                <w:color w:val="auto"/>
              </w:rPr>
            </w:pPr>
            <w:r>
              <w:rPr>
                <w:rFonts w:hint="default" w:ascii="Times New Roman" w:hAnsi="Times New Roman" w:eastAsia="宋体" w:cs="Times New Roman"/>
                <w:color w:val="auto"/>
              </w:rPr>
              <w:t>项目施工期场界噪声执行《建筑施工场界环境噪声排放标准》(GB12523-2011)表1排放限值，详见表</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7-6</w:t>
            </w:r>
            <w:r>
              <w:rPr>
                <w:rFonts w:hint="default" w:ascii="Times New Roman" w:hAnsi="Times New Roman" w:eastAsia="宋体" w:cs="Times New Roman"/>
                <w:color w:val="auto"/>
              </w:rPr>
              <w:t>。</w:t>
            </w:r>
          </w:p>
          <w:p w14:paraId="559F54DE">
            <w:pPr>
              <w:spacing w:before="120" w:beforeLines="50"/>
              <w:jc w:val="center"/>
              <w:rPr>
                <w:rFonts w:hint="default" w:ascii="Times New Roman" w:hAnsi="Times New Roman" w:eastAsia="黑体" w:cs="Times New Roman"/>
                <w:color w:val="auto"/>
                <w:sz w:val="24"/>
                <w:szCs w:val="24"/>
                <w:highlight w:val="none"/>
              </w:rPr>
            </w:pPr>
          </w:p>
          <w:p w14:paraId="001CC06D">
            <w:pPr>
              <w:spacing w:before="120" w:beforeLines="50"/>
              <w:jc w:val="center"/>
              <w:rPr>
                <w:rFonts w:hint="default" w:ascii="Times New Roman" w:hAnsi="Times New Roman" w:eastAsia="黑体" w:cs="Times New Roman"/>
                <w:color w:val="auto"/>
                <w:sz w:val="24"/>
                <w:szCs w:val="24"/>
                <w:highlight w:val="none"/>
              </w:rPr>
            </w:pPr>
          </w:p>
          <w:p w14:paraId="7BAE289C">
            <w:pPr>
              <w:spacing w:before="120" w:beforeLines="50"/>
              <w:jc w:val="center"/>
              <w:rPr>
                <w:rFonts w:hint="default" w:ascii="Times New Roman" w:hAnsi="Times New Roman" w:eastAsia="宋体" w:cs="Times New Roman"/>
                <w:b/>
                <w:bCs/>
                <w:color w:val="auto"/>
                <w:sz w:val="24"/>
              </w:rPr>
            </w:pPr>
            <w:r>
              <w:rPr>
                <w:rFonts w:hint="default" w:ascii="Times New Roman" w:hAnsi="Times New Roman" w:eastAsia="黑体" w:cs="Times New Roman"/>
                <w:color w:val="auto"/>
                <w:sz w:val="24"/>
                <w:szCs w:val="24"/>
                <w:highlight w:val="none"/>
              </w:rPr>
              <w:t>表3.</w:t>
            </w:r>
            <w:r>
              <w:rPr>
                <w:rFonts w:hint="eastAsia" w:ascii="Times New Roman" w:hAnsi="Times New Roman" w:eastAsia="黑体" w:cs="Times New Roman"/>
                <w:color w:val="auto"/>
                <w:sz w:val="24"/>
                <w:szCs w:val="24"/>
                <w:highlight w:val="none"/>
                <w:lang w:val="en-US" w:eastAsia="zh-CN"/>
              </w:rPr>
              <w:t>7-6</w:t>
            </w:r>
            <w:r>
              <w:rPr>
                <w:rFonts w:hint="default" w:ascii="Times New Roman" w:hAnsi="Times New Roman" w:eastAsia="黑体" w:cs="Times New Roman"/>
                <w:color w:val="auto"/>
                <w:sz w:val="24"/>
                <w:szCs w:val="24"/>
                <w:highlight w:val="none"/>
              </w:rPr>
              <w:t xml:space="preserve">  《建筑施工场界环境噪声排放标准》(GB12523-2011)(摘录)</w:t>
            </w:r>
            <w:r>
              <w:rPr>
                <w:rFonts w:hint="default" w:ascii="Times New Roman" w:hAnsi="Times New Roman" w:eastAsia="宋体" w:cs="Times New Roman"/>
                <w:b/>
                <w:bCs/>
                <w:color w:val="auto"/>
                <w:sz w:val="24"/>
              </w:rPr>
              <w:t xml:space="preserve"> </w:t>
            </w:r>
          </w:p>
          <w:tbl>
            <w:tblPr>
              <w:tblStyle w:val="20"/>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818"/>
              <w:gridCol w:w="4274"/>
            </w:tblGrid>
            <w:tr w14:paraId="49F79E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jc w:val="center"/>
              </w:trPr>
              <w:tc>
                <w:tcPr>
                  <w:tcW w:w="2359" w:type="pct"/>
                  <w:noWrap w:val="0"/>
                  <w:vAlign w:val="center"/>
                </w:tcPr>
                <w:p w14:paraId="5A7005B9">
                  <w:pPr>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r>
                    <w:rPr>
                      <w:rFonts w:hint="default" w:ascii="Times New Roman" w:hAnsi="Times New Roman" w:eastAsia="宋体" w:cs="Times New Roman"/>
                      <w:b/>
                      <w:bCs/>
                      <w:color w:val="auto"/>
                    </w:rPr>
                    <w:t>[dB(A)]</w:t>
                  </w:r>
                </w:p>
              </w:tc>
              <w:tc>
                <w:tcPr>
                  <w:tcW w:w="2640" w:type="pct"/>
                  <w:noWrap w:val="0"/>
                  <w:vAlign w:val="center"/>
                </w:tcPr>
                <w:p w14:paraId="591474C6">
                  <w:pPr>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r>
                    <w:rPr>
                      <w:rFonts w:hint="default" w:ascii="Times New Roman" w:hAnsi="Times New Roman" w:eastAsia="宋体" w:cs="Times New Roman"/>
                      <w:b/>
                      <w:bCs/>
                      <w:color w:val="auto"/>
                    </w:rPr>
                    <w:t>[dB(A)]</w:t>
                  </w:r>
                </w:p>
              </w:tc>
            </w:tr>
            <w:tr w14:paraId="446AF6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59" w:type="pct"/>
                  <w:noWrap w:val="0"/>
                  <w:vAlign w:val="center"/>
                </w:tcPr>
                <w:p w14:paraId="6C104415">
                  <w:pPr>
                    <w:pStyle w:val="4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2640" w:type="pct"/>
                  <w:noWrap w:val="0"/>
                  <w:vAlign w:val="center"/>
                </w:tcPr>
                <w:p w14:paraId="6BBBE425">
                  <w:pPr>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w:t>
                  </w:r>
                </w:p>
              </w:tc>
            </w:tr>
          </w:tbl>
          <w:p w14:paraId="72A3D690">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运营期</w:t>
            </w:r>
          </w:p>
          <w:p w14:paraId="1784D96F">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项目运营期</w:t>
            </w:r>
            <w:r>
              <w:rPr>
                <w:rFonts w:hint="eastAsia" w:ascii="Times New Roman" w:hAnsi="Times New Roman" w:cs="Times New Roman"/>
                <w:color w:val="auto"/>
                <w:sz w:val="24"/>
                <w:highlight w:val="none"/>
                <w:lang w:eastAsia="zh-CN"/>
              </w:rPr>
              <w:t>夜间不生产，昼间</w:t>
            </w:r>
            <w:r>
              <w:rPr>
                <w:rFonts w:hint="default" w:ascii="Times New Roman" w:hAnsi="Times New Roman" w:cs="Times New Roman"/>
                <w:color w:val="auto"/>
                <w:sz w:val="24"/>
                <w:highlight w:val="none"/>
              </w:rPr>
              <w:t>厂界噪声执行《工业企业厂界环境噪声排放标准》(GB12348-2008)中</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类</w:t>
            </w:r>
            <w:r>
              <w:rPr>
                <w:rFonts w:hint="default" w:ascii="Times New Roman" w:hAnsi="Times New Roman" w:cs="Times New Roman"/>
                <w:color w:val="auto"/>
                <w:sz w:val="24"/>
                <w:szCs w:val="24"/>
                <w:highlight w:val="none"/>
              </w:rPr>
              <w:t>。</w:t>
            </w:r>
          </w:p>
          <w:p w14:paraId="010DBFFD">
            <w:pPr>
              <w:spacing w:before="120" w:beforeLines="50"/>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表3.</w:t>
            </w:r>
            <w:r>
              <w:rPr>
                <w:rFonts w:hint="eastAsia" w:ascii="Times New Roman" w:hAnsi="Times New Roman" w:eastAsia="黑体" w:cs="Times New Roman"/>
                <w:color w:val="auto"/>
                <w:sz w:val="24"/>
                <w:szCs w:val="24"/>
                <w:highlight w:val="none"/>
                <w:lang w:val="en-US" w:eastAsia="zh-CN"/>
              </w:rPr>
              <w:t>7-7</w:t>
            </w:r>
            <w:r>
              <w:rPr>
                <w:rFonts w:hint="default" w:ascii="Times New Roman" w:hAnsi="Times New Roman" w:eastAsia="黑体" w:cs="Times New Roman"/>
                <w:color w:val="auto"/>
                <w:sz w:val="24"/>
                <w:szCs w:val="24"/>
                <w:highlight w:val="none"/>
              </w:rPr>
              <w:t xml:space="preserve"> 《工业企业厂界环境噪声排放标准》(GB12348-2008)表1(摘录)</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146"/>
              <w:gridCol w:w="1195"/>
              <w:gridCol w:w="1750"/>
            </w:tblGrid>
            <w:tr w14:paraId="1502A7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9" w:type="pct"/>
                  <w:tcBorders>
                    <w:tl2br w:val="single" w:color="auto" w:sz="2" w:space="0"/>
                  </w:tcBorders>
                  <w:noWrap w:val="0"/>
                  <w:vAlign w:val="center"/>
                </w:tcPr>
                <w:p w14:paraId="615EF75F">
                  <w:pPr>
                    <w:snapToGrid w:val="0"/>
                    <w:spacing w:line="340" w:lineRule="exact"/>
                    <w:jc w:val="right"/>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 xml:space="preserve">          时 段</w:t>
                  </w:r>
                </w:p>
                <w:p w14:paraId="19E1FC8C">
                  <w:pPr>
                    <w:snapToGrid w:val="0"/>
                    <w:spacing w:line="340" w:lineRule="exact"/>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厂界外声环境功能区类别</w:t>
                  </w:r>
                </w:p>
              </w:tc>
              <w:tc>
                <w:tcPr>
                  <w:tcW w:w="738" w:type="pct"/>
                  <w:tcBorders>
                    <w:right w:val="single" w:color="auto" w:sz="4" w:space="0"/>
                  </w:tcBorders>
                  <w:noWrap w:val="0"/>
                  <w:vAlign w:val="center"/>
                </w:tcPr>
                <w:p w14:paraId="00C033C3">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昼 间</w:t>
                  </w:r>
                </w:p>
              </w:tc>
              <w:tc>
                <w:tcPr>
                  <w:tcW w:w="1081" w:type="pct"/>
                  <w:noWrap w:val="0"/>
                  <w:vAlign w:val="center"/>
                </w:tcPr>
                <w:p w14:paraId="760D0973">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单 位</w:t>
                  </w:r>
                </w:p>
              </w:tc>
            </w:tr>
            <w:tr w14:paraId="7D334D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9" w:type="pct"/>
                  <w:noWrap w:val="0"/>
                  <w:vAlign w:val="center"/>
                </w:tcPr>
                <w:p w14:paraId="3329FB43">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eastAsia" w:ascii="Times New Roman" w:hAnsi="Times New Roman" w:eastAsia="宋体" w:cs="Times New Roman"/>
                      <w:snapToGrid w:val="0"/>
                      <w:color w:val="auto"/>
                      <w:kern w:val="18"/>
                      <w:szCs w:val="21"/>
                      <w:highlight w:val="none"/>
                      <w:lang w:val="en-US" w:eastAsia="zh-CN"/>
                    </w:rPr>
                    <w:t>2</w:t>
                  </w:r>
                  <w:r>
                    <w:rPr>
                      <w:rFonts w:hint="default" w:ascii="Times New Roman" w:hAnsi="Times New Roman" w:eastAsia="宋体" w:cs="Times New Roman"/>
                      <w:snapToGrid w:val="0"/>
                      <w:color w:val="auto"/>
                      <w:kern w:val="18"/>
                      <w:szCs w:val="21"/>
                      <w:highlight w:val="none"/>
                    </w:rPr>
                    <w:t>类</w:t>
                  </w:r>
                </w:p>
              </w:tc>
              <w:tc>
                <w:tcPr>
                  <w:tcW w:w="738" w:type="pct"/>
                  <w:tcBorders>
                    <w:right w:val="single" w:color="auto" w:sz="4" w:space="0"/>
                  </w:tcBorders>
                  <w:noWrap w:val="0"/>
                  <w:vAlign w:val="center"/>
                </w:tcPr>
                <w:p w14:paraId="6B885E66">
                  <w:pPr>
                    <w:snapToGrid w:val="0"/>
                    <w:spacing w:line="340" w:lineRule="exact"/>
                    <w:jc w:val="center"/>
                    <w:rPr>
                      <w:rFonts w:hint="default" w:ascii="Times New Roman" w:hAnsi="Times New Roman" w:eastAsia="宋体" w:cs="Times New Roman"/>
                      <w:snapToGrid w:val="0"/>
                      <w:color w:val="auto"/>
                      <w:kern w:val="18"/>
                      <w:szCs w:val="21"/>
                      <w:highlight w:val="none"/>
                      <w:lang w:val="en-US" w:eastAsia="zh-CN"/>
                    </w:rPr>
                  </w:pPr>
                  <w:r>
                    <w:rPr>
                      <w:rFonts w:hint="default" w:ascii="Times New Roman" w:hAnsi="Times New Roman" w:eastAsia="宋体" w:cs="Times New Roman"/>
                      <w:snapToGrid w:val="0"/>
                      <w:color w:val="auto"/>
                      <w:kern w:val="18"/>
                      <w:szCs w:val="21"/>
                      <w:highlight w:val="none"/>
                    </w:rPr>
                    <w:t>≤</w:t>
                  </w:r>
                  <w:r>
                    <w:rPr>
                      <w:rFonts w:hint="eastAsia" w:ascii="Times New Roman" w:hAnsi="Times New Roman" w:cs="Times New Roman"/>
                      <w:snapToGrid w:val="0"/>
                      <w:color w:val="auto"/>
                      <w:kern w:val="18"/>
                      <w:szCs w:val="21"/>
                      <w:highlight w:val="none"/>
                      <w:lang w:val="en-US" w:eastAsia="zh-CN"/>
                    </w:rPr>
                    <w:t>60</w:t>
                  </w:r>
                </w:p>
              </w:tc>
              <w:tc>
                <w:tcPr>
                  <w:tcW w:w="1081" w:type="pct"/>
                  <w:noWrap w:val="0"/>
                  <w:vAlign w:val="center"/>
                </w:tcPr>
                <w:p w14:paraId="445B5B4A">
                  <w:pPr>
                    <w:snapToGrid w:val="0"/>
                    <w:spacing w:line="340" w:lineRule="exact"/>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dB(A)</w:t>
                  </w:r>
                </w:p>
              </w:tc>
            </w:tr>
          </w:tbl>
          <w:p w14:paraId="6E41FBCD">
            <w:pPr>
              <w:keepNext w:val="0"/>
              <w:keepLines w:val="0"/>
              <w:pageBreakBefore w:val="0"/>
              <w:widowControl w:val="0"/>
              <w:kinsoku/>
              <w:wordWrap/>
              <w:overflowPunct/>
              <w:topLinePunct w:val="0"/>
              <w:autoSpaceDE/>
              <w:autoSpaceDN/>
              <w:bidi w:val="0"/>
              <w:adjustRightInd w:val="0"/>
              <w:snapToGrid w:val="0"/>
              <w:spacing w:before="120" w:beforeLines="50"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3.</w:t>
            </w:r>
            <w:r>
              <w:rPr>
                <w:rFonts w:hint="eastAsia" w:ascii="Times New Roman" w:hAnsi="Times New Roman" w:cs="Times New Roman"/>
                <w:b/>
                <w:bCs/>
                <w:color w:val="auto"/>
                <w:sz w:val="24"/>
                <w:highlight w:val="none"/>
                <w:lang w:val="en-US" w:eastAsia="zh-CN"/>
              </w:rPr>
              <w:t>7</w:t>
            </w:r>
            <w:r>
              <w:rPr>
                <w:rFonts w:hint="default" w:ascii="Times New Roman" w:hAnsi="Times New Roman" w:cs="Times New Roman"/>
                <w:b/>
                <w:bCs/>
                <w:color w:val="auto"/>
                <w:sz w:val="24"/>
                <w:highlight w:val="none"/>
                <w:lang w:val="en-US" w:eastAsia="zh-CN"/>
              </w:rPr>
              <w:t xml:space="preserve">.4 </w:t>
            </w:r>
            <w:r>
              <w:rPr>
                <w:rFonts w:hint="default" w:ascii="Times New Roman" w:hAnsi="Times New Roman" w:cs="Times New Roman"/>
                <w:b/>
                <w:bCs/>
                <w:color w:val="auto"/>
                <w:sz w:val="24"/>
                <w:highlight w:val="none"/>
              </w:rPr>
              <w:t>固体废物</w:t>
            </w:r>
          </w:p>
          <w:p w14:paraId="601D3960">
            <w:pPr>
              <w:pStyle w:val="39"/>
              <w:ind w:firstLine="480"/>
              <w:jc w:val="both"/>
              <w:rPr>
                <w:rFonts w:hint="default" w:ascii="Times New Roman" w:hAnsi="Times New Roman" w:cs="Times New Roman"/>
                <w:color w:val="auto"/>
                <w:kern w:val="0"/>
                <w:szCs w:val="21"/>
              </w:rPr>
            </w:pPr>
            <w:r>
              <w:rPr>
                <w:rFonts w:hint="default" w:ascii="Times New Roman" w:hAnsi="Times New Roman" w:eastAsia="宋体" w:cs="Times New Roman"/>
                <w:color w:val="auto"/>
                <w:sz w:val="24"/>
                <w:szCs w:val="24"/>
              </w:rPr>
              <w:t>运营期项目内产生的</w:t>
            </w:r>
            <w:r>
              <w:rPr>
                <w:rFonts w:hint="default" w:ascii="Times New Roman" w:hAnsi="Times New Roman" w:eastAsia="宋体" w:cs="Times New Roman"/>
                <w:color w:val="auto"/>
                <w:sz w:val="24"/>
                <w:szCs w:val="24"/>
                <w:lang w:eastAsia="zh-CN"/>
              </w:rPr>
              <w:t>一般工业固废</w:t>
            </w:r>
            <w:r>
              <w:rPr>
                <w:rFonts w:hint="eastAsia" w:ascii="Times New Roman" w:hAnsi="Times New Roman" w:eastAsia="宋体" w:cs="Times New Roman"/>
                <w:color w:val="auto"/>
                <w:sz w:val="24"/>
                <w:szCs w:val="24"/>
                <w:lang w:val="en-US" w:eastAsia="zh-CN"/>
              </w:rPr>
              <w:t>贮存</w:t>
            </w:r>
            <w:r>
              <w:rPr>
                <w:rFonts w:hint="default" w:ascii="Times New Roman" w:hAnsi="Times New Roman" w:eastAsia="宋体" w:cs="Times New Roman"/>
                <w:color w:val="auto"/>
                <w:sz w:val="24"/>
                <w:szCs w:val="24"/>
                <w:lang w:eastAsia="zh-CN"/>
              </w:rPr>
              <w:t>应</w:t>
            </w:r>
            <w:r>
              <w:rPr>
                <w:rFonts w:hint="default" w:ascii="Times New Roman" w:hAnsi="Times New Roman" w:eastAsia="宋体" w:cs="Times New Roman"/>
                <w:color w:val="auto"/>
                <w:sz w:val="24"/>
                <w:szCs w:val="24"/>
              </w:rPr>
              <w:t>按照</w:t>
            </w:r>
            <w:r>
              <w:rPr>
                <w:rFonts w:hint="eastAsia" w:ascii="Times New Roman" w:hAnsi="Times New Roman" w:eastAsia="宋体" w:cs="Times New Roman"/>
                <w:color w:val="auto"/>
                <w:sz w:val="24"/>
                <w:szCs w:val="24"/>
                <w:lang w:eastAsia="zh-CN"/>
              </w:rPr>
              <w:t>《一般工业固体废物贮存和填埋污染控制标准》(GB18599-2020)要求</w:t>
            </w:r>
            <w:r>
              <w:rPr>
                <w:rFonts w:hint="default" w:ascii="Times New Roman" w:hAnsi="Times New Roman" w:eastAsia="宋体" w:cs="Times New Roman"/>
                <w:color w:val="auto"/>
                <w:sz w:val="24"/>
                <w:szCs w:val="24"/>
              </w:rPr>
              <w:t>进行</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危险废物</w:t>
            </w:r>
            <w:r>
              <w:rPr>
                <w:rFonts w:hint="eastAsia" w:ascii="Times New Roman" w:hAnsi="Times New Roman" w:eastAsia="宋体" w:cs="Times New Roman"/>
                <w:color w:val="auto"/>
                <w:sz w:val="24"/>
                <w:szCs w:val="24"/>
                <w:lang w:val="en-US" w:eastAsia="zh-CN"/>
              </w:rPr>
              <w:t>贮存</w:t>
            </w:r>
            <w:r>
              <w:rPr>
                <w:rFonts w:hint="default" w:ascii="Times New Roman" w:hAnsi="Times New Roman" w:eastAsia="宋体" w:cs="Times New Roman"/>
                <w:color w:val="auto"/>
                <w:sz w:val="24"/>
                <w:szCs w:val="24"/>
              </w:rPr>
              <w:t>应按照</w:t>
            </w:r>
            <w:r>
              <w:rPr>
                <w:rFonts w:hint="eastAsia" w:ascii="Times New Roman" w:hAnsi="Times New Roman" w:eastAsia="宋体" w:cs="Times New Roman"/>
                <w:color w:val="auto"/>
                <w:sz w:val="24"/>
                <w:szCs w:val="24"/>
                <w:lang w:val="en-US" w:eastAsia="zh-CN"/>
              </w:rPr>
              <w:t>《危险废物贮存污染控制标准》(GB18597-2023)要求</w:t>
            </w:r>
            <w:r>
              <w:rPr>
                <w:rFonts w:hint="default" w:ascii="Times New Roman" w:hAnsi="Times New Roman" w:eastAsia="宋体" w:cs="Times New Roman"/>
                <w:color w:val="auto"/>
                <w:sz w:val="24"/>
                <w:szCs w:val="24"/>
              </w:rPr>
              <w:t>进行</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危险废物识别标志按照《危险废物识别标志设置技术规范》(HJ 1276-2022)要求进行</w:t>
            </w:r>
            <w:r>
              <w:rPr>
                <w:rFonts w:hint="default" w:ascii="Times New Roman" w:hAnsi="Times New Roman" w:eastAsia="宋体" w:cs="Times New Roman"/>
                <w:color w:val="auto"/>
                <w:sz w:val="24"/>
                <w:szCs w:val="24"/>
                <w:lang w:val="en-US" w:eastAsia="zh-CN"/>
              </w:rPr>
              <w:t>设置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危险废物转移按照《危险废物转移管理办法》要求进行；项</w:t>
            </w:r>
            <w:r>
              <w:rPr>
                <w:rFonts w:hint="default" w:ascii="Times New Roman" w:hAnsi="Times New Roman" w:eastAsia="宋体" w:cs="Times New Roman"/>
                <w:color w:val="auto"/>
                <w:sz w:val="24"/>
                <w:szCs w:val="24"/>
              </w:rPr>
              <w:t>目生活垃圾</w:t>
            </w:r>
            <w:r>
              <w:rPr>
                <w:rFonts w:hint="default" w:ascii="Times New Roman" w:hAnsi="Times New Roman" w:eastAsia="宋体" w:cs="Times New Roman"/>
                <w:color w:val="auto"/>
                <w:sz w:val="24"/>
                <w:szCs w:val="24"/>
                <w:lang w:val="en-US" w:eastAsia="zh-CN"/>
              </w:rPr>
              <w:t>参照</w:t>
            </w:r>
            <w:r>
              <w:rPr>
                <w:rFonts w:hint="default" w:ascii="Times New Roman" w:hAnsi="Times New Roman" w:eastAsia="宋体" w:cs="Times New Roman"/>
                <w:color w:val="auto"/>
                <w:sz w:val="24"/>
                <w:szCs w:val="24"/>
              </w:rPr>
              <w:t>《城市环境卫生设施规划规范》</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GB50337-2018</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中的要求进行综合利用和处置</w:t>
            </w:r>
            <w:r>
              <w:rPr>
                <w:rFonts w:hint="default" w:ascii="Times New Roman" w:hAnsi="Times New Roman" w:eastAsia="宋体" w:cs="Times New Roman"/>
                <w:color w:val="auto"/>
                <w:sz w:val="24"/>
                <w:szCs w:val="24"/>
                <w:lang w:eastAsia="zh-CN"/>
              </w:rPr>
              <w:t>。</w:t>
            </w:r>
          </w:p>
        </w:tc>
      </w:tr>
      <w:tr w14:paraId="49408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8" w:hRule="atLeast"/>
          <w:jc w:val="center"/>
        </w:trPr>
        <w:tc>
          <w:tcPr>
            <w:tcW w:w="680" w:type="dxa"/>
            <w:noWrap w:val="0"/>
            <w:vAlign w:val="center"/>
          </w:tcPr>
          <w:p w14:paraId="46C53C8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w:t>
            </w:r>
          </w:p>
          <w:p w14:paraId="0DF570C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控制</w:t>
            </w:r>
          </w:p>
          <w:p w14:paraId="14FACCD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highlight w:val="none"/>
              </w:rPr>
              <w:t>指标</w:t>
            </w:r>
          </w:p>
        </w:tc>
        <w:tc>
          <w:tcPr>
            <w:tcW w:w="8190" w:type="dxa"/>
            <w:noWrap w:val="0"/>
            <w:vAlign w:val="center"/>
          </w:tcPr>
          <w:p w14:paraId="76AD6672">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textAlignment w:val="auto"/>
              <w:rPr>
                <w:rFonts w:hint="default" w:ascii="Times New Roman" w:hAnsi="Times New Roman" w:eastAsia="宋体" w:cs="Times New Roman"/>
                <w:b/>
                <w:bCs w:val="0"/>
                <w:color w:val="auto"/>
                <w:sz w:val="28"/>
                <w:szCs w:val="28"/>
                <w:highlight w:val="none"/>
                <w:lang w:val="en-US" w:eastAsia="zh-CN"/>
              </w:rPr>
            </w:pPr>
            <w:r>
              <w:rPr>
                <w:rFonts w:hint="eastAsia" w:ascii="Times New Roman" w:hAnsi="Times New Roman" w:eastAsia="宋体" w:cs="Times New Roman"/>
                <w:b/>
                <w:bCs w:val="0"/>
                <w:color w:val="auto"/>
                <w:sz w:val="28"/>
                <w:szCs w:val="28"/>
                <w:highlight w:val="none"/>
                <w:lang w:val="en-US" w:eastAsia="zh-CN"/>
              </w:rPr>
              <w:t>3.8 总量控制指标</w:t>
            </w:r>
          </w:p>
          <w:p w14:paraId="39BDD65D">
            <w:pPr>
              <w:keepNext w:val="0"/>
              <w:keepLines w:val="0"/>
              <w:pageBreakBefore w:val="0"/>
              <w:widowControl w:val="0"/>
              <w:kinsoku/>
              <w:wordWrap/>
              <w:overflowPunct/>
              <w:topLinePunct w:val="0"/>
              <w:autoSpaceDE/>
              <w:autoSpaceDN/>
              <w:bidi w:val="0"/>
              <w:adjustRightInd w:val="0"/>
              <w:snapToGrid w:val="0"/>
              <w:spacing w:before="120" w:beforeLines="50" w:line="360" w:lineRule="auto"/>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3.8.1 总量控制指标</w:t>
            </w:r>
          </w:p>
          <w:p w14:paraId="6207A132">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lang w:val="en-US" w:eastAsia="zh-CN"/>
              </w:rPr>
            </w:pPr>
            <w:r>
              <w:rPr>
                <w:rFonts w:hint="default" w:ascii="Times New Roman" w:hAnsi="Times New Roman" w:cs="Times New Roman"/>
                <w:color w:val="auto"/>
                <w:sz w:val="24"/>
                <w:lang w:val="en-GB"/>
              </w:rPr>
              <w:t>根据《福建省建设项目主要污染物排放总量指标管理办法</w:t>
            </w:r>
            <w:r>
              <w:rPr>
                <w:rFonts w:hint="eastAsia" w:ascii="Times New Roman" w:hAnsi="Times New Roman" w:cs="Times New Roman"/>
                <w:color w:val="auto"/>
                <w:sz w:val="24"/>
                <w:lang w:val="en-GB" w:eastAsia="zh-CN"/>
              </w:rPr>
              <w:t>（</w:t>
            </w:r>
            <w:r>
              <w:rPr>
                <w:rFonts w:hint="default" w:ascii="Times New Roman" w:hAnsi="Times New Roman" w:cs="Times New Roman"/>
                <w:color w:val="auto"/>
                <w:sz w:val="24"/>
                <w:lang w:val="en-GB"/>
              </w:rPr>
              <w:t>试行</w:t>
            </w:r>
            <w:r>
              <w:rPr>
                <w:rFonts w:hint="eastAsia" w:ascii="Times New Roman" w:hAnsi="Times New Roman" w:cs="Times New Roman"/>
                <w:color w:val="auto"/>
                <w:sz w:val="24"/>
                <w:lang w:val="en-GB" w:eastAsia="zh-CN"/>
              </w:rPr>
              <w:t>）</w:t>
            </w:r>
            <w:r>
              <w:rPr>
                <w:rFonts w:hint="default" w:ascii="Times New Roman" w:hAnsi="Times New Roman" w:cs="Times New Roman"/>
                <w:color w:val="auto"/>
                <w:sz w:val="24"/>
                <w:lang w:val="en-GB"/>
              </w:rPr>
              <w:t>的通知》</w:t>
            </w:r>
            <w:r>
              <w:rPr>
                <w:rFonts w:hint="eastAsia" w:ascii="Times New Roman" w:hAnsi="Times New Roman" w:cs="Times New Roman"/>
                <w:color w:val="auto"/>
                <w:sz w:val="24"/>
                <w:lang w:val="en-GB" w:eastAsia="zh-CN"/>
              </w:rPr>
              <w:t>（</w:t>
            </w:r>
            <w:r>
              <w:rPr>
                <w:rFonts w:hint="default" w:ascii="Times New Roman" w:hAnsi="Times New Roman" w:cs="Times New Roman"/>
                <w:color w:val="auto"/>
                <w:sz w:val="24"/>
                <w:lang w:val="en-GB"/>
              </w:rPr>
              <w:t>闽环发</w:t>
            </w:r>
            <w:r>
              <w:rPr>
                <w:rFonts w:hint="eastAsia" w:ascii="Times New Roman" w:hAnsi="Times New Roman" w:cs="Times New Roman"/>
                <w:color w:val="auto"/>
                <w:sz w:val="24"/>
                <w:lang w:val="en-GB" w:eastAsia="zh-CN"/>
              </w:rPr>
              <w:t>〔</w:t>
            </w:r>
            <w:r>
              <w:rPr>
                <w:rFonts w:hint="default" w:ascii="Times New Roman" w:hAnsi="Times New Roman" w:cs="Times New Roman"/>
                <w:color w:val="auto"/>
                <w:sz w:val="24"/>
                <w:lang w:val="en-GB"/>
              </w:rPr>
              <w:t>2014</w:t>
            </w:r>
            <w:r>
              <w:rPr>
                <w:rFonts w:hint="eastAsia" w:ascii="Times New Roman" w:hAnsi="Times New Roman" w:cs="Times New Roman"/>
                <w:color w:val="auto"/>
                <w:sz w:val="24"/>
                <w:lang w:val="en-GB" w:eastAsia="zh-CN"/>
              </w:rPr>
              <w:t>〕</w:t>
            </w:r>
            <w:r>
              <w:rPr>
                <w:rFonts w:hint="default" w:ascii="Times New Roman" w:hAnsi="Times New Roman" w:cs="Times New Roman"/>
                <w:color w:val="auto"/>
                <w:sz w:val="24"/>
                <w:lang w:val="en-GB"/>
              </w:rPr>
              <w:t>13号</w:t>
            </w:r>
            <w:r>
              <w:rPr>
                <w:rFonts w:hint="eastAsia" w:ascii="Times New Roman" w:hAnsi="Times New Roman" w:cs="Times New Roman"/>
                <w:color w:val="auto"/>
                <w:sz w:val="24"/>
                <w:lang w:val="en-GB" w:eastAsia="zh-CN"/>
              </w:rPr>
              <w:t>）</w:t>
            </w:r>
            <w:r>
              <w:rPr>
                <w:rFonts w:hint="default" w:ascii="Times New Roman" w:hAnsi="Times New Roman" w:cs="Times New Roman"/>
                <w:color w:val="auto"/>
                <w:sz w:val="24"/>
                <w:lang w:val="en-GB"/>
              </w:rPr>
              <w:t>、《福建省关于全面实施排污权有偿使用和交易工作的意见》</w:t>
            </w:r>
            <w:r>
              <w:rPr>
                <w:rFonts w:hint="eastAsia" w:ascii="Times New Roman" w:hAnsi="Times New Roman" w:cs="Times New Roman"/>
                <w:color w:val="auto"/>
                <w:sz w:val="24"/>
                <w:lang w:val="en-GB" w:eastAsia="zh-CN"/>
              </w:rPr>
              <w:t>（</w:t>
            </w:r>
            <w:r>
              <w:rPr>
                <w:rFonts w:hint="default" w:ascii="Times New Roman" w:hAnsi="Times New Roman" w:cs="Times New Roman"/>
                <w:color w:val="auto"/>
                <w:sz w:val="24"/>
                <w:lang w:val="en-GB"/>
              </w:rPr>
              <w:t>政2016号54号</w:t>
            </w:r>
            <w:r>
              <w:rPr>
                <w:rFonts w:hint="eastAsia" w:ascii="Times New Roman" w:hAnsi="Times New Roman" w:cs="Times New Roman"/>
                <w:color w:val="auto"/>
                <w:sz w:val="24"/>
                <w:lang w:val="en-GB" w:eastAsia="zh-CN"/>
              </w:rPr>
              <w:t>）</w:t>
            </w:r>
            <w:r>
              <w:rPr>
                <w:rFonts w:hint="eastAsia" w:ascii="Times New Roman" w:hAnsi="Times New Roman" w:cs="Times New Roman"/>
                <w:color w:val="auto"/>
                <w:sz w:val="24"/>
                <w:lang w:val="en-US" w:eastAsia="zh-CN"/>
              </w:rPr>
              <w:t>等文件要求，</w:t>
            </w:r>
            <w:r>
              <w:rPr>
                <w:rFonts w:hint="default" w:ascii="Times New Roman" w:hAnsi="Times New Roman" w:cs="Times New Roman"/>
                <w:color w:val="auto"/>
                <w:sz w:val="24"/>
                <w:lang w:val="en-GB"/>
              </w:rPr>
              <w:t>现阶段</w:t>
            </w:r>
            <w:r>
              <w:rPr>
                <w:rFonts w:hint="eastAsia" w:ascii="Times New Roman" w:hAnsi="Times New Roman" w:eastAsia="宋体" w:cs="Times New Roman"/>
                <w:color w:val="auto"/>
                <w:lang w:val="en-US" w:eastAsia="zh-CN"/>
              </w:rPr>
              <w:t>福建省主要污染物排放总量指标为COD、NH</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-N、SO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、NOx。同时根据《福建省大气污染防治条例》，结合《福州市环境保护局关于印发福州市大气污染联防联控联治工作方案的通知》（榕环保综[2018]386号）等文件要求，VOCs指标也列入总量控制行列。</w:t>
            </w:r>
          </w:p>
          <w:p w14:paraId="0C3399C9">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3.8.2 </w:t>
            </w:r>
            <w:r>
              <w:rPr>
                <w:rFonts w:hint="eastAsia" w:ascii="Times New Roman" w:hAnsi="Times New Roman" w:cs="Times New Roman"/>
                <w:b/>
                <w:bCs/>
                <w:color w:val="auto"/>
                <w:lang w:val="en-US" w:eastAsia="zh-CN"/>
              </w:rPr>
              <w:t>废水主要污染物排放总量</w:t>
            </w:r>
          </w:p>
          <w:p w14:paraId="530E135A">
            <w:pPr>
              <w:spacing w:line="360" w:lineRule="auto"/>
              <w:ind w:firstLine="480" w:firstLineChars="200"/>
              <w:rPr>
                <w:rFonts w:hint="default" w:ascii="Times New Roman" w:hAnsi="Times New Roman" w:cs="Times New Roman"/>
                <w:color w:val="auto"/>
                <w:sz w:val="24"/>
                <w:szCs w:val="24"/>
                <w:highlight w:val="none"/>
                <w:lang w:val="en-US"/>
              </w:rPr>
            </w:pPr>
            <w:r>
              <w:rPr>
                <w:rFonts w:hint="eastAsia" w:ascii="Times New Roman" w:hAnsi="Times New Roman" w:eastAsia="宋体" w:cs="Times New Roman"/>
                <w:color w:val="auto"/>
                <w:sz w:val="24"/>
                <w:szCs w:val="24"/>
                <w:lang w:val="en-US" w:eastAsia="zh-CN"/>
              </w:rPr>
              <w:t>本项目清洁废水、作业区露天区域初期雨水经处理后全部回用，不外排，生活污水经预处理达标后排入松下镇山前村污水管网，</w:t>
            </w:r>
            <w:r>
              <w:rPr>
                <w:rFonts w:ascii="Times New Roman" w:hAnsi="Times New Roman"/>
                <w:color w:val="auto"/>
                <w:sz w:val="24"/>
                <w:szCs w:val="24"/>
              </w:rPr>
              <w:t>送往</w:t>
            </w:r>
            <w:r>
              <w:rPr>
                <w:rFonts w:hint="eastAsia" w:ascii="Times New Roman" w:hAnsi="Times New Roman"/>
                <w:color w:val="auto"/>
                <w:sz w:val="24"/>
                <w:szCs w:val="24"/>
                <w:lang w:eastAsia="zh-CN"/>
              </w:rPr>
              <w:t>福州市长乐区松下镇山前村污水处理站</w:t>
            </w:r>
            <w:r>
              <w:rPr>
                <w:rFonts w:ascii="Times New Roman" w:hAnsi="Times New Roman"/>
                <w:color w:val="auto"/>
                <w:sz w:val="24"/>
                <w:szCs w:val="24"/>
              </w:rPr>
              <w:t>集中处理</w:t>
            </w:r>
            <w:r>
              <w:rPr>
                <w:rFonts w:hint="eastAsia" w:ascii="Times New Roman" w:hAnsi="Times New Roman"/>
                <w:color w:val="auto"/>
                <w:sz w:val="24"/>
                <w:szCs w:val="24"/>
                <w:lang w:eastAsia="zh-CN"/>
              </w:rPr>
              <w:t>。</w:t>
            </w:r>
            <w:r>
              <w:rPr>
                <w:rFonts w:ascii="Times New Roman" w:hAnsi="Times New Roman"/>
                <w:color w:val="auto"/>
                <w:sz w:val="24"/>
              </w:rPr>
              <w:t>根据《福建省环保厅关于进一步明确排污权工作有关问题的通知》(闽环保财</w:t>
            </w:r>
            <w:r>
              <w:rPr>
                <w:rFonts w:hint="eastAsia" w:ascii="Times New Roman" w:hAnsi="Times New Roman"/>
                <w:color w:val="auto"/>
                <w:sz w:val="24"/>
                <w:lang w:eastAsia="zh-CN"/>
              </w:rPr>
              <w:t>〔</w:t>
            </w:r>
            <w:r>
              <w:rPr>
                <w:rFonts w:ascii="Times New Roman" w:hAnsi="Times New Roman"/>
                <w:color w:val="auto"/>
                <w:sz w:val="24"/>
              </w:rPr>
              <w:t>2017</w:t>
            </w:r>
            <w:r>
              <w:rPr>
                <w:rFonts w:hint="eastAsia" w:ascii="Times New Roman" w:hAnsi="Times New Roman"/>
                <w:color w:val="auto"/>
                <w:sz w:val="24"/>
                <w:lang w:eastAsia="zh-CN"/>
              </w:rPr>
              <w:t>〕</w:t>
            </w:r>
            <w:r>
              <w:rPr>
                <w:rFonts w:ascii="Times New Roman" w:hAnsi="Times New Roman"/>
                <w:color w:val="auto"/>
                <w:sz w:val="24"/>
              </w:rPr>
              <w:t>22号)，现有工业排污单位的水污染物的初始排污权只核定工业废水部分，</w:t>
            </w:r>
            <w:r>
              <w:rPr>
                <w:rFonts w:hint="eastAsia" w:ascii="Times New Roman" w:hAnsi="Times New Roman"/>
                <w:color w:val="auto"/>
                <w:sz w:val="24"/>
                <w:lang w:val="en-US" w:eastAsia="zh-CN"/>
              </w:rPr>
              <w:t>项目无生产废水外排，不涉及废水总量控制指标。</w:t>
            </w:r>
          </w:p>
          <w:p w14:paraId="53ACE074">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3.8.3 废气主要污染物排放总量</w:t>
            </w:r>
          </w:p>
          <w:p w14:paraId="29C19586">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rPr>
              <w:t>废气总量控制指标为VOCs</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以NMHC计</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废气污染物排放总量见下表</w:t>
            </w:r>
            <w:r>
              <w:rPr>
                <w:rFonts w:hint="eastAsia" w:ascii="Times New Roman" w:hAnsi="Times New Roman" w:eastAsia="宋体" w:cs="Times New Roman"/>
                <w:color w:val="auto"/>
                <w:sz w:val="24"/>
                <w:highlight w:val="none"/>
                <w:lang w:val="en-US" w:eastAsia="zh-CN"/>
              </w:rPr>
              <w:t>3.8-1</w:t>
            </w:r>
            <w:r>
              <w:rPr>
                <w:rFonts w:hint="eastAsia" w:ascii="Times New Roman" w:hAnsi="Times New Roman" w:eastAsia="宋体" w:cs="Times New Roman"/>
                <w:color w:val="auto"/>
                <w:sz w:val="24"/>
                <w:szCs w:val="24"/>
                <w:highlight w:val="none"/>
                <w:vertAlign w:val="baseline"/>
                <w:lang w:val="en-US" w:eastAsia="zh-CN"/>
              </w:rPr>
              <w:t>。</w:t>
            </w:r>
          </w:p>
          <w:p w14:paraId="77472B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w:t>
            </w:r>
            <w:r>
              <w:rPr>
                <w:rFonts w:hint="eastAsia" w:ascii="Times New Roman" w:hAnsi="Times New Roman" w:eastAsia="黑体" w:cs="Times New Roman"/>
                <w:color w:val="auto"/>
                <w:sz w:val="24"/>
                <w:highlight w:val="none"/>
                <w:lang w:val="en-US" w:eastAsia="zh-CN"/>
              </w:rPr>
              <w:t xml:space="preserve">3.8-1 </w:t>
            </w:r>
            <w:r>
              <w:rPr>
                <w:rFonts w:hint="default" w:ascii="Times New Roman" w:hAnsi="Times New Roman" w:eastAsia="黑体" w:cs="Times New Roman"/>
                <w:color w:val="auto"/>
                <w:sz w:val="24"/>
                <w:highlight w:val="none"/>
              </w:rPr>
              <w:t>项目废气污染物排放总量指标一览表</w:t>
            </w: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71"/>
              <w:gridCol w:w="1104"/>
              <w:gridCol w:w="1512"/>
              <w:gridCol w:w="1195"/>
              <w:gridCol w:w="1292"/>
              <w:gridCol w:w="1005"/>
              <w:gridCol w:w="1512"/>
            </w:tblGrid>
            <w:tr w14:paraId="12E0E3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975" w:type="pct"/>
                  <w:gridSpan w:val="2"/>
                  <w:noWrap w:val="0"/>
                  <w:vAlign w:val="center"/>
                </w:tcPr>
                <w:p w14:paraId="20F1F9CC">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931" w:type="pct"/>
                  <w:noWrap w:val="0"/>
                  <w:vAlign w:val="center"/>
                </w:tcPr>
                <w:p w14:paraId="6B92D266">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739" w:type="pct"/>
                  <w:tcBorders>
                    <w:left w:val="single" w:color="auto" w:sz="4" w:space="0"/>
                  </w:tcBorders>
                  <w:noWrap w:val="0"/>
                  <w:vAlign w:val="center"/>
                </w:tcPr>
                <w:p w14:paraId="269048AD">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允许排</w:t>
                  </w:r>
                </w:p>
                <w:p w14:paraId="59159FC2">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放浓度</w:t>
                  </w:r>
                </w:p>
              </w:tc>
              <w:tc>
                <w:tcPr>
                  <w:tcW w:w="799" w:type="pct"/>
                  <w:noWrap w:val="0"/>
                  <w:vAlign w:val="center"/>
                </w:tcPr>
                <w:p w14:paraId="3EF63753">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预测排</w:t>
                  </w:r>
                </w:p>
                <w:p w14:paraId="00F19EF7">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放浓度</w:t>
                  </w:r>
                </w:p>
              </w:tc>
              <w:tc>
                <w:tcPr>
                  <w:tcW w:w="622" w:type="pct"/>
                  <w:noWrap w:val="0"/>
                  <w:vAlign w:val="center"/>
                </w:tcPr>
                <w:p w14:paraId="01B55DF9">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预测排</w:t>
                  </w:r>
                </w:p>
                <w:p w14:paraId="73393936">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放量</w:t>
                  </w:r>
                </w:p>
              </w:tc>
              <w:tc>
                <w:tcPr>
                  <w:tcW w:w="931" w:type="pct"/>
                  <w:noWrap w:val="0"/>
                  <w:vAlign w:val="center"/>
                </w:tcPr>
                <w:p w14:paraId="5F80B287">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总量核</w:t>
                  </w:r>
                </w:p>
                <w:p w14:paraId="47762538">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算指标</w:t>
                  </w:r>
                </w:p>
              </w:tc>
            </w:tr>
            <w:tr w14:paraId="07242B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975" w:type="pct"/>
                  <w:gridSpan w:val="2"/>
                  <w:noWrap w:val="0"/>
                  <w:vAlign w:val="center"/>
                </w:tcPr>
                <w:p w14:paraId="1D349CF6">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w:t>
                  </w:r>
                </w:p>
              </w:tc>
              <w:tc>
                <w:tcPr>
                  <w:tcW w:w="931" w:type="pct"/>
                  <w:noWrap w:val="0"/>
                  <w:vAlign w:val="center"/>
                </w:tcPr>
                <w:p w14:paraId="4320AE83">
                  <w:pPr>
                    <w:adjustRightInd w:val="0"/>
                    <w:snapToGrid w:val="0"/>
                    <w:spacing w:line="340" w:lineRule="exact"/>
                    <w:jc w:val="center"/>
                    <w:rPr>
                      <w:rFonts w:hint="default" w:ascii="Times New Roman" w:hAnsi="Times New Roman" w:eastAsia="宋体" w:cs="Times New Roman"/>
                      <w:color w:val="auto"/>
                      <w:sz w:val="21"/>
                      <w:szCs w:val="21"/>
                    </w:rPr>
                  </w:pPr>
                  <w:r>
                    <w:rPr>
                      <w:rFonts w:hint="eastAsia" w:ascii="Times New Roman" w:hAnsi="Times New Roman"/>
                      <w:color w:val="auto"/>
                      <w:szCs w:val="21"/>
                    </w:rPr>
                    <w:t>VOCs(NMHC)</w:t>
                  </w:r>
                </w:p>
              </w:tc>
              <w:tc>
                <w:tcPr>
                  <w:tcW w:w="739" w:type="pct"/>
                  <w:tcBorders>
                    <w:left w:val="single" w:color="auto" w:sz="4" w:space="0"/>
                  </w:tcBorders>
                  <w:noWrap w:val="0"/>
                  <w:vAlign w:val="center"/>
                </w:tcPr>
                <w:p w14:paraId="55363D10">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99" w:type="pct"/>
                  <w:noWrap w:val="0"/>
                  <w:vAlign w:val="center"/>
                </w:tcPr>
                <w:p w14:paraId="2AA99205">
                  <w:pPr>
                    <w:pStyle w:val="48"/>
                    <w:keepNext w:val="0"/>
                    <w:keepLines w:val="0"/>
                    <w:pageBreakBefore w:val="0"/>
                    <w:kinsoku/>
                    <w:wordWrap/>
                    <w:overflowPunct/>
                    <w:topLinePunct w:val="0"/>
                    <w:bidi w:val="0"/>
                    <w:adjustRightInd w:val="0"/>
                    <w:snapToGrid w:val="0"/>
                    <w:spacing w:line="34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6.1</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622" w:type="pct"/>
                  <w:noWrap w:val="0"/>
                  <w:vAlign w:val="center"/>
                </w:tcPr>
                <w:p w14:paraId="5377B05C">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0.0294</w:t>
                  </w:r>
                  <w:r>
                    <w:rPr>
                      <w:rFonts w:hint="default" w:ascii="Times New Roman" w:hAnsi="Times New Roman" w:eastAsia="宋体" w:cs="Times New Roman"/>
                      <w:color w:val="auto"/>
                      <w:sz w:val="21"/>
                      <w:szCs w:val="21"/>
                      <w:lang w:val="en-US" w:eastAsia="zh-CN"/>
                    </w:rPr>
                    <w:t>t/a</w:t>
                  </w:r>
                </w:p>
              </w:tc>
              <w:tc>
                <w:tcPr>
                  <w:tcW w:w="931" w:type="pct"/>
                  <w:vMerge w:val="restart"/>
                  <w:noWrap w:val="0"/>
                  <w:vAlign w:val="center"/>
                </w:tcPr>
                <w:p w14:paraId="7ECA1F94">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VOCs</w:t>
                  </w:r>
                  <w:r>
                    <w:rPr>
                      <w:rFonts w:hint="eastAsia" w:ascii="Times New Roman" w:hAnsi="Times New Roman"/>
                      <w:color w:val="auto"/>
                      <w:szCs w:val="21"/>
                    </w:rPr>
                    <w:t>(NMHC)</w:t>
                  </w:r>
                  <w:r>
                    <w:rPr>
                      <w:rFonts w:hint="default" w:ascii="Times New Roman" w:hAnsi="Times New Roman" w:eastAsia="宋体" w:cs="Times New Roman"/>
                      <w:color w:val="auto"/>
                      <w:sz w:val="21"/>
                      <w:szCs w:val="21"/>
                      <w:lang w:val="en-US" w:eastAsia="zh-CN"/>
                    </w:rPr>
                    <w:t>合计(</w:t>
                  </w:r>
                  <w:r>
                    <w:rPr>
                      <w:rFonts w:hint="eastAsia" w:ascii="Times New Roman" w:hAnsi="Times New Roman" w:eastAsia="宋体" w:cs="Times New Roman"/>
                      <w:color w:val="auto"/>
                      <w:sz w:val="21"/>
                      <w:szCs w:val="21"/>
                      <w:lang w:val="en-US" w:eastAsia="zh-CN"/>
                    </w:rPr>
                    <w:t>0.3301</w:t>
                  </w:r>
                  <w:r>
                    <w:rPr>
                      <w:rFonts w:hint="default" w:ascii="Times New Roman" w:hAnsi="Times New Roman" w:eastAsia="宋体" w:cs="Times New Roman"/>
                      <w:color w:val="auto"/>
                      <w:sz w:val="21"/>
                      <w:szCs w:val="21"/>
                      <w:lang w:val="en-US" w:eastAsia="zh-CN"/>
                    </w:rPr>
                    <w:t>t/a)</w:t>
                  </w:r>
                </w:p>
              </w:tc>
            </w:tr>
            <w:tr w14:paraId="5C9CBB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975" w:type="pct"/>
                  <w:gridSpan w:val="2"/>
                  <w:noWrap w:val="0"/>
                  <w:vAlign w:val="center"/>
                </w:tcPr>
                <w:p w14:paraId="13DE6BA3">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DA002</w:t>
                  </w:r>
                </w:p>
              </w:tc>
              <w:tc>
                <w:tcPr>
                  <w:tcW w:w="931" w:type="pct"/>
                  <w:noWrap w:val="0"/>
                  <w:vAlign w:val="center"/>
                </w:tcPr>
                <w:p w14:paraId="73CDDEC4">
                  <w:pPr>
                    <w:adjustRightInd w:val="0"/>
                    <w:snapToGrid w:val="0"/>
                    <w:spacing w:line="340" w:lineRule="exact"/>
                    <w:jc w:val="center"/>
                    <w:rPr>
                      <w:rFonts w:hint="eastAsia" w:ascii="Times New Roman" w:hAnsi="Times New Roman"/>
                      <w:color w:val="auto"/>
                      <w:szCs w:val="21"/>
                    </w:rPr>
                  </w:pPr>
                  <w:r>
                    <w:rPr>
                      <w:rFonts w:hint="eastAsia" w:ascii="Times New Roman" w:hAnsi="Times New Roman"/>
                      <w:color w:val="auto"/>
                      <w:szCs w:val="21"/>
                    </w:rPr>
                    <w:t>VOCs(NMHC)</w:t>
                  </w:r>
                </w:p>
              </w:tc>
              <w:tc>
                <w:tcPr>
                  <w:tcW w:w="739" w:type="pct"/>
                  <w:tcBorders>
                    <w:left w:val="single" w:color="auto" w:sz="4" w:space="0"/>
                  </w:tcBorders>
                  <w:noWrap w:val="0"/>
                  <w:vAlign w:val="center"/>
                </w:tcPr>
                <w:p w14:paraId="7DB2388E">
                  <w:pPr>
                    <w:keepNext w:val="0"/>
                    <w:keepLines w:val="0"/>
                    <w:pageBreakBefore w:val="0"/>
                    <w:kinsoku/>
                    <w:wordWrap/>
                    <w:overflowPunct/>
                    <w:topLinePunct w:val="0"/>
                    <w:bidi w:val="0"/>
                    <w:adjustRightInd w:val="0"/>
                    <w:snapToGrid w:val="0"/>
                    <w:spacing w:line="3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99" w:type="pct"/>
                  <w:noWrap w:val="0"/>
                  <w:vAlign w:val="center"/>
                </w:tcPr>
                <w:p w14:paraId="6FE47A9D">
                  <w:pPr>
                    <w:pStyle w:val="48"/>
                    <w:keepNext w:val="0"/>
                    <w:keepLines w:val="0"/>
                    <w:pageBreakBefore w:val="0"/>
                    <w:kinsoku/>
                    <w:wordWrap/>
                    <w:overflowPunct/>
                    <w:topLinePunct w:val="0"/>
                    <w:bidi w:val="0"/>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22" w:type="pct"/>
                  <w:noWrap w:val="0"/>
                  <w:vAlign w:val="center"/>
                </w:tcPr>
                <w:p w14:paraId="38AC1F88">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0.0372</w:t>
                  </w:r>
                  <w:r>
                    <w:rPr>
                      <w:rFonts w:hint="default" w:ascii="Times New Roman" w:hAnsi="Times New Roman" w:eastAsia="宋体" w:cs="Times New Roman"/>
                      <w:color w:val="auto"/>
                      <w:sz w:val="21"/>
                      <w:szCs w:val="21"/>
                      <w:lang w:val="en-US" w:eastAsia="zh-CN"/>
                    </w:rPr>
                    <w:t>t/a</w:t>
                  </w:r>
                </w:p>
              </w:tc>
              <w:tc>
                <w:tcPr>
                  <w:tcW w:w="931" w:type="pct"/>
                  <w:vMerge w:val="continue"/>
                  <w:noWrap w:val="0"/>
                  <w:vAlign w:val="center"/>
                </w:tcPr>
                <w:p w14:paraId="0CC5E27F">
                  <w:pPr>
                    <w:adjustRightInd w:val="0"/>
                    <w:snapToGrid w:val="0"/>
                    <w:spacing w:line="340" w:lineRule="exact"/>
                    <w:jc w:val="center"/>
                    <w:rPr>
                      <w:rFonts w:hint="default" w:ascii="Times New Roman" w:hAnsi="Times New Roman" w:eastAsia="宋体" w:cs="Times New Roman"/>
                      <w:color w:val="auto"/>
                      <w:sz w:val="21"/>
                      <w:szCs w:val="21"/>
                      <w:lang w:val="en-US" w:eastAsia="zh-CN"/>
                    </w:rPr>
                  </w:pPr>
                </w:p>
              </w:tc>
            </w:tr>
            <w:tr w14:paraId="373207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975" w:type="pct"/>
                  <w:gridSpan w:val="2"/>
                  <w:noWrap w:val="0"/>
                  <w:vAlign w:val="center"/>
                </w:tcPr>
                <w:p w14:paraId="77D94D31">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DA003</w:t>
                  </w:r>
                </w:p>
              </w:tc>
              <w:tc>
                <w:tcPr>
                  <w:tcW w:w="931" w:type="pct"/>
                  <w:noWrap w:val="0"/>
                  <w:vAlign w:val="center"/>
                </w:tcPr>
                <w:p w14:paraId="5F596392">
                  <w:pPr>
                    <w:adjustRightInd w:val="0"/>
                    <w:snapToGrid w:val="0"/>
                    <w:spacing w:line="340" w:lineRule="exact"/>
                    <w:jc w:val="center"/>
                    <w:rPr>
                      <w:rFonts w:hint="eastAsia" w:ascii="Times New Roman" w:hAnsi="Times New Roman"/>
                      <w:color w:val="auto"/>
                      <w:szCs w:val="21"/>
                    </w:rPr>
                  </w:pPr>
                  <w:r>
                    <w:rPr>
                      <w:rFonts w:hint="eastAsia" w:ascii="Times New Roman" w:hAnsi="Times New Roman"/>
                      <w:color w:val="auto"/>
                      <w:szCs w:val="21"/>
                    </w:rPr>
                    <w:t>VOCs(NMHC)</w:t>
                  </w:r>
                </w:p>
              </w:tc>
              <w:tc>
                <w:tcPr>
                  <w:tcW w:w="739" w:type="pct"/>
                  <w:tcBorders>
                    <w:left w:val="single" w:color="auto" w:sz="4" w:space="0"/>
                  </w:tcBorders>
                  <w:noWrap w:val="0"/>
                  <w:vAlign w:val="center"/>
                </w:tcPr>
                <w:p w14:paraId="6C962C0E">
                  <w:pPr>
                    <w:keepNext w:val="0"/>
                    <w:keepLines w:val="0"/>
                    <w:pageBreakBefore w:val="0"/>
                    <w:kinsoku/>
                    <w:wordWrap/>
                    <w:overflowPunct/>
                    <w:topLinePunct w:val="0"/>
                    <w:bidi w:val="0"/>
                    <w:adjustRightInd w:val="0"/>
                    <w:snapToGrid w:val="0"/>
                    <w:spacing w:line="3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99" w:type="pct"/>
                  <w:noWrap w:val="0"/>
                  <w:vAlign w:val="center"/>
                </w:tcPr>
                <w:p w14:paraId="6712D0B0">
                  <w:pPr>
                    <w:pStyle w:val="48"/>
                    <w:keepNext w:val="0"/>
                    <w:keepLines w:val="0"/>
                    <w:pageBreakBefore w:val="0"/>
                    <w:kinsoku/>
                    <w:wordWrap/>
                    <w:overflowPunct/>
                    <w:topLinePunct w:val="0"/>
                    <w:bidi w:val="0"/>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22" w:type="pct"/>
                  <w:noWrap w:val="0"/>
                  <w:vAlign w:val="center"/>
                </w:tcPr>
                <w:p w14:paraId="0D931CEF">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0.0275</w:t>
                  </w:r>
                  <w:r>
                    <w:rPr>
                      <w:rFonts w:hint="default" w:ascii="Times New Roman" w:hAnsi="Times New Roman" w:eastAsia="宋体" w:cs="Times New Roman"/>
                      <w:color w:val="auto"/>
                      <w:sz w:val="21"/>
                      <w:szCs w:val="21"/>
                      <w:lang w:val="en-US" w:eastAsia="zh-CN"/>
                    </w:rPr>
                    <w:t>t/a</w:t>
                  </w:r>
                </w:p>
              </w:tc>
              <w:tc>
                <w:tcPr>
                  <w:tcW w:w="931" w:type="pct"/>
                  <w:vMerge w:val="continue"/>
                  <w:noWrap w:val="0"/>
                  <w:vAlign w:val="center"/>
                </w:tcPr>
                <w:p w14:paraId="34C9552F">
                  <w:pPr>
                    <w:adjustRightInd w:val="0"/>
                    <w:snapToGrid w:val="0"/>
                    <w:spacing w:line="340" w:lineRule="exact"/>
                    <w:jc w:val="center"/>
                    <w:rPr>
                      <w:rFonts w:hint="default" w:ascii="Times New Roman" w:hAnsi="Times New Roman" w:eastAsia="宋体" w:cs="Times New Roman"/>
                      <w:color w:val="auto"/>
                      <w:sz w:val="21"/>
                      <w:szCs w:val="21"/>
                      <w:lang w:val="en-US" w:eastAsia="zh-CN"/>
                    </w:rPr>
                  </w:pPr>
                </w:p>
              </w:tc>
            </w:tr>
            <w:tr w14:paraId="7AFAFB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92" w:type="pct"/>
                  <w:vMerge w:val="restart"/>
                  <w:noWrap w:val="0"/>
                  <w:vAlign w:val="center"/>
                </w:tcPr>
                <w:p w14:paraId="1389DF2A">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无组织排放</w:t>
                  </w:r>
                </w:p>
              </w:tc>
              <w:tc>
                <w:tcPr>
                  <w:tcW w:w="683" w:type="pct"/>
                  <w:noWrap w:val="0"/>
                  <w:vAlign w:val="center"/>
                </w:tcPr>
                <w:p w14:paraId="0936A38B">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预处理车间</w:t>
                  </w:r>
                </w:p>
              </w:tc>
              <w:tc>
                <w:tcPr>
                  <w:tcW w:w="931" w:type="pct"/>
                  <w:noWrap w:val="0"/>
                  <w:vAlign w:val="center"/>
                </w:tcPr>
                <w:p w14:paraId="67FEA703">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rPr>
                    <w:t>VOCs(NMHC)</w:t>
                  </w:r>
                </w:p>
              </w:tc>
              <w:tc>
                <w:tcPr>
                  <w:tcW w:w="739" w:type="pct"/>
                  <w:tcBorders>
                    <w:left w:val="single" w:color="auto" w:sz="4" w:space="0"/>
                  </w:tcBorders>
                  <w:noWrap w:val="0"/>
                  <w:vAlign w:val="center"/>
                </w:tcPr>
                <w:p w14:paraId="6C26C31D">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99" w:type="pct"/>
                  <w:noWrap w:val="0"/>
                  <w:vAlign w:val="center"/>
                </w:tcPr>
                <w:p w14:paraId="6C5ABA12">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w:t>
                  </w:r>
                </w:p>
              </w:tc>
              <w:tc>
                <w:tcPr>
                  <w:tcW w:w="622" w:type="pct"/>
                  <w:noWrap w:val="0"/>
                  <w:vAlign w:val="center"/>
                </w:tcPr>
                <w:p w14:paraId="204A509D">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0.074</w:t>
                  </w:r>
                  <w:r>
                    <w:rPr>
                      <w:rFonts w:hint="default" w:ascii="Times New Roman" w:hAnsi="Times New Roman" w:eastAsia="宋体" w:cs="Times New Roman"/>
                      <w:color w:val="auto"/>
                      <w:sz w:val="21"/>
                      <w:szCs w:val="21"/>
                      <w:lang w:val="en-US" w:eastAsia="zh-CN"/>
                    </w:rPr>
                    <w:t>t/a</w:t>
                  </w:r>
                </w:p>
              </w:tc>
              <w:tc>
                <w:tcPr>
                  <w:tcW w:w="931" w:type="pct"/>
                  <w:vMerge w:val="continue"/>
                  <w:noWrap w:val="0"/>
                  <w:vAlign w:val="center"/>
                </w:tcPr>
                <w:p w14:paraId="12DA7013">
                  <w:pPr>
                    <w:adjustRightInd w:val="0"/>
                    <w:snapToGrid w:val="0"/>
                    <w:spacing w:line="340" w:lineRule="exact"/>
                    <w:jc w:val="center"/>
                    <w:rPr>
                      <w:rFonts w:hint="default" w:ascii="Times New Roman" w:hAnsi="Times New Roman" w:eastAsia="宋体" w:cs="Times New Roman"/>
                      <w:color w:val="auto"/>
                      <w:sz w:val="21"/>
                      <w:szCs w:val="21"/>
                      <w:lang w:val="en-US" w:eastAsia="zh-CN"/>
                    </w:rPr>
                  </w:pPr>
                </w:p>
              </w:tc>
            </w:tr>
            <w:tr w14:paraId="1E395B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92" w:type="pct"/>
                  <w:vMerge w:val="continue"/>
                  <w:noWrap w:val="0"/>
                  <w:vAlign w:val="center"/>
                </w:tcPr>
                <w:p w14:paraId="484380D6">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lang w:val="en-US" w:eastAsia="zh-CN"/>
                    </w:rPr>
                  </w:pPr>
                </w:p>
              </w:tc>
              <w:tc>
                <w:tcPr>
                  <w:tcW w:w="683" w:type="pct"/>
                  <w:noWrap w:val="0"/>
                  <w:vAlign w:val="center"/>
                </w:tcPr>
                <w:p w14:paraId="445C6B8A">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废变压器拆解车间</w:t>
                  </w:r>
                </w:p>
              </w:tc>
              <w:tc>
                <w:tcPr>
                  <w:tcW w:w="931" w:type="pct"/>
                  <w:noWrap w:val="0"/>
                  <w:vAlign w:val="center"/>
                </w:tcPr>
                <w:p w14:paraId="5A7C7DA2">
                  <w:pPr>
                    <w:adjustRightInd w:val="0"/>
                    <w:snapToGrid w:val="0"/>
                    <w:spacing w:line="340" w:lineRule="exact"/>
                    <w:jc w:val="center"/>
                    <w:rPr>
                      <w:rFonts w:hint="eastAsia" w:ascii="Times New Roman" w:hAnsi="Times New Roman"/>
                      <w:color w:val="auto"/>
                      <w:szCs w:val="21"/>
                    </w:rPr>
                  </w:pPr>
                  <w:r>
                    <w:rPr>
                      <w:rFonts w:hint="eastAsia" w:ascii="Times New Roman" w:hAnsi="Times New Roman"/>
                      <w:color w:val="auto"/>
                      <w:szCs w:val="21"/>
                    </w:rPr>
                    <w:t>VOCs(NMHC)</w:t>
                  </w:r>
                </w:p>
              </w:tc>
              <w:tc>
                <w:tcPr>
                  <w:tcW w:w="739" w:type="pct"/>
                  <w:tcBorders>
                    <w:left w:val="single" w:color="auto" w:sz="4" w:space="0"/>
                  </w:tcBorders>
                  <w:noWrap w:val="0"/>
                  <w:vAlign w:val="center"/>
                </w:tcPr>
                <w:p w14:paraId="7D0A3BA4">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99" w:type="pct"/>
                  <w:noWrap w:val="0"/>
                  <w:vAlign w:val="center"/>
                </w:tcPr>
                <w:p w14:paraId="2B25AD2B">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22" w:type="pct"/>
                  <w:noWrap w:val="0"/>
                  <w:vAlign w:val="center"/>
                </w:tcPr>
                <w:p w14:paraId="081BED96">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0.093t/a</w:t>
                  </w:r>
                </w:p>
              </w:tc>
              <w:tc>
                <w:tcPr>
                  <w:tcW w:w="931" w:type="pct"/>
                  <w:vMerge w:val="continue"/>
                  <w:noWrap w:val="0"/>
                  <w:vAlign w:val="center"/>
                </w:tcPr>
                <w:p w14:paraId="055204F6">
                  <w:pPr>
                    <w:adjustRightInd w:val="0"/>
                    <w:snapToGrid w:val="0"/>
                    <w:spacing w:line="340" w:lineRule="exact"/>
                    <w:jc w:val="center"/>
                    <w:rPr>
                      <w:rFonts w:hint="default" w:ascii="Times New Roman" w:hAnsi="Times New Roman" w:eastAsia="宋体" w:cs="Times New Roman"/>
                      <w:color w:val="auto"/>
                      <w:sz w:val="21"/>
                      <w:szCs w:val="21"/>
                      <w:lang w:val="en-US" w:eastAsia="zh-CN"/>
                    </w:rPr>
                  </w:pPr>
                </w:p>
              </w:tc>
            </w:tr>
            <w:tr w14:paraId="255185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92" w:type="pct"/>
                  <w:vMerge w:val="continue"/>
                  <w:noWrap w:val="0"/>
                  <w:vAlign w:val="center"/>
                </w:tcPr>
                <w:p w14:paraId="2C40FF1A">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lang w:val="en-US" w:eastAsia="zh-CN"/>
                    </w:rPr>
                  </w:pPr>
                </w:p>
              </w:tc>
              <w:tc>
                <w:tcPr>
                  <w:tcW w:w="683" w:type="pct"/>
                  <w:noWrap w:val="0"/>
                  <w:vAlign w:val="center"/>
                </w:tcPr>
                <w:p w14:paraId="7D040CB4">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危废暂存间</w:t>
                  </w:r>
                </w:p>
              </w:tc>
              <w:tc>
                <w:tcPr>
                  <w:tcW w:w="931" w:type="pct"/>
                  <w:noWrap w:val="0"/>
                  <w:vAlign w:val="center"/>
                </w:tcPr>
                <w:p w14:paraId="451C2363">
                  <w:pPr>
                    <w:adjustRightInd w:val="0"/>
                    <w:snapToGrid w:val="0"/>
                    <w:spacing w:line="340" w:lineRule="exact"/>
                    <w:jc w:val="center"/>
                    <w:rPr>
                      <w:rFonts w:hint="eastAsia" w:ascii="Times New Roman" w:hAnsi="Times New Roman"/>
                      <w:color w:val="auto"/>
                      <w:szCs w:val="21"/>
                    </w:rPr>
                  </w:pPr>
                  <w:r>
                    <w:rPr>
                      <w:rFonts w:hint="eastAsia" w:ascii="Times New Roman" w:hAnsi="Times New Roman"/>
                      <w:color w:val="auto"/>
                      <w:szCs w:val="21"/>
                    </w:rPr>
                    <w:t>VOCs(NMHC)</w:t>
                  </w:r>
                </w:p>
              </w:tc>
              <w:tc>
                <w:tcPr>
                  <w:tcW w:w="739" w:type="pct"/>
                  <w:tcBorders>
                    <w:left w:val="single" w:color="auto" w:sz="4" w:space="0"/>
                  </w:tcBorders>
                  <w:noWrap w:val="0"/>
                  <w:vAlign w:val="center"/>
                </w:tcPr>
                <w:p w14:paraId="02F39D7D">
                  <w:pPr>
                    <w:keepNext w:val="0"/>
                    <w:keepLines w:val="0"/>
                    <w:pageBreakBefore w:val="0"/>
                    <w:kinsoku/>
                    <w:wordWrap/>
                    <w:overflowPunct/>
                    <w:topLinePunct w:val="0"/>
                    <w:bidi w:val="0"/>
                    <w:adjustRightInd w:val="0"/>
                    <w:snapToGrid w:val="0"/>
                    <w:spacing w:line="34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99" w:type="pct"/>
                  <w:noWrap w:val="0"/>
                  <w:vAlign w:val="center"/>
                </w:tcPr>
                <w:p w14:paraId="6248C62F">
                  <w:pPr>
                    <w:keepNext w:val="0"/>
                    <w:keepLines w:val="0"/>
                    <w:pageBreakBefore w:val="0"/>
                    <w:kinsoku/>
                    <w:wordWrap/>
                    <w:overflowPunct/>
                    <w:topLinePunct w:val="0"/>
                    <w:bidi w:val="0"/>
                    <w:adjustRightInd w:val="0"/>
                    <w:snapToGrid w:val="0"/>
                    <w:spacing w:line="3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22" w:type="pct"/>
                  <w:noWrap w:val="0"/>
                  <w:vAlign w:val="center"/>
                </w:tcPr>
                <w:p w14:paraId="5EB7F424">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0.069t/a</w:t>
                  </w:r>
                </w:p>
              </w:tc>
              <w:tc>
                <w:tcPr>
                  <w:tcW w:w="931" w:type="pct"/>
                  <w:vMerge w:val="continue"/>
                  <w:noWrap w:val="0"/>
                  <w:vAlign w:val="center"/>
                </w:tcPr>
                <w:p w14:paraId="7A82968F">
                  <w:pPr>
                    <w:adjustRightInd w:val="0"/>
                    <w:snapToGrid w:val="0"/>
                    <w:spacing w:line="340" w:lineRule="exact"/>
                    <w:jc w:val="center"/>
                    <w:rPr>
                      <w:rFonts w:hint="default" w:ascii="Times New Roman" w:hAnsi="Times New Roman" w:eastAsia="宋体" w:cs="Times New Roman"/>
                      <w:color w:val="auto"/>
                      <w:sz w:val="21"/>
                      <w:szCs w:val="21"/>
                      <w:lang w:val="en-US" w:eastAsia="zh-CN"/>
                    </w:rPr>
                  </w:pPr>
                </w:p>
              </w:tc>
            </w:tr>
          </w:tbl>
          <w:p w14:paraId="732A4111">
            <w:pPr>
              <w:pStyle w:val="4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3.8.3 主要污染物总量指标来源</w:t>
            </w:r>
          </w:p>
          <w:p w14:paraId="469D7ED4">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 w:val="24"/>
                <w:highlight w:val="none"/>
              </w:rPr>
              <w:t>项目</w:t>
            </w:r>
            <w:r>
              <w:rPr>
                <w:rFonts w:hint="eastAsia" w:ascii="Times New Roman" w:hAnsi="Times New Roman" w:eastAsia="宋体" w:cs="Times New Roman"/>
                <w:color w:val="auto"/>
                <w:sz w:val="24"/>
                <w:highlight w:val="none"/>
              </w:rPr>
              <w:t>VOCs</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以NMHC计</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val="en-US" w:eastAsia="zh-CN"/>
              </w:rPr>
              <w:t>排放总量为0.3301t</w:t>
            </w:r>
            <w:r>
              <w:rPr>
                <w:rFonts w:hint="default" w:ascii="Times New Roman" w:hAnsi="Times New Roman" w:cs="Times New Roman"/>
                <w:color w:val="auto"/>
                <w:sz w:val="24"/>
                <w:highlight w:val="none"/>
                <w:lang w:val="en-US" w:eastAsia="zh-CN"/>
              </w:rPr>
              <w:t>/a</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根据《福州市环境保护局关于印发福州市大气污染联防控联治工作方案的通知》榕环保综[2018]386号：VOCs排放实行区域内倍量替代，新、改扩建涉VOCs排放项目，应从源头加强控制，使用低</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无</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VOCs含量的原辅材料，加强废气收集、安装高效治理设施</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根据《2022年度福州市蓝天碧水碧海净土保卫战行动计划》(榕环委办</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2022</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49号)</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实施新建项目VOC</w:t>
            </w:r>
            <w:r>
              <w:rPr>
                <w:rFonts w:hint="eastAsia" w:ascii="Times New Roman" w:hAnsi="Times New Roman" w:eastAsia="宋体" w:cs="Times New Roman"/>
                <w:color w:val="auto"/>
                <w:sz w:val="24"/>
                <w:highlight w:val="none"/>
                <w:lang w:val="en-US" w:eastAsia="zh-CN"/>
              </w:rPr>
              <w:t>s</w:t>
            </w:r>
            <w:r>
              <w:rPr>
                <w:rFonts w:hint="default" w:ascii="Times New Roman" w:hAnsi="Times New Roman" w:eastAsia="宋体" w:cs="Times New Roman"/>
                <w:color w:val="auto"/>
                <w:sz w:val="24"/>
                <w:highlight w:val="none"/>
                <w:lang w:eastAsia="zh-CN"/>
              </w:rPr>
              <w:t>排放区域内1.2及以上倍量替代。</w:t>
            </w:r>
            <w:r>
              <w:rPr>
                <w:rFonts w:hint="eastAsia" w:ascii="Times New Roman" w:hAnsi="Times New Roman" w:eastAsia="宋体" w:cs="Times New Roman"/>
                <w:color w:val="auto"/>
                <w:sz w:val="24"/>
                <w:highlight w:val="none"/>
                <w:lang w:val="en-US" w:eastAsia="zh-CN"/>
              </w:rPr>
              <w:t>因此，本项目排放的VOCs总量</w:t>
            </w:r>
            <w:r>
              <w:rPr>
                <w:rFonts w:hint="default" w:ascii="Times New Roman" w:hAnsi="Times New Roman" w:cs="Times New Roman"/>
                <w:color w:val="auto"/>
                <w:sz w:val="24"/>
                <w:highlight w:val="none"/>
                <w:lang w:eastAsia="zh-CN"/>
              </w:rPr>
              <w:t>由建设单位向</w:t>
            </w:r>
            <w:r>
              <w:rPr>
                <w:rFonts w:hint="eastAsia" w:ascii="Times New Roman" w:hAnsi="Times New Roman" w:cs="Times New Roman"/>
                <w:color w:val="auto"/>
                <w:sz w:val="24"/>
                <w:highlight w:val="none"/>
                <w:lang w:val="en-US" w:eastAsia="zh-CN"/>
              </w:rPr>
              <w:t>福州市长乐生态环境局</w:t>
            </w:r>
            <w:r>
              <w:rPr>
                <w:rFonts w:hint="default" w:ascii="Times New Roman" w:hAnsi="Times New Roman" w:cs="Times New Roman"/>
                <w:color w:val="auto"/>
                <w:sz w:val="24"/>
                <w:highlight w:val="none"/>
                <w:lang w:eastAsia="zh-CN"/>
              </w:rPr>
              <w:t>申请区域</w:t>
            </w:r>
            <w:r>
              <w:rPr>
                <w:rFonts w:hint="eastAsia" w:ascii="Times New Roman" w:hAnsi="Times New Roman" w:cs="Times New Roman"/>
                <w:color w:val="auto"/>
                <w:sz w:val="24"/>
                <w:highlight w:val="none"/>
                <w:lang w:val="en-US" w:eastAsia="zh-CN"/>
              </w:rPr>
              <w:t>倍量</w:t>
            </w:r>
            <w:r>
              <w:rPr>
                <w:rFonts w:hint="default" w:ascii="Times New Roman" w:hAnsi="Times New Roman" w:cs="Times New Roman"/>
                <w:color w:val="auto"/>
                <w:sz w:val="24"/>
                <w:highlight w:val="none"/>
                <w:lang w:eastAsia="zh-CN"/>
              </w:rPr>
              <w:t>替代</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highlight w:val="none"/>
                <w:lang w:val="en-US" w:eastAsia="zh-CN"/>
              </w:rPr>
              <w:t>目前建设单位承诺在项目投产前取得</w:t>
            </w:r>
            <w:r>
              <w:rPr>
                <w:rFonts w:hint="default" w:ascii="Times New Roman" w:hAnsi="Times New Roman" w:cs="Times New Roman"/>
                <w:color w:val="auto"/>
                <w:sz w:val="24"/>
                <w:highlight w:val="none"/>
              </w:rPr>
              <w:t>VOCs</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以</w:t>
            </w:r>
            <w:r>
              <w:rPr>
                <w:rFonts w:hint="default" w:ascii="Times New Roman" w:hAnsi="Times New Roman" w:cs="Times New Roman"/>
                <w:color w:val="auto"/>
                <w:sz w:val="24"/>
                <w:highlight w:val="none"/>
                <w:lang w:eastAsia="zh-CN"/>
              </w:rPr>
              <w:t>非甲烷总烃</w:t>
            </w:r>
            <w:r>
              <w:rPr>
                <w:rFonts w:hint="default" w:ascii="Times New Roman" w:hAnsi="Times New Roman" w:cs="Times New Roman"/>
                <w:color w:val="auto"/>
                <w:sz w:val="24"/>
                <w:highlight w:val="none"/>
              </w:rPr>
              <w:t>计</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总量</w:t>
            </w:r>
            <w:r>
              <w:rPr>
                <w:rFonts w:hint="default" w:ascii="Times New Roman" w:hAnsi="Times New Roman" w:cs="Times New Roman"/>
                <w:color w:val="auto"/>
                <w:highlight w:val="none"/>
                <w:lang w:val="en-US" w:eastAsia="zh-CN"/>
              </w:rPr>
              <w:t>的</w:t>
            </w:r>
            <w:r>
              <w:rPr>
                <w:rFonts w:hint="eastAsia" w:ascii="Times New Roman" w:hAnsi="Times New Roman" w:cs="Times New Roman"/>
                <w:color w:val="auto"/>
                <w:sz w:val="24"/>
                <w:highlight w:val="none"/>
                <w:lang w:val="en-US" w:eastAsia="zh-CN"/>
              </w:rPr>
              <w:t>倍量</w:t>
            </w:r>
            <w:r>
              <w:rPr>
                <w:rFonts w:hint="default" w:ascii="Times New Roman" w:hAnsi="Times New Roman" w:cs="Times New Roman"/>
                <w:color w:val="auto"/>
                <w:sz w:val="24"/>
                <w:highlight w:val="none"/>
                <w:lang w:eastAsia="zh-CN"/>
              </w:rPr>
              <w:t>替代</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highlight w:val="none"/>
                <w:lang w:val="en-US" w:eastAsia="zh-CN"/>
              </w:rPr>
              <w:t>并依法</w:t>
            </w:r>
            <w:r>
              <w:rPr>
                <w:rFonts w:hint="eastAsia" w:ascii="Times New Roman" w:hAnsi="Times New Roman" w:eastAsia="宋体" w:cs="Times New Roman"/>
                <w:color w:val="auto"/>
                <w:highlight w:val="none"/>
                <w:lang w:val="en-US" w:eastAsia="zh-CN"/>
              </w:rPr>
              <w:t>办理</w:t>
            </w:r>
            <w:r>
              <w:rPr>
                <w:rFonts w:hint="default" w:ascii="Times New Roman" w:hAnsi="Times New Roman" w:eastAsia="宋体" w:cs="Times New Roman"/>
                <w:color w:val="auto"/>
                <w:highlight w:val="none"/>
                <w:lang w:val="en-US" w:eastAsia="zh-CN"/>
              </w:rPr>
              <w:t>排污许可</w:t>
            </w:r>
            <w:r>
              <w:rPr>
                <w:rFonts w:hint="eastAsia" w:ascii="Times New Roman" w:hAnsi="Times New Roman" w:eastAsia="宋体" w:cs="Times New Roman"/>
                <w:color w:val="auto"/>
                <w:highlight w:val="none"/>
                <w:lang w:val="en-US" w:eastAsia="zh-CN"/>
              </w:rPr>
              <w:t>手续</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承诺书</w:t>
            </w:r>
            <w:r>
              <w:rPr>
                <w:rFonts w:hint="default" w:ascii="Times New Roman" w:hAnsi="Times New Roman" w:eastAsia="宋体" w:cs="Times New Roman"/>
                <w:color w:val="auto"/>
                <w:highlight w:val="none"/>
                <w:lang w:val="en-US" w:eastAsia="zh-CN"/>
              </w:rPr>
              <w:t>详见</w:t>
            </w:r>
            <w:r>
              <w:rPr>
                <w:rFonts w:hint="eastAsia" w:ascii="Times New Roman" w:hAnsi="Times New Roman" w:eastAsia="宋体" w:cs="Times New Roman"/>
                <w:color w:val="auto"/>
                <w:highlight w:val="none"/>
                <w:lang w:val="en-US" w:eastAsia="zh-CN"/>
              </w:rPr>
              <w:t>附件九</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w:t>
            </w:r>
          </w:p>
        </w:tc>
      </w:tr>
    </w:tbl>
    <w:p w14:paraId="0EE937CB">
      <w:pPr>
        <w:pStyle w:val="17"/>
        <w:numPr>
          <w:ilvl w:val="0"/>
          <w:numId w:val="10"/>
        </w:numPr>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21" w:name="_Toc10316"/>
      <w:r>
        <w:rPr>
          <w:rFonts w:hint="default" w:ascii="Times New Roman" w:hAnsi="Times New Roman" w:eastAsia="黑体" w:cs="Times New Roman"/>
          <w:snapToGrid w:val="0"/>
          <w:color w:val="auto"/>
          <w:sz w:val="30"/>
          <w:szCs w:val="30"/>
        </w:rPr>
        <w:t>主要环境影响和保护措施</w:t>
      </w:r>
      <w:bookmarkEnd w:id="21"/>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8149"/>
      </w:tblGrid>
      <w:tr w14:paraId="0B3C2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21" w:hRule="atLeast"/>
          <w:jc w:val="center"/>
        </w:trPr>
        <w:tc>
          <w:tcPr>
            <w:tcW w:w="680" w:type="dxa"/>
            <w:noWrap w:val="0"/>
            <w:tcMar>
              <w:left w:w="28" w:type="dxa"/>
              <w:right w:w="28" w:type="dxa"/>
            </w:tcMar>
            <w:vAlign w:val="center"/>
          </w:tcPr>
          <w:p w14:paraId="0D12A11F">
            <w:pPr>
              <w:pStyle w:val="1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4407F0DC">
            <w:pPr>
              <w:pStyle w:val="1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2981BE9B">
            <w:pPr>
              <w:pStyle w:val="1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3B3B3131">
            <w:pPr>
              <w:pStyle w:val="1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09035F7C">
            <w:pPr>
              <w:pStyle w:val="17"/>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149" w:type="dxa"/>
            <w:noWrap w:val="0"/>
            <w:vAlign w:val="center"/>
          </w:tcPr>
          <w:p w14:paraId="3810DC55">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lang w:val="en-US" w:eastAsia="zh-CN"/>
              </w:rPr>
            </w:pPr>
            <w:bookmarkStart w:id="22" w:name="_Toc4697"/>
            <w:bookmarkStart w:id="23" w:name="_Toc22024"/>
            <w:bookmarkStart w:id="24" w:name="_Toc11037"/>
            <w:bookmarkStart w:id="25" w:name="_Toc28048"/>
            <w:r>
              <w:rPr>
                <w:rFonts w:hint="default" w:ascii="Times New Roman" w:hAnsi="Times New Roman" w:eastAsia="宋体" w:cs="Times New Roman"/>
                <w:b/>
                <w:bCs w:val="0"/>
                <w:color w:val="auto"/>
                <w:sz w:val="28"/>
                <w:szCs w:val="28"/>
              </w:rPr>
              <w:t>4.</w:t>
            </w:r>
            <w:r>
              <w:rPr>
                <w:rFonts w:hint="eastAsia" w:ascii="Times New Roman" w:hAnsi="Times New Roman" w:eastAsia="宋体" w:cs="Times New Roman"/>
                <w:b/>
                <w:bCs w:val="0"/>
                <w:color w:val="auto"/>
                <w:sz w:val="28"/>
                <w:szCs w:val="28"/>
                <w:lang w:val="en-US" w:eastAsia="zh-CN"/>
              </w:rPr>
              <w:t>1 施工期环境保护措施</w:t>
            </w:r>
            <w:bookmarkEnd w:id="22"/>
            <w:bookmarkEnd w:id="23"/>
          </w:p>
          <w:p w14:paraId="54FCD938">
            <w:pPr>
              <w:pStyle w:val="49"/>
              <w:rPr>
                <w:rFonts w:hint="eastAsia" w:ascii="Times New Roman" w:hAnsi="Times New Roman" w:eastAsia="宋体" w:cs="宋体"/>
                <w:color w:val="auto"/>
                <w:sz w:val="24"/>
                <w:szCs w:val="24"/>
                <w:lang w:val="en-US" w:eastAsia="zh-CN"/>
              </w:rPr>
            </w:pPr>
            <w:r>
              <w:rPr>
                <w:rFonts w:hint="default" w:ascii="Times New Roman" w:hAnsi="Times New Roman" w:eastAsia="宋体" w:cs="Times New Roman"/>
                <w:color w:val="auto"/>
                <w:kern w:val="0"/>
                <w:sz w:val="24"/>
                <w:szCs w:val="20"/>
                <w:lang w:val="en-US" w:eastAsia="zh-CN" w:bidi="ar-SA"/>
              </w:rPr>
              <w:t>本项目厂址位于</w:t>
            </w:r>
            <w:r>
              <w:rPr>
                <w:rFonts w:hint="eastAsia" w:ascii="Times New Roman" w:hAnsi="Times New Roman" w:eastAsia="宋体" w:cs="Times New Roman"/>
                <w:color w:val="auto"/>
                <w:kern w:val="0"/>
                <w:sz w:val="24"/>
                <w:szCs w:val="20"/>
                <w:lang w:val="en-US" w:eastAsia="zh-CN" w:bidi="ar-SA"/>
              </w:rPr>
              <w:t>福建省福州市长乐区松下镇山前村新村东区66号，租赁福州坤鑫废旧物资回收有限公司现有厂区</w:t>
            </w:r>
            <w:r>
              <w:rPr>
                <w:rFonts w:hint="default" w:ascii="Times New Roman" w:hAnsi="Times New Roman" w:eastAsia="宋体" w:cs="Times New Roman"/>
                <w:color w:val="auto"/>
                <w:kern w:val="0"/>
                <w:sz w:val="24"/>
                <w:szCs w:val="20"/>
                <w:lang w:val="en-US" w:eastAsia="zh-CN" w:bidi="ar-SA"/>
              </w:rPr>
              <w:t>，根据现场勘查，</w:t>
            </w:r>
            <w:r>
              <w:rPr>
                <w:rFonts w:hint="eastAsia" w:ascii="Times New Roman" w:hAnsi="Times New Roman" w:eastAsia="宋体" w:cs="Times New Roman"/>
                <w:color w:val="auto"/>
                <w:kern w:val="0"/>
                <w:sz w:val="24"/>
                <w:szCs w:val="20"/>
                <w:lang w:val="en-US" w:eastAsia="zh-CN" w:bidi="ar-SA"/>
              </w:rPr>
              <w:t>项目厂区内有部分现有厂房已建成，本次施工期建设内容主要为拆除部分现有厂房，新建部分厂房建筑、厂区地面硬化防渗、厂区雨水导流沟槽建设、</w:t>
            </w:r>
            <w:r>
              <w:rPr>
                <w:rFonts w:hint="default" w:ascii="Times New Roman" w:hAnsi="Times New Roman" w:eastAsia="宋体" w:cs="Times New Roman"/>
                <w:color w:val="auto"/>
                <w:kern w:val="0"/>
                <w:sz w:val="24"/>
                <w:szCs w:val="20"/>
                <w:lang w:val="en-US" w:eastAsia="zh-CN" w:bidi="ar-SA"/>
              </w:rPr>
              <w:t>设备安装、调试</w:t>
            </w:r>
            <w:r>
              <w:rPr>
                <w:rFonts w:hint="eastAsia" w:ascii="Times New Roman" w:hAnsi="Times New Roman" w:eastAsia="宋体" w:cs="Times New Roman"/>
                <w:color w:val="auto"/>
                <w:kern w:val="0"/>
                <w:sz w:val="24"/>
                <w:szCs w:val="20"/>
                <w:lang w:val="en-US" w:eastAsia="zh-CN" w:bidi="ar-SA"/>
              </w:rPr>
              <w:t>等</w:t>
            </w:r>
            <w:r>
              <w:rPr>
                <w:rFonts w:hint="default" w:ascii="Times New Roman" w:hAnsi="Times New Roman" w:eastAsia="宋体" w:cs="Times New Roman"/>
                <w:color w:val="auto"/>
                <w:kern w:val="0"/>
                <w:sz w:val="24"/>
                <w:szCs w:val="20"/>
                <w:lang w:val="en-US" w:eastAsia="zh-CN" w:bidi="ar-SA"/>
              </w:rPr>
              <w:t>，</w:t>
            </w:r>
            <w:r>
              <w:rPr>
                <w:rFonts w:hint="eastAsia" w:ascii="Times New Roman" w:hAnsi="Times New Roman" w:eastAsia="宋体" w:cs="宋体"/>
                <w:color w:val="auto"/>
                <w:sz w:val="24"/>
                <w:szCs w:val="24"/>
                <w:lang w:val="en-US" w:eastAsia="zh-CN"/>
              </w:rPr>
              <w:t>施工时长较短，随着施工结束</w:t>
            </w:r>
            <w:r>
              <w:rPr>
                <w:rFonts w:hint="default" w:ascii="Times New Roman" w:hAnsi="Times New Roman" w:eastAsia="宋体" w:cs="宋体"/>
                <w:color w:val="auto"/>
                <w:sz w:val="24"/>
                <w:szCs w:val="24"/>
                <w:lang w:val="en-US" w:eastAsia="zh-CN"/>
              </w:rPr>
              <w:t>，施工期环境影响也随</w:t>
            </w:r>
            <w:r>
              <w:rPr>
                <w:rFonts w:hint="eastAsia" w:ascii="Times New Roman" w:hAnsi="Times New Roman" w:eastAsia="宋体" w:cs="宋体"/>
                <w:color w:val="auto"/>
                <w:sz w:val="24"/>
                <w:szCs w:val="24"/>
                <w:lang w:val="en-US" w:eastAsia="zh-CN"/>
              </w:rPr>
              <w:t>之</w:t>
            </w:r>
            <w:r>
              <w:rPr>
                <w:rFonts w:hint="default" w:ascii="Times New Roman" w:hAnsi="Times New Roman" w:eastAsia="宋体" w:cs="宋体"/>
                <w:color w:val="auto"/>
                <w:sz w:val="24"/>
                <w:szCs w:val="24"/>
                <w:lang w:val="en-US" w:eastAsia="zh-CN"/>
              </w:rPr>
              <w:t>消失，</w:t>
            </w:r>
            <w:r>
              <w:rPr>
                <w:rFonts w:hint="eastAsia" w:ascii="Times New Roman" w:hAnsi="Times New Roman" w:eastAsia="宋体" w:cs="宋体"/>
                <w:color w:val="auto"/>
                <w:sz w:val="24"/>
                <w:szCs w:val="24"/>
                <w:lang w:val="en-US" w:eastAsia="zh-CN"/>
              </w:rPr>
              <w:t>采取相应的保护措施后，基本</w:t>
            </w:r>
            <w:r>
              <w:rPr>
                <w:rFonts w:hint="default" w:ascii="Times New Roman" w:hAnsi="Times New Roman" w:eastAsia="宋体" w:cs="宋体"/>
                <w:color w:val="auto"/>
                <w:sz w:val="24"/>
                <w:szCs w:val="24"/>
                <w:lang w:val="en-US" w:eastAsia="zh-CN"/>
              </w:rPr>
              <w:t>不会对周边环境造成影响。</w:t>
            </w:r>
            <w:r>
              <w:rPr>
                <w:rFonts w:hint="eastAsia" w:ascii="Times New Roman" w:hAnsi="Times New Roman" w:eastAsia="宋体" w:cs="宋体"/>
                <w:color w:val="auto"/>
                <w:sz w:val="24"/>
                <w:szCs w:val="24"/>
                <w:lang w:val="en-US" w:eastAsia="zh-CN"/>
              </w:rPr>
              <w:t>项目施工期环境保护措施如下：</w:t>
            </w:r>
          </w:p>
          <w:p w14:paraId="57A1DAF9">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auto"/>
                <w:kern w:val="0"/>
                <w:sz w:val="24"/>
              </w:rPr>
            </w:pPr>
            <w:r>
              <w:rPr>
                <w:rFonts w:hint="eastAsia" w:ascii="Times New Roman" w:hAnsi="Times New Roman" w:eastAsia="宋体" w:cs="Times New Roman"/>
                <w:b/>
                <w:bCs w:val="0"/>
                <w:color w:val="auto"/>
                <w:kern w:val="0"/>
                <w:sz w:val="24"/>
                <w:lang w:val="en-US" w:eastAsia="zh-CN"/>
              </w:rPr>
              <w:t>4.1</w:t>
            </w:r>
            <w:r>
              <w:rPr>
                <w:rFonts w:hint="default" w:ascii="Times New Roman" w:hAnsi="Times New Roman" w:eastAsia="宋体" w:cs="Times New Roman"/>
                <w:b/>
                <w:bCs w:val="0"/>
                <w:color w:val="auto"/>
                <w:kern w:val="0"/>
                <w:sz w:val="24"/>
              </w:rPr>
              <w:t>.1</w:t>
            </w:r>
            <w:r>
              <w:rPr>
                <w:rFonts w:hint="eastAsia" w:ascii="Times New Roman" w:hAnsi="Times New Roman" w:eastAsia="宋体" w:cs="Times New Roman"/>
                <w:b/>
                <w:bCs w:val="0"/>
                <w:color w:val="auto"/>
                <w:kern w:val="0"/>
                <w:sz w:val="24"/>
                <w:lang w:val="en-US" w:eastAsia="zh-CN"/>
              </w:rPr>
              <w:t>施工期</w:t>
            </w:r>
            <w:r>
              <w:rPr>
                <w:rFonts w:hint="default" w:ascii="Times New Roman" w:hAnsi="Times New Roman" w:eastAsia="宋体" w:cs="Times New Roman"/>
                <w:b/>
                <w:bCs w:val="0"/>
                <w:color w:val="auto"/>
                <w:kern w:val="0"/>
                <w:sz w:val="24"/>
              </w:rPr>
              <w:t>水环境的影响分析</w:t>
            </w:r>
            <w:bookmarkEnd w:id="24"/>
            <w:bookmarkEnd w:id="25"/>
            <w:r>
              <w:rPr>
                <w:rFonts w:hint="eastAsia" w:ascii="Times New Roman" w:hAnsi="Times New Roman" w:eastAsia="宋体" w:cs="Times New Roman"/>
                <w:b/>
                <w:bCs w:val="0"/>
                <w:color w:val="auto"/>
                <w:kern w:val="0"/>
                <w:sz w:val="24"/>
                <w:lang w:val="en-US" w:eastAsia="zh-CN"/>
              </w:rPr>
              <w:t>及保护措施</w:t>
            </w:r>
          </w:p>
          <w:p w14:paraId="261D5A5C">
            <w:pPr>
              <w:pStyle w:val="49"/>
              <w:rPr>
                <w:rFonts w:hint="default" w:ascii="Times New Roman" w:hAnsi="Times New Roman" w:eastAsia="宋体" w:cs="宋体"/>
                <w:color w:val="auto"/>
                <w:sz w:val="24"/>
                <w:szCs w:val="24"/>
                <w:lang w:val="en-US" w:eastAsia="zh-CN"/>
              </w:rPr>
            </w:pPr>
            <w:bookmarkStart w:id="26" w:name="_Toc10508"/>
            <w:bookmarkStart w:id="27" w:name="_Toc18014"/>
            <w:r>
              <w:rPr>
                <w:rFonts w:hint="eastAsia" w:ascii="Times New Roman" w:hAnsi="Times New Roman" w:eastAsia="宋体" w:cs="宋体"/>
                <w:color w:val="auto"/>
                <w:sz w:val="24"/>
                <w:szCs w:val="24"/>
                <w:lang w:val="en-US" w:eastAsia="zh-CN"/>
              </w:rPr>
              <w:t>项目施工期废水主要为施工人员生活污水、施工废水，建议采取以下水污染防治措施：</w:t>
            </w:r>
          </w:p>
          <w:p w14:paraId="6802C660">
            <w:pPr>
              <w:pStyle w:val="49"/>
              <w:numPr>
                <w:ilvl w:val="0"/>
                <w:numId w:val="11"/>
              </w:numPr>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本项目施工作业人员租住在周边民宅，产生的少量生活污水可依托区域内现有污水处理系统和排放管网，</w:t>
            </w:r>
            <w:r>
              <w:rPr>
                <w:rFonts w:hint="eastAsia" w:ascii="Times New Roman" w:hAnsi="Times New Roman" w:eastAsia="宋体" w:cs="Times New Roman"/>
                <w:color w:val="auto"/>
                <w:sz w:val="24"/>
                <w:szCs w:val="24"/>
                <w:lang w:val="en-US" w:eastAsia="zh-CN"/>
              </w:rPr>
              <w:t>不会对周边地表水环境产生直接不利影响。</w:t>
            </w:r>
          </w:p>
          <w:p w14:paraId="597E54D6">
            <w:pPr>
              <w:pStyle w:val="4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施工期废水包括钻孔等作业产生的砂浆水、各种施工机械设备运转的冷却及洗涤用水等，含有一定量的SS、石油类，因此，施工现场应设立隔油池和沉淀池，施工废水均通过排水沟流入沉淀池中，经隔油再沉淀上清液循环使用，不外排。</w:t>
            </w:r>
          </w:p>
          <w:p w14:paraId="400FA745">
            <w:pPr>
              <w:pStyle w:val="4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（3）施工材料应集中堆放在施工场地临时仓库内，不得随意堆放，避免雨水冲刷进入河道。</w:t>
            </w:r>
          </w:p>
          <w:p w14:paraId="44A97DE0">
            <w:pPr>
              <w:pStyle w:val="4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（4）对施工用油的油桶、漆桶暂存实行严格管理，避免跑冒滴漏。定期检查施工机械设备及运输车辆，一旦发现滴、漏油现象，应立即送到附近的机修厂进行维修。</w:t>
            </w:r>
          </w:p>
          <w:p w14:paraId="13B7D793">
            <w:pPr>
              <w:pStyle w:val="4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采取以上措施后，项目施工期</w:t>
            </w:r>
            <w:r>
              <w:rPr>
                <w:rFonts w:hint="eastAsia" w:ascii="Times New Roman" w:hAnsi="Times New Roman" w:eastAsia="宋体" w:cs="Times New Roman"/>
                <w:color w:val="auto"/>
                <w:sz w:val="24"/>
                <w:szCs w:val="24"/>
                <w:lang w:val="en-US" w:eastAsia="zh-CN"/>
              </w:rPr>
              <w:t>废水不会直接进入周边水环境，不会对地表水环境产生直接不利影响。</w:t>
            </w:r>
          </w:p>
          <w:p w14:paraId="314DE721">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eastAsia" w:ascii="Times New Roman" w:hAnsi="Times New Roman" w:eastAsia="宋体" w:cs="Times New Roman"/>
                <w:b/>
                <w:bCs w:val="0"/>
                <w:color w:val="auto"/>
                <w:kern w:val="0"/>
                <w:sz w:val="24"/>
              </w:rPr>
            </w:pPr>
            <w:r>
              <w:rPr>
                <w:rFonts w:hint="default" w:ascii="Times New Roman" w:hAnsi="Times New Roman" w:eastAsia="宋体" w:cs="Times New Roman"/>
                <w:b/>
                <w:bCs w:val="0"/>
                <w:color w:val="auto"/>
                <w:kern w:val="0"/>
                <w:sz w:val="24"/>
              </w:rPr>
              <w:t>4.</w:t>
            </w:r>
            <w:r>
              <w:rPr>
                <w:rFonts w:hint="eastAsia" w:ascii="Times New Roman" w:hAnsi="Times New Roman" w:eastAsia="宋体" w:cs="Times New Roman"/>
                <w:b/>
                <w:bCs w:val="0"/>
                <w:color w:val="auto"/>
                <w:kern w:val="0"/>
                <w:sz w:val="24"/>
                <w:lang w:val="en-US" w:eastAsia="zh-CN"/>
              </w:rPr>
              <w:t>1</w:t>
            </w:r>
            <w:r>
              <w:rPr>
                <w:rFonts w:hint="default" w:ascii="Times New Roman" w:hAnsi="Times New Roman" w:eastAsia="宋体" w:cs="Times New Roman"/>
                <w:b/>
                <w:bCs w:val="0"/>
                <w:color w:val="auto"/>
                <w:kern w:val="0"/>
                <w:sz w:val="24"/>
              </w:rPr>
              <w:t>.</w:t>
            </w:r>
            <w:r>
              <w:rPr>
                <w:rFonts w:hint="eastAsia" w:ascii="Times New Roman" w:hAnsi="Times New Roman" w:eastAsia="宋体" w:cs="Times New Roman"/>
                <w:b/>
                <w:bCs w:val="0"/>
                <w:color w:val="auto"/>
                <w:kern w:val="0"/>
                <w:sz w:val="24"/>
                <w:lang w:val="en-US" w:eastAsia="zh-CN"/>
              </w:rPr>
              <w:t>2施工期大气环境</w:t>
            </w:r>
            <w:r>
              <w:rPr>
                <w:rFonts w:hint="default" w:ascii="Times New Roman" w:hAnsi="Times New Roman" w:eastAsia="宋体" w:cs="Times New Roman"/>
                <w:b/>
                <w:bCs w:val="0"/>
                <w:color w:val="auto"/>
                <w:kern w:val="0"/>
                <w:sz w:val="24"/>
              </w:rPr>
              <w:t>影响分析</w:t>
            </w:r>
            <w:bookmarkEnd w:id="26"/>
            <w:bookmarkEnd w:id="27"/>
            <w:r>
              <w:rPr>
                <w:rFonts w:hint="eastAsia" w:ascii="Times New Roman" w:hAnsi="Times New Roman" w:eastAsia="宋体" w:cs="Times New Roman"/>
                <w:b/>
                <w:bCs w:val="0"/>
                <w:color w:val="auto"/>
                <w:kern w:val="0"/>
                <w:sz w:val="24"/>
                <w:lang w:val="en-US" w:eastAsia="zh-CN"/>
              </w:rPr>
              <w:t>及保护措施</w:t>
            </w:r>
          </w:p>
          <w:p w14:paraId="64CBC9E8">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olor w:val="auto"/>
                <w:sz w:val="24"/>
                <w:shd w:val="clear" w:color="auto" w:fill="FFFFFF"/>
                <w:lang w:eastAsia="zh-CN"/>
              </w:rPr>
            </w:pPr>
            <w:bookmarkStart w:id="28" w:name="_Toc14716"/>
            <w:bookmarkStart w:id="29" w:name="_Toc19444"/>
            <w:r>
              <w:rPr>
                <w:rFonts w:hint="eastAsia" w:ascii="Times New Roman" w:hAnsi="Times New Roman" w:eastAsia="宋体"/>
                <w:color w:val="auto"/>
                <w:sz w:val="24"/>
                <w:shd w:val="clear" w:color="auto" w:fill="FFFFFF"/>
                <w:lang w:eastAsia="zh-CN"/>
              </w:rPr>
              <w:t>项目施工期大气污染物主要为施工扬尘，施工机械、运输车辆尾气，装修期间装修材料散发少量有机溶剂废气。</w:t>
            </w:r>
          </w:p>
          <w:p w14:paraId="573DE8F8">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）施工扬尘</w:t>
            </w:r>
          </w:p>
          <w:p w14:paraId="4A983B78">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施工过程扬尘主要来自三个方面：运输扬尘、堆场扬尘和施工作业点扬尘。</w:t>
            </w:r>
          </w:p>
          <w:p w14:paraId="0C9A0293">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运输扬尘：机动车在运输建筑材料等过程中，车轮从施工场地等携带的泥块、沙尘、物料以及车载建筑原料均会抖落遗撒，经往来车辆的碾压后形成粒径较小的颗粒物进入空气，形成运输扬尘。车辆行驶产生的扬尘占施工扬尘总量的60%以上。</w:t>
            </w:r>
          </w:p>
          <w:p w14:paraId="7869BF65">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②堆场扬尘：堆场扬尘主要为临时建筑材料由于堆积、装卸操作以及风作用等造成的扬尘。</w:t>
            </w:r>
          </w:p>
          <w:p w14:paraId="1A1DD621">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③施工作业点扬尘：施工作业点扬尘主要为场地平整硬化、施工等产生的扬尘。施工扬尘排放量与施工面积、施工水平、施工强度和土壤类型、气候条件等有关。</w:t>
            </w:r>
          </w:p>
          <w:p w14:paraId="59A1C5BD">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olor w:val="auto"/>
                <w:sz w:val="24"/>
                <w:shd w:val="clear" w:color="auto" w:fill="FFFFFF"/>
                <w:lang w:eastAsia="zh-CN"/>
              </w:rPr>
            </w:pPr>
            <w:r>
              <w:rPr>
                <w:rFonts w:hint="eastAsia" w:ascii="Times New Roman" w:hAnsi="Times New Roman" w:eastAsia="宋体"/>
                <w:color w:val="auto"/>
                <w:sz w:val="24"/>
                <w:shd w:val="clear" w:color="auto" w:fill="FFFFFF"/>
              </w:rPr>
              <w:t>根据类比调查，施工扬尘的影响范围主要在施工现场附近，一般情况下，施工工地在自然风的作用下产生的扬尘所影响的范围在100m以内。如果施工期间对作业面实施洒水抑尘（每天4~5次），可使扬尘减少70%左右</w:t>
            </w:r>
            <w:r>
              <w:rPr>
                <w:rFonts w:hint="eastAsia" w:ascii="Times New Roman" w:hAnsi="Times New Roman" w:eastAsia="宋体"/>
                <w:color w:val="auto"/>
                <w:sz w:val="24"/>
                <w:shd w:val="clear" w:color="auto" w:fill="FFFFFF"/>
                <w:lang w:eastAsia="zh-CN"/>
              </w:rPr>
              <w:t>，</w:t>
            </w:r>
            <w:r>
              <w:rPr>
                <w:rFonts w:ascii="Times New Roman" w:hAnsi="Times New Roman" w:eastAsia="宋体"/>
                <w:color w:val="auto"/>
                <w:sz w:val="24"/>
                <w:szCs w:val="24"/>
              </w:rPr>
              <w:t>扬尘造成的TSP污染距离减小到50m范围</w:t>
            </w:r>
            <w:r>
              <w:rPr>
                <w:rFonts w:hint="eastAsia" w:ascii="Times New Roman" w:hAnsi="Times New Roman" w:eastAsia="宋体"/>
                <w:color w:val="auto"/>
                <w:sz w:val="24"/>
                <w:szCs w:val="24"/>
                <w:lang w:eastAsia="zh-CN"/>
              </w:rPr>
              <w:t>。</w:t>
            </w:r>
          </w:p>
          <w:p w14:paraId="6C08E729">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）施工机械、运输车辆尾气</w:t>
            </w:r>
          </w:p>
          <w:p w14:paraId="7DB8085A">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rPr>
            </w:pPr>
            <w:r>
              <w:rPr>
                <w:rFonts w:ascii="Times New Roman" w:hAnsi="Times New Roman" w:eastAsia="宋体"/>
                <w:color w:val="auto"/>
                <w:sz w:val="24"/>
                <w:szCs w:val="24"/>
              </w:rPr>
              <w:t>建筑</w:t>
            </w:r>
            <w:r>
              <w:rPr>
                <w:rFonts w:hint="eastAsia" w:ascii="Times New Roman" w:hAnsi="Times New Roman" w:eastAsia="宋体"/>
                <w:color w:val="auto"/>
                <w:sz w:val="24"/>
                <w:szCs w:val="24"/>
              </w:rPr>
              <w:t>工地上大量使用的施工机械和大型建筑材料运输车辆一般都以柴油为燃料。由柴油燃烧产生的尾气中主要含有颗粒物和碳氢化合物等废气，在常规气象条件下废气污染影响范围最大不超过排气孔下风向轴线几十米远的距离。一般情况下，在工地内运行的机械及载重卡车的废气污染影响范围仅局限于施工工地内，不影响界外区域。在工程施工期间，使用液体燃料的施工机械及运输车辆的发动机排放的尾气中含有 SO</w:t>
            </w:r>
            <w:r>
              <w:rPr>
                <w:rFonts w:hint="eastAsia" w:ascii="Times New Roman" w:hAnsi="Times New Roman" w:eastAsia="宋体"/>
                <w:color w:val="auto"/>
                <w:sz w:val="24"/>
                <w:szCs w:val="24"/>
                <w:vertAlign w:val="subscript"/>
              </w:rPr>
              <w:t>2</w:t>
            </w:r>
            <w:r>
              <w:rPr>
                <w:rFonts w:hint="eastAsia" w:ascii="Times New Roman" w:hAnsi="Times New Roman" w:eastAsia="宋体"/>
                <w:color w:val="auto"/>
                <w:sz w:val="24"/>
                <w:szCs w:val="24"/>
              </w:rPr>
              <w:t>、NOx、CO、烃类等污染物，</w:t>
            </w:r>
            <w:r>
              <w:rPr>
                <w:rFonts w:hint="eastAsia" w:ascii="Times New Roman" w:hAnsi="Times New Roman" w:eastAsia="宋体" w:cs="Times New Roman"/>
                <w:color w:val="auto"/>
                <w:sz w:val="24"/>
                <w:szCs w:val="24"/>
              </w:rPr>
              <w:t>一般情况下，这些污染物的排放量不大，且本地区大气扩散条件良好，因此此类废气对周边大气环境的影响较小。</w:t>
            </w:r>
          </w:p>
          <w:p w14:paraId="0619D2F2">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olor w:val="auto"/>
                <w:sz w:val="24"/>
                <w:shd w:val="clear" w:color="auto" w:fill="FFFFFF"/>
                <w:lang w:val="en-US" w:eastAsia="zh-CN"/>
              </w:rPr>
            </w:pPr>
            <w:r>
              <w:rPr>
                <w:rFonts w:hint="eastAsia" w:ascii="Times New Roman" w:hAnsi="Times New Roman" w:eastAsia="宋体"/>
                <w:color w:val="auto"/>
                <w:sz w:val="24"/>
                <w:shd w:val="clear" w:color="auto" w:fill="FFFFFF"/>
                <w:lang w:val="en-US" w:eastAsia="zh-CN"/>
              </w:rPr>
              <w:t>（3）装修废气</w:t>
            </w:r>
          </w:p>
          <w:p w14:paraId="709C2F8F">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olor w:val="auto"/>
                <w:sz w:val="24"/>
                <w:shd w:val="clear" w:color="auto" w:fill="FFFFFF"/>
                <w:lang w:eastAsia="zh-CN"/>
              </w:rPr>
            </w:pPr>
            <w:r>
              <w:rPr>
                <w:rFonts w:hint="eastAsia" w:ascii="Times New Roman" w:hAnsi="Times New Roman" w:eastAsia="宋体"/>
                <w:color w:val="auto"/>
                <w:sz w:val="24"/>
                <w:shd w:val="clear" w:color="auto" w:fill="FFFFFF"/>
                <w:lang w:eastAsia="zh-CN"/>
              </w:rPr>
              <w:t>装修施工阶段，墙面、地面装饰需要使用涂料（油漆）。装修有机废气来自涂料中的挥发性成分，属无组织排放，主要污染因子为非甲烷总烃。装修期间有机废气向周边环境弥散。</w:t>
            </w:r>
          </w:p>
          <w:p w14:paraId="4716D873">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olor w:val="auto"/>
                <w:sz w:val="24"/>
                <w:shd w:val="clear" w:color="auto" w:fill="FFFFFF"/>
                <w:lang w:val="en-US" w:eastAsia="zh-CN"/>
              </w:rPr>
            </w:pPr>
            <w:r>
              <w:rPr>
                <w:rFonts w:hint="eastAsia" w:ascii="Times New Roman" w:hAnsi="Times New Roman" w:eastAsia="宋体"/>
                <w:color w:val="auto"/>
                <w:sz w:val="24"/>
                <w:shd w:val="clear" w:color="auto" w:fill="FFFFFF"/>
                <w:lang w:eastAsia="zh-CN"/>
              </w:rPr>
              <w:t>本项目周边敏感目标主要为西侧约</w:t>
            </w:r>
            <w:r>
              <w:rPr>
                <w:rFonts w:hint="eastAsia" w:ascii="Times New Roman" w:hAnsi="Times New Roman" w:eastAsia="宋体"/>
                <w:color w:val="auto"/>
                <w:sz w:val="24"/>
                <w:shd w:val="clear" w:color="auto" w:fill="FFFFFF"/>
                <w:lang w:val="en-US" w:eastAsia="zh-CN"/>
              </w:rPr>
              <w:t>20m、北侧约95m的山前村，以及西南侧约385m的港西村，为减少施工扬尘对周边环境的影响，建设单位应采取以下防治措施：</w:t>
            </w:r>
          </w:p>
          <w:p w14:paraId="428B8CAD">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）施工场地四周应设置2.5m高硬质围挡，并做到坚固、平整、整洁、美观，建筑物施工设垂直封闭网。</w:t>
            </w:r>
          </w:p>
          <w:p w14:paraId="76CEBCFF">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）项目施工过程中，易产尘材料均采取防尘网遮盖，</w:t>
            </w:r>
            <w:r>
              <w:rPr>
                <w:rFonts w:hint="eastAsia" w:ascii="Times New Roman" w:hAnsi="Times New Roman" w:eastAsia="宋体" w:cs="Times New Roman"/>
                <w:color w:val="auto"/>
                <w:sz w:val="24"/>
                <w:szCs w:val="24"/>
                <w:lang w:val="en-US" w:eastAsia="zh-CN"/>
              </w:rPr>
              <w:t>且在远离西、北侧敏感目标的东、南侧堆放；</w:t>
            </w:r>
            <w:r>
              <w:rPr>
                <w:rFonts w:hint="eastAsia" w:ascii="Times New Roman" w:hAnsi="Times New Roman" w:eastAsia="宋体" w:cs="Times New Roman"/>
                <w:color w:val="auto"/>
                <w:sz w:val="24"/>
                <w:szCs w:val="24"/>
                <w:lang w:eastAsia="zh-CN"/>
              </w:rPr>
              <w:t>建筑垃圾及时清运，不在场地内长时间堆存。场地内配备移动式洒水车，并指定专人定期对易产生扬尘的地点进行喷水，使其保持一定的湿度，降低扬尘。</w:t>
            </w:r>
          </w:p>
          <w:p w14:paraId="3918A895">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）施工场地出入口设置洗车平台，运输车辆底盘和车轮冲洗干净后，方驶离施工现场。</w:t>
            </w:r>
          </w:p>
          <w:p w14:paraId="05E2D2F2">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）对施工区的主要通道、进出道路、材料加工区及办公生活区地面进行硬化处理，并且工地出入口与城市道路连接区域在全部硬化的同时，按要求敷设钢板，防止路面破损。</w:t>
            </w:r>
          </w:p>
          <w:p w14:paraId="75340A32">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）施工现场安排专人负责卫生保洁工作，围挡上方设置水喷雾</w:t>
            </w:r>
            <w:r>
              <w:rPr>
                <w:rFonts w:hint="eastAsia" w:cs="Times New Roman"/>
                <w:color w:val="auto"/>
                <w:sz w:val="24"/>
                <w:szCs w:val="24"/>
                <w:lang w:eastAsia="zh-CN"/>
              </w:rPr>
              <w:t>设施</w:t>
            </w:r>
            <w:r>
              <w:rPr>
                <w:rFonts w:hint="eastAsia" w:ascii="Times New Roman" w:hAnsi="Times New Roman" w:eastAsia="宋体" w:cs="Times New Roman"/>
                <w:color w:val="auto"/>
                <w:sz w:val="24"/>
                <w:szCs w:val="24"/>
                <w:lang w:eastAsia="zh-CN"/>
              </w:rPr>
              <w:t>，并配备移动式洒水车，施工期间遇到大风天气时，增加洒水降尘次数。</w:t>
            </w:r>
          </w:p>
          <w:p w14:paraId="4FC2ABE5">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eastAsia="zh-CN"/>
              </w:rPr>
              <w:t>）车辆在运输建筑材料等散装物料时，采取密闭措施，做到车辆密封、装载均衡，不出现沿途洒落，造成二次道路扬尘污染。</w:t>
            </w:r>
          </w:p>
          <w:p w14:paraId="026E4B3C">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eastAsia="zh-CN"/>
              </w:rPr>
              <w:t>）选择合理的运输路线和时间，</w:t>
            </w:r>
            <w:r>
              <w:rPr>
                <w:rFonts w:hint="eastAsia" w:ascii="Times New Roman" w:hAnsi="Times New Roman" w:eastAsia="宋体" w:cs="Times New Roman"/>
                <w:color w:val="auto"/>
                <w:sz w:val="24"/>
                <w:szCs w:val="24"/>
                <w:lang w:val="en-US" w:eastAsia="zh-CN"/>
              </w:rPr>
              <w:t>运输路线尽可能避开西北侧较近敏感目标，</w:t>
            </w:r>
            <w:r>
              <w:rPr>
                <w:rFonts w:hint="eastAsia" w:ascii="Times New Roman" w:hAnsi="Times New Roman" w:eastAsia="宋体" w:cs="Times New Roman"/>
                <w:color w:val="auto"/>
                <w:sz w:val="24"/>
                <w:szCs w:val="24"/>
                <w:lang w:eastAsia="zh-CN"/>
              </w:rPr>
              <w:t>使运输扬尘对周边环境的影响在可接受范围内。</w:t>
            </w:r>
          </w:p>
          <w:p w14:paraId="721660CC">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选择符合环保要求的施工机械，尽量选择以电能或燃轻柴油的设备，减少机械设备燃料废气的产生量</w:t>
            </w:r>
            <w:r>
              <w:rPr>
                <w:rFonts w:hint="eastAsia" w:cs="Times New Roman"/>
                <w:color w:val="auto"/>
                <w:sz w:val="24"/>
                <w:szCs w:val="24"/>
                <w:lang w:val="en-US" w:eastAsia="zh-CN"/>
              </w:rPr>
              <w:t>。</w:t>
            </w:r>
          </w:p>
          <w:p w14:paraId="21D58C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olor w:val="auto"/>
                <w:sz w:val="24"/>
                <w:szCs w:val="24"/>
                <w:lang w:val="en-US" w:eastAsia="zh-CN"/>
              </w:rPr>
              <w:t>（9）</w:t>
            </w:r>
            <w:r>
              <w:rPr>
                <w:rFonts w:hint="eastAsia" w:ascii="Times New Roman" w:hAnsi="Times New Roman" w:eastAsia="宋体" w:cs="Times New Roman"/>
                <w:color w:val="auto"/>
                <w:sz w:val="24"/>
                <w:szCs w:val="24"/>
                <w:lang w:val="en-US" w:eastAsia="zh-CN"/>
              </w:rPr>
              <w:t>装修过程中应选用符合《民用建筑工程室内环境污染控制标准》（GB50325-2020）标准规定的建筑材料和装饰材料，并通过加强排气通风。</w:t>
            </w:r>
          </w:p>
          <w:p w14:paraId="5AC3B956">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jc w:val="left"/>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采取以上综合防治措施后，可最大</w:t>
            </w:r>
            <w:r>
              <w:rPr>
                <w:rFonts w:hint="eastAsia" w:ascii="Times New Roman" w:hAnsi="Times New Roman" w:eastAsia="宋体" w:cs="Times New Roman"/>
                <w:color w:val="auto"/>
                <w:sz w:val="24"/>
                <w:szCs w:val="24"/>
              </w:rPr>
              <w:t>减轻</w:t>
            </w:r>
            <w:r>
              <w:rPr>
                <w:rFonts w:hint="eastAsia" w:ascii="Times New Roman" w:hAnsi="Times New Roman" w:eastAsia="宋体" w:cs="Times New Roman"/>
                <w:color w:val="auto"/>
                <w:sz w:val="24"/>
                <w:szCs w:val="24"/>
                <w:lang w:val="en-US" w:eastAsia="zh-CN"/>
              </w:rPr>
              <w:t>施工期废气</w:t>
            </w:r>
            <w:r>
              <w:rPr>
                <w:rFonts w:hint="eastAsia" w:ascii="Times New Roman" w:hAnsi="Times New Roman" w:eastAsia="宋体" w:cs="Times New Roman"/>
                <w:color w:val="auto"/>
                <w:sz w:val="24"/>
                <w:szCs w:val="24"/>
              </w:rPr>
              <w:t>对区域环境空气质量</w:t>
            </w:r>
            <w:r>
              <w:rPr>
                <w:rFonts w:hint="eastAsia" w:ascii="Times New Roman" w:hAnsi="Times New Roman" w:eastAsia="宋体" w:cs="Times New Roman"/>
                <w:color w:val="auto"/>
                <w:sz w:val="24"/>
                <w:szCs w:val="24"/>
                <w:lang w:val="en-US" w:eastAsia="zh-CN"/>
              </w:rPr>
              <w:t>带来</w:t>
            </w:r>
            <w:r>
              <w:rPr>
                <w:rFonts w:hint="eastAsia" w:ascii="Times New Roman" w:hAnsi="Times New Roman" w:eastAsia="宋体" w:cs="Times New Roman"/>
                <w:color w:val="auto"/>
                <w:sz w:val="24"/>
                <w:szCs w:val="24"/>
              </w:rPr>
              <w:t>的不利影响</w:t>
            </w:r>
            <w:r>
              <w:rPr>
                <w:rFonts w:hint="eastAsia" w:ascii="Times New Roman" w:hAnsi="Times New Roman" w:eastAsia="宋体" w:cs="Times New Roman"/>
                <w:color w:val="auto"/>
                <w:sz w:val="24"/>
                <w:szCs w:val="24"/>
                <w:lang w:eastAsia="zh-CN"/>
              </w:rPr>
              <w:t>，对周边大气环境及周边敏感点影响较小。</w:t>
            </w:r>
          </w:p>
          <w:p w14:paraId="1BB27689">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auto"/>
                <w:kern w:val="0"/>
                <w:sz w:val="24"/>
                <w:lang w:val="en-US" w:eastAsia="zh-CN"/>
              </w:rPr>
            </w:pPr>
            <w:r>
              <w:rPr>
                <w:rFonts w:hint="eastAsia" w:ascii="Times New Roman" w:hAnsi="Times New Roman" w:eastAsia="宋体" w:cs="Times New Roman"/>
                <w:b/>
                <w:bCs w:val="0"/>
                <w:color w:val="auto"/>
                <w:kern w:val="0"/>
                <w:sz w:val="24"/>
                <w:lang w:val="en-US" w:eastAsia="zh-CN"/>
              </w:rPr>
              <w:t>4.1.3施工期噪声环境影响分析</w:t>
            </w:r>
            <w:bookmarkEnd w:id="28"/>
            <w:bookmarkEnd w:id="29"/>
            <w:r>
              <w:rPr>
                <w:rFonts w:hint="eastAsia" w:ascii="Times New Roman" w:hAnsi="Times New Roman" w:eastAsia="宋体" w:cs="Times New Roman"/>
                <w:b/>
                <w:bCs w:val="0"/>
                <w:color w:val="auto"/>
                <w:kern w:val="0"/>
                <w:sz w:val="24"/>
                <w:lang w:val="en-US" w:eastAsia="zh-CN"/>
              </w:rPr>
              <w:t>及保护措施</w:t>
            </w:r>
          </w:p>
          <w:p w14:paraId="52037ABD">
            <w:pPr>
              <w:keepNext w:val="0"/>
              <w:keepLines w:val="0"/>
              <w:pageBreakBefore w:val="0"/>
              <w:widowControl w:val="0"/>
              <w:kinsoku/>
              <w:wordWrap/>
              <w:overflowPunct/>
              <w:topLinePunct w:val="0"/>
              <w:autoSpaceDE/>
              <w:autoSpaceDN/>
              <w:bidi w:val="0"/>
              <w:spacing w:beforeAutospacing="0" w:afterAutospacing="0" w:line="360" w:lineRule="auto"/>
              <w:ind w:left="0" w:firstLine="480" w:firstLineChars="200"/>
              <w:textAlignment w:val="auto"/>
              <w:rPr>
                <w:rFonts w:hint="default" w:ascii="Times New Roman" w:hAnsi="Times New Roman" w:eastAsia="宋体" w:cs="Times New Roman"/>
                <w:color w:val="auto"/>
                <w:sz w:val="24"/>
                <w:szCs w:val="24"/>
              </w:rPr>
            </w:pPr>
            <w:bookmarkStart w:id="30" w:name="_Toc166"/>
            <w:bookmarkStart w:id="31" w:name="_Toc165"/>
            <w:r>
              <w:rPr>
                <w:rFonts w:hint="default" w:ascii="Times New Roman" w:hAnsi="Times New Roman" w:eastAsia="宋体" w:cs="Times New Roman"/>
                <w:color w:val="auto"/>
                <w:sz w:val="24"/>
                <w:szCs w:val="24"/>
              </w:rPr>
              <w:t>项目噪声主要来</w:t>
            </w:r>
            <w:r>
              <w:rPr>
                <w:rFonts w:hint="eastAsia" w:cs="Times New Roman"/>
                <w:color w:val="auto"/>
                <w:sz w:val="24"/>
                <w:szCs w:val="24"/>
                <w:lang w:eastAsia="zh-CN"/>
              </w:rPr>
              <w:t>源于</w:t>
            </w:r>
            <w:r>
              <w:rPr>
                <w:rFonts w:hint="default" w:ascii="Times New Roman" w:hAnsi="Times New Roman" w:eastAsia="宋体" w:cs="Times New Roman"/>
                <w:color w:val="auto"/>
                <w:sz w:val="24"/>
                <w:szCs w:val="24"/>
              </w:rPr>
              <w:t>施工现场的各类机械设备</w:t>
            </w:r>
            <w:r>
              <w:rPr>
                <w:rFonts w:hint="eastAsia" w:ascii="Times New Roman" w:hAnsi="Times New Roman" w:eastAsia="宋体" w:cs="Times New Roman"/>
                <w:color w:val="auto"/>
                <w:sz w:val="24"/>
                <w:szCs w:val="24"/>
                <w:lang w:val="en-US" w:eastAsia="zh-CN"/>
              </w:rPr>
              <w:t>噪声</w:t>
            </w:r>
            <w:r>
              <w:rPr>
                <w:rFonts w:hint="default" w:ascii="Times New Roman" w:hAnsi="Times New Roman" w:eastAsia="宋体" w:cs="Times New Roman"/>
                <w:color w:val="auto"/>
                <w:sz w:val="24"/>
                <w:szCs w:val="24"/>
              </w:rPr>
              <w:t>和物料运输的交通噪声。施工设备噪声值依据福建省环保局闽环保总队</w:t>
            </w:r>
            <w:r>
              <w:rPr>
                <w:rFonts w:hint="eastAsia" w:cs="Times New Roman"/>
                <w:color w:val="auto"/>
                <w:sz w:val="24"/>
                <w:szCs w:val="24"/>
                <w:lang w:eastAsia="zh-CN"/>
              </w:rPr>
              <w:t>〔2006〕4号</w:t>
            </w:r>
            <w:r>
              <w:rPr>
                <w:rFonts w:hint="default" w:ascii="Times New Roman" w:hAnsi="Times New Roman" w:eastAsia="宋体" w:cs="Times New Roman"/>
                <w:color w:val="auto"/>
                <w:sz w:val="24"/>
                <w:szCs w:val="24"/>
              </w:rPr>
              <w:t>文中“福建省建筑施工噪声类比监测数据一览表</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试行</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”中相关数据，见表</w:t>
            </w:r>
            <w:r>
              <w:rPr>
                <w:rFonts w:hint="eastAsia" w:ascii="Times New Roman" w:hAnsi="Times New Roman" w:eastAsia="宋体" w:cs="Times New Roman"/>
                <w:color w:val="auto"/>
                <w:sz w:val="24"/>
                <w:szCs w:val="24"/>
                <w:lang w:val="en-US" w:eastAsia="zh-CN"/>
              </w:rPr>
              <w:t>4.1-1</w:t>
            </w:r>
            <w:r>
              <w:rPr>
                <w:rFonts w:hint="default" w:ascii="Times New Roman" w:hAnsi="Times New Roman" w:eastAsia="宋体" w:cs="Times New Roman"/>
                <w:color w:val="auto"/>
                <w:sz w:val="24"/>
                <w:szCs w:val="24"/>
              </w:rPr>
              <w:t>。</w:t>
            </w:r>
          </w:p>
          <w:p w14:paraId="361F9374">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spacing w:val="2"/>
                <w:sz w:val="24"/>
                <w:szCs w:val="24"/>
                <w:lang w:val="en-US" w:eastAsia="zh-CN"/>
              </w:rPr>
            </w:pPr>
            <w:r>
              <w:rPr>
                <w:rFonts w:hint="default" w:ascii="Times New Roman" w:hAnsi="Times New Roman" w:eastAsia="宋体" w:cs="Times New Roman"/>
                <w:b/>
                <w:bCs/>
                <w:color w:val="auto"/>
                <w:spacing w:val="2"/>
                <w:sz w:val="24"/>
                <w:szCs w:val="24"/>
                <w:lang w:val="en-US" w:eastAsia="zh-CN"/>
              </w:rPr>
              <w:t>表4.1-1 项目施工机械噪声源源强</w:t>
            </w:r>
          </w:p>
          <w:tbl>
            <w:tblPr>
              <w:tblStyle w:val="20"/>
              <w:tblW w:w="4998" w:type="pct"/>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30" w:type="dxa"/>
                <w:bottom w:w="0" w:type="dxa"/>
                <w:right w:w="30" w:type="dxa"/>
              </w:tblCellMar>
            </w:tblPr>
            <w:tblGrid>
              <w:gridCol w:w="1512"/>
              <w:gridCol w:w="1328"/>
              <w:gridCol w:w="1923"/>
              <w:gridCol w:w="1474"/>
              <w:gridCol w:w="1693"/>
            </w:tblGrid>
            <w:tr w14:paraId="140409C4">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noWrap w:val="0"/>
                  <w:vAlign w:val="center"/>
                </w:tcPr>
                <w:p w14:paraId="06468F20">
                  <w:pPr>
                    <w:pStyle w:val="41"/>
                    <w:spacing w:line="340" w:lineRule="exact"/>
                    <w:rPr>
                      <w:rFonts w:hint="default" w:ascii="Times New Roman" w:hAnsi="Times New Roman" w:eastAsia="宋体" w:cs="Times New Roman"/>
                      <w:b/>
                      <w:bCs/>
                      <w:snapToGrid w:val="0"/>
                      <w:color w:val="auto"/>
                      <w:kern w:val="18"/>
                      <w:sz w:val="21"/>
                      <w:szCs w:val="21"/>
                    </w:rPr>
                  </w:pPr>
                  <w:r>
                    <w:rPr>
                      <w:rFonts w:hint="default" w:ascii="Times New Roman" w:hAnsi="Times New Roman" w:eastAsia="宋体" w:cs="Times New Roman"/>
                      <w:b/>
                      <w:bCs/>
                      <w:snapToGrid w:val="0"/>
                      <w:color w:val="auto"/>
                      <w:kern w:val="18"/>
                      <w:sz w:val="21"/>
                      <w:szCs w:val="21"/>
                    </w:rPr>
                    <w:t>施工阶段</w:t>
                  </w:r>
                </w:p>
              </w:tc>
              <w:tc>
                <w:tcPr>
                  <w:tcW w:w="837" w:type="pct"/>
                  <w:noWrap w:val="0"/>
                  <w:vAlign w:val="center"/>
                </w:tcPr>
                <w:p w14:paraId="36CBDFEE">
                  <w:pPr>
                    <w:pStyle w:val="41"/>
                    <w:spacing w:line="340" w:lineRule="exact"/>
                    <w:rPr>
                      <w:rFonts w:hint="default" w:ascii="Times New Roman" w:hAnsi="Times New Roman" w:eastAsia="宋体" w:cs="Times New Roman"/>
                      <w:b/>
                      <w:bCs/>
                      <w:snapToGrid w:val="0"/>
                      <w:color w:val="auto"/>
                      <w:kern w:val="18"/>
                      <w:sz w:val="21"/>
                      <w:szCs w:val="21"/>
                    </w:rPr>
                  </w:pPr>
                  <w:r>
                    <w:rPr>
                      <w:rFonts w:hint="default" w:ascii="Times New Roman" w:hAnsi="Times New Roman" w:eastAsia="宋体" w:cs="Times New Roman"/>
                      <w:b/>
                      <w:bCs/>
                      <w:snapToGrid w:val="0"/>
                      <w:color w:val="auto"/>
                      <w:kern w:val="18"/>
                      <w:sz w:val="21"/>
                      <w:szCs w:val="21"/>
                    </w:rPr>
                    <w:t>施工设备</w:t>
                  </w:r>
                </w:p>
              </w:tc>
              <w:tc>
                <w:tcPr>
                  <w:tcW w:w="1212" w:type="pct"/>
                  <w:noWrap w:val="0"/>
                  <w:vAlign w:val="center"/>
                </w:tcPr>
                <w:p w14:paraId="0FAD2FF7">
                  <w:pPr>
                    <w:pStyle w:val="41"/>
                    <w:spacing w:line="340" w:lineRule="exact"/>
                    <w:rPr>
                      <w:rFonts w:hint="default" w:ascii="Times New Roman" w:hAnsi="Times New Roman" w:eastAsia="宋体" w:cs="Times New Roman"/>
                      <w:b/>
                      <w:bCs/>
                      <w:snapToGrid w:val="0"/>
                      <w:color w:val="auto"/>
                      <w:kern w:val="18"/>
                      <w:sz w:val="21"/>
                      <w:szCs w:val="21"/>
                    </w:rPr>
                  </w:pPr>
                  <w:r>
                    <w:rPr>
                      <w:rFonts w:hint="default" w:ascii="Times New Roman" w:hAnsi="Times New Roman" w:eastAsia="宋体" w:cs="Times New Roman"/>
                      <w:b/>
                      <w:bCs/>
                      <w:snapToGrid w:val="0"/>
                      <w:color w:val="auto"/>
                      <w:kern w:val="18"/>
                      <w:sz w:val="21"/>
                      <w:szCs w:val="21"/>
                    </w:rPr>
                    <w:t>测点与设备距离(m)</w:t>
                  </w:r>
                </w:p>
              </w:tc>
              <w:tc>
                <w:tcPr>
                  <w:tcW w:w="929" w:type="pct"/>
                  <w:tcBorders>
                    <w:right w:val="single" w:color="auto" w:sz="4" w:space="0"/>
                  </w:tcBorders>
                  <w:noWrap w:val="0"/>
                  <w:vAlign w:val="center"/>
                </w:tcPr>
                <w:p w14:paraId="3BF18520">
                  <w:pPr>
                    <w:pStyle w:val="41"/>
                    <w:spacing w:line="340" w:lineRule="exact"/>
                    <w:rPr>
                      <w:rFonts w:hint="default" w:ascii="Times New Roman" w:hAnsi="Times New Roman" w:eastAsia="宋体" w:cs="Times New Roman"/>
                      <w:b/>
                      <w:bCs/>
                      <w:snapToGrid w:val="0"/>
                      <w:color w:val="auto"/>
                      <w:kern w:val="18"/>
                      <w:sz w:val="21"/>
                      <w:szCs w:val="21"/>
                    </w:rPr>
                  </w:pPr>
                  <w:r>
                    <w:rPr>
                      <w:rFonts w:hint="default" w:ascii="Times New Roman" w:hAnsi="Times New Roman" w:eastAsia="宋体" w:cs="Times New Roman"/>
                      <w:b/>
                      <w:bCs/>
                      <w:snapToGrid w:val="0"/>
                      <w:color w:val="auto"/>
                      <w:kern w:val="18"/>
                      <w:sz w:val="21"/>
                      <w:szCs w:val="21"/>
                    </w:rPr>
                    <w:t>噪声级dB(A)</w:t>
                  </w:r>
                </w:p>
              </w:tc>
              <w:tc>
                <w:tcPr>
                  <w:tcW w:w="1066" w:type="pct"/>
                  <w:tcBorders>
                    <w:left w:val="single" w:color="auto" w:sz="4" w:space="0"/>
                  </w:tcBorders>
                  <w:noWrap w:val="0"/>
                  <w:vAlign w:val="center"/>
                </w:tcPr>
                <w:p w14:paraId="1E583731">
                  <w:pPr>
                    <w:spacing w:line="340" w:lineRule="exact"/>
                    <w:jc w:val="center"/>
                    <w:rPr>
                      <w:rFonts w:hint="default" w:ascii="Times New Roman" w:hAnsi="Times New Roman" w:eastAsia="宋体" w:cs="Times New Roman"/>
                      <w:b/>
                      <w:bCs/>
                      <w:snapToGrid w:val="0"/>
                      <w:color w:val="auto"/>
                      <w:kern w:val="18"/>
                      <w:sz w:val="21"/>
                      <w:szCs w:val="21"/>
                    </w:rPr>
                  </w:pPr>
                  <w:r>
                    <w:rPr>
                      <w:rFonts w:hint="default" w:ascii="Times New Roman" w:hAnsi="Times New Roman" w:eastAsia="宋体" w:cs="Times New Roman"/>
                      <w:b/>
                      <w:bCs/>
                      <w:color w:val="auto"/>
                      <w:sz w:val="21"/>
                      <w:szCs w:val="21"/>
                    </w:rPr>
                    <w:t>综合噪声级dB(A)</w:t>
                  </w:r>
                </w:p>
              </w:tc>
            </w:tr>
            <w:tr w14:paraId="71E085E7">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restart"/>
                  <w:noWrap w:val="0"/>
                  <w:vAlign w:val="center"/>
                </w:tcPr>
                <w:p w14:paraId="3CF6E90E">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土石方阶段</w:t>
                  </w:r>
                </w:p>
              </w:tc>
              <w:tc>
                <w:tcPr>
                  <w:tcW w:w="837" w:type="pct"/>
                  <w:noWrap w:val="0"/>
                  <w:vAlign w:val="center"/>
                </w:tcPr>
                <w:p w14:paraId="33D3E3EA">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装载车</w:t>
                  </w:r>
                </w:p>
              </w:tc>
              <w:tc>
                <w:tcPr>
                  <w:tcW w:w="1212" w:type="pct"/>
                  <w:noWrap w:val="0"/>
                  <w:vAlign w:val="center"/>
                </w:tcPr>
                <w:p w14:paraId="79092036">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w:t>
                  </w:r>
                </w:p>
              </w:tc>
              <w:tc>
                <w:tcPr>
                  <w:tcW w:w="929" w:type="pct"/>
                  <w:tcBorders>
                    <w:right w:val="single" w:color="auto" w:sz="4" w:space="0"/>
                  </w:tcBorders>
                  <w:noWrap w:val="0"/>
                  <w:vAlign w:val="center"/>
                </w:tcPr>
                <w:p w14:paraId="424057A7">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80</w:t>
                  </w:r>
                </w:p>
              </w:tc>
              <w:tc>
                <w:tcPr>
                  <w:tcW w:w="1066" w:type="pct"/>
                  <w:vMerge w:val="restart"/>
                  <w:tcBorders>
                    <w:left w:val="single" w:color="auto" w:sz="4" w:space="0"/>
                  </w:tcBorders>
                  <w:noWrap w:val="0"/>
                  <w:vAlign w:val="center"/>
                </w:tcPr>
                <w:p w14:paraId="30577537">
                  <w:pPr>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color w:val="auto"/>
                      <w:sz w:val="21"/>
                      <w:szCs w:val="21"/>
                    </w:rPr>
                    <w:t>93.2</w:t>
                  </w:r>
                </w:p>
              </w:tc>
            </w:tr>
            <w:tr w14:paraId="7A7C53C7">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14:paraId="328B3767">
                  <w:pPr>
                    <w:pStyle w:val="41"/>
                    <w:spacing w:line="340" w:lineRule="exact"/>
                    <w:rPr>
                      <w:rFonts w:hint="default" w:ascii="Times New Roman" w:hAnsi="Times New Roman" w:eastAsia="宋体" w:cs="Times New Roman"/>
                      <w:snapToGrid w:val="0"/>
                      <w:color w:val="auto"/>
                      <w:kern w:val="18"/>
                      <w:sz w:val="21"/>
                      <w:szCs w:val="21"/>
                    </w:rPr>
                  </w:pPr>
                </w:p>
              </w:tc>
              <w:tc>
                <w:tcPr>
                  <w:tcW w:w="837" w:type="pct"/>
                  <w:noWrap w:val="0"/>
                  <w:vAlign w:val="center"/>
                </w:tcPr>
                <w:p w14:paraId="12755976">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柴油空压机</w:t>
                  </w:r>
                </w:p>
              </w:tc>
              <w:tc>
                <w:tcPr>
                  <w:tcW w:w="1212" w:type="pct"/>
                  <w:noWrap w:val="0"/>
                  <w:vAlign w:val="center"/>
                </w:tcPr>
                <w:p w14:paraId="21FEDE21">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w:t>
                  </w:r>
                </w:p>
              </w:tc>
              <w:tc>
                <w:tcPr>
                  <w:tcW w:w="929" w:type="pct"/>
                  <w:tcBorders>
                    <w:right w:val="single" w:color="auto" w:sz="4" w:space="0"/>
                  </w:tcBorders>
                  <w:noWrap w:val="0"/>
                  <w:vAlign w:val="center"/>
                </w:tcPr>
                <w:p w14:paraId="6B810998">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88</w:t>
                  </w:r>
                </w:p>
              </w:tc>
              <w:tc>
                <w:tcPr>
                  <w:tcW w:w="1066" w:type="pct"/>
                  <w:vMerge w:val="continue"/>
                  <w:tcBorders>
                    <w:left w:val="single" w:color="auto" w:sz="4" w:space="0"/>
                  </w:tcBorders>
                  <w:noWrap w:val="0"/>
                  <w:vAlign w:val="center"/>
                </w:tcPr>
                <w:p w14:paraId="5BD4AFB9">
                  <w:pPr>
                    <w:pStyle w:val="41"/>
                    <w:spacing w:line="340" w:lineRule="exact"/>
                    <w:rPr>
                      <w:rFonts w:hint="default" w:ascii="Times New Roman" w:hAnsi="Times New Roman" w:eastAsia="宋体" w:cs="Times New Roman"/>
                      <w:snapToGrid w:val="0"/>
                      <w:color w:val="auto"/>
                      <w:kern w:val="18"/>
                      <w:sz w:val="21"/>
                      <w:szCs w:val="21"/>
                    </w:rPr>
                  </w:pPr>
                </w:p>
              </w:tc>
            </w:tr>
            <w:tr w14:paraId="5A42F074">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14:paraId="29719420">
                  <w:pPr>
                    <w:pStyle w:val="41"/>
                    <w:spacing w:line="340" w:lineRule="exact"/>
                    <w:rPr>
                      <w:rFonts w:hint="default" w:ascii="Times New Roman" w:hAnsi="Times New Roman" w:eastAsia="宋体" w:cs="Times New Roman"/>
                      <w:snapToGrid w:val="0"/>
                      <w:color w:val="auto"/>
                      <w:kern w:val="18"/>
                      <w:sz w:val="21"/>
                      <w:szCs w:val="21"/>
                    </w:rPr>
                  </w:pPr>
                </w:p>
              </w:tc>
              <w:tc>
                <w:tcPr>
                  <w:tcW w:w="837" w:type="pct"/>
                  <w:noWrap w:val="0"/>
                  <w:vAlign w:val="center"/>
                </w:tcPr>
                <w:p w14:paraId="54290C45">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挖掘机</w:t>
                  </w:r>
                </w:p>
              </w:tc>
              <w:tc>
                <w:tcPr>
                  <w:tcW w:w="1212" w:type="pct"/>
                  <w:noWrap w:val="0"/>
                  <w:vAlign w:val="center"/>
                </w:tcPr>
                <w:p w14:paraId="38701A21">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w:t>
                  </w:r>
                </w:p>
              </w:tc>
              <w:tc>
                <w:tcPr>
                  <w:tcW w:w="929" w:type="pct"/>
                  <w:tcBorders>
                    <w:right w:val="single" w:color="auto" w:sz="4" w:space="0"/>
                  </w:tcBorders>
                  <w:noWrap w:val="0"/>
                  <w:vAlign w:val="center"/>
                </w:tcPr>
                <w:p w14:paraId="6EAEAACD">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79</w:t>
                  </w:r>
                </w:p>
              </w:tc>
              <w:tc>
                <w:tcPr>
                  <w:tcW w:w="1066" w:type="pct"/>
                  <w:vMerge w:val="continue"/>
                  <w:tcBorders>
                    <w:left w:val="single" w:color="auto" w:sz="4" w:space="0"/>
                  </w:tcBorders>
                  <w:noWrap w:val="0"/>
                  <w:vAlign w:val="center"/>
                </w:tcPr>
                <w:p w14:paraId="2FDE908B">
                  <w:pPr>
                    <w:pStyle w:val="41"/>
                    <w:spacing w:line="340" w:lineRule="exact"/>
                    <w:rPr>
                      <w:rFonts w:hint="default" w:ascii="Times New Roman" w:hAnsi="Times New Roman" w:eastAsia="宋体" w:cs="Times New Roman"/>
                      <w:snapToGrid w:val="0"/>
                      <w:color w:val="auto"/>
                      <w:kern w:val="18"/>
                      <w:sz w:val="21"/>
                      <w:szCs w:val="21"/>
                    </w:rPr>
                  </w:pPr>
                </w:p>
              </w:tc>
            </w:tr>
            <w:tr w14:paraId="79403E9D">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14:paraId="7F683141">
                  <w:pPr>
                    <w:pStyle w:val="41"/>
                    <w:spacing w:line="340" w:lineRule="exact"/>
                    <w:rPr>
                      <w:rFonts w:hint="default" w:ascii="Times New Roman" w:hAnsi="Times New Roman" w:eastAsia="宋体" w:cs="Times New Roman"/>
                      <w:snapToGrid w:val="0"/>
                      <w:color w:val="auto"/>
                      <w:kern w:val="18"/>
                      <w:sz w:val="21"/>
                      <w:szCs w:val="21"/>
                    </w:rPr>
                  </w:pPr>
                </w:p>
              </w:tc>
              <w:tc>
                <w:tcPr>
                  <w:tcW w:w="837" w:type="pct"/>
                  <w:noWrap w:val="0"/>
                  <w:vAlign w:val="center"/>
                </w:tcPr>
                <w:p w14:paraId="6FE1ABBA">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风镐</w:t>
                  </w:r>
                </w:p>
              </w:tc>
              <w:tc>
                <w:tcPr>
                  <w:tcW w:w="1212" w:type="pct"/>
                  <w:noWrap w:val="0"/>
                  <w:vAlign w:val="center"/>
                </w:tcPr>
                <w:p w14:paraId="3C1213EE">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w:t>
                  </w:r>
                </w:p>
              </w:tc>
              <w:tc>
                <w:tcPr>
                  <w:tcW w:w="929" w:type="pct"/>
                  <w:tcBorders>
                    <w:right w:val="single" w:color="auto" w:sz="4" w:space="0"/>
                  </w:tcBorders>
                  <w:noWrap w:val="0"/>
                  <w:vAlign w:val="center"/>
                </w:tcPr>
                <w:p w14:paraId="6C4CF359">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91</w:t>
                  </w:r>
                </w:p>
              </w:tc>
              <w:tc>
                <w:tcPr>
                  <w:tcW w:w="1066" w:type="pct"/>
                  <w:vMerge w:val="continue"/>
                  <w:tcBorders>
                    <w:left w:val="single" w:color="auto" w:sz="4" w:space="0"/>
                  </w:tcBorders>
                  <w:noWrap w:val="0"/>
                  <w:vAlign w:val="center"/>
                </w:tcPr>
                <w:p w14:paraId="2A3E4B95">
                  <w:pPr>
                    <w:pStyle w:val="41"/>
                    <w:spacing w:line="340" w:lineRule="exact"/>
                    <w:rPr>
                      <w:rFonts w:hint="default" w:ascii="Times New Roman" w:hAnsi="Times New Roman" w:eastAsia="宋体" w:cs="Times New Roman"/>
                      <w:snapToGrid w:val="0"/>
                      <w:color w:val="auto"/>
                      <w:kern w:val="18"/>
                      <w:sz w:val="21"/>
                      <w:szCs w:val="21"/>
                    </w:rPr>
                  </w:pPr>
                </w:p>
              </w:tc>
            </w:tr>
            <w:tr w14:paraId="16DE2906">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noWrap w:val="0"/>
                  <w:vAlign w:val="center"/>
                </w:tcPr>
                <w:p w14:paraId="00CF7E42">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基础打桩阶段</w:t>
                  </w:r>
                </w:p>
              </w:tc>
              <w:tc>
                <w:tcPr>
                  <w:tcW w:w="837" w:type="pct"/>
                  <w:noWrap w:val="0"/>
                  <w:vAlign w:val="center"/>
                </w:tcPr>
                <w:p w14:paraId="42606483">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冲孔灌注桩</w:t>
                  </w:r>
                </w:p>
              </w:tc>
              <w:tc>
                <w:tcPr>
                  <w:tcW w:w="1212" w:type="pct"/>
                  <w:noWrap w:val="0"/>
                  <w:vAlign w:val="center"/>
                </w:tcPr>
                <w:p w14:paraId="1F3CA89A">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w:t>
                  </w:r>
                </w:p>
              </w:tc>
              <w:tc>
                <w:tcPr>
                  <w:tcW w:w="929" w:type="pct"/>
                  <w:tcBorders>
                    <w:right w:val="single" w:color="auto" w:sz="4" w:space="0"/>
                  </w:tcBorders>
                  <w:noWrap w:val="0"/>
                  <w:vAlign w:val="center"/>
                </w:tcPr>
                <w:p w14:paraId="596E5245">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90</w:t>
                  </w:r>
                </w:p>
              </w:tc>
              <w:tc>
                <w:tcPr>
                  <w:tcW w:w="1066" w:type="pct"/>
                  <w:tcBorders>
                    <w:left w:val="single" w:color="auto" w:sz="4" w:space="0"/>
                  </w:tcBorders>
                  <w:noWrap w:val="0"/>
                  <w:vAlign w:val="center"/>
                </w:tcPr>
                <w:p w14:paraId="2BFF05E7">
                  <w:pPr>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color w:val="auto"/>
                      <w:sz w:val="21"/>
                      <w:szCs w:val="21"/>
                    </w:rPr>
                    <w:t>90.0</w:t>
                  </w:r>
                </w:p>
              </w:tc>
            </w:tr>
            <w:tr w14:paraId="01210A99">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restart"/>
                  <w:noWrap w:val="0"/>
                  <w:vAlign w:val="center"/>
                </w:tcPr>
                <w:p w14:paraId="0D71E457">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结构施工</w:t>
                  </w:r>
                  <w:r>
                    <w:rPr>
                      <w:rFonts w:hint="eastAsia" w:ascii="Times New Roman" w:hAnsi="Times New Roman" w:eastAsia="宋体" w:cs="Times New Roman"/>
                      <w:snapToGrid w:val="0"/>
                      <w:color w:val="auto"/>
                      <w:kern w:val="18"/>
                      <w:sz w:val="21"/>
                      <w:szCs w:val="21"/>
                      <w:lang w:eastAsia="zh-CN"/>
                    </w:rPr>
                    <w:t>浇筑</w:t>
                  </w:r>
                </w:p>
                <w:p w14:paraId="5D5CDE49">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阶段</w:t>
                  </w:r>
                </w:p>
              </w:tc>
              <w:tc>
                <w:tcPr>
                  <w:tcW w:w="837" w:type="pct"/>
                  <w:noWrap w:val="0"/>
                  <w:vAlign w:val="center"/>
                </w:tcPr>
                <w:p w14:paraId="5DFBC287">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搅拌机</w:t>
                  </w:r>
                </w:p>
              </w:tc>
              <w:tc>
                <w:tcPr>
                  <w:tcW w:w="1212" w:type="pct"/>
                  <w:noWrap w:val="0"/>
                  <w:vAlign w:val="center"/>
                </w:tcPr>
                <w:p w14:paraId="5B3DB4BF">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w:t>
                  </w:r>
                </w:p>
              </w:tc>
              <w:tc>
                <w:tcPr>
                  <w:tcW w:w="929" w:type="pct"/>
                  <w:tcBorders>
                    <w:right w:val="single" w:color="auto" w:sz="4" w:space="0"/>
                  </w:tcBorders>
                  <w:noWrap w:val="0"/>
                  <w:vAlign w:val="center"/>
                </w:tcPr>
                <w:p w14:paraId="777640AD">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78</w:t>
                  </w:r>
                </w:p>
              </w:tc>
              <w:tc>
                <w:tcPr>
                  <w:tcW w:w="1066" w:type="pct"/>
                  <w:vMerge w:val="restart"/>
                  <w:tcBorders>
                    <w:left w:val="single" w:color="auto" w:sz="4" w:space="0"/>
                  </w:tcBorders>
                  <w:noWrap w:val="0"/>
                  <w:vAlign w:val="center"/>
                </w:tcPr>
                <w:p w14:paraId="73BD4BB2">
                  <w:pPr>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color w:val="auto"/>
                      <w:sz w:val="21"/>
                      <w:szCs w:val="21"/>
                    </w:rPr>
                    <w:t>83.5</w:t>
                  </w:r>
                </w:p>
              </w:tc>
            </w:tr>
            <w:tr w14:paraId="720EC3CB">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14:paraId="3AE829AA">
                  <w:pPr>
                    <w:pStyle w:val="41"/>
                    <w:spacing w:line="340" w:lineRule="exact"/>
                    <w:rPr>
                      <w:rFonts w:hint="default" w:ascii="Times New Roman" w:hAnsi="Times New Roman" w:eastAsia="宋体" w:cs="Times New Roman"/>
                      <w:snapToGrid w:val="0"/>
                      <w:color w:val="auto"/>
                      <w:kern w:val="18"/>
                      <w:sz w:val="21"/>
                      <w:szCs w:val="21"/>
                    </w:rPr>
                  </w:pPr>
                </w:p>
              </w:tc>
              <w:tc>
                <w:tcPr>
                  <w:tcW w:w="837" w:type="pct"/>
                  <w:noWrap w:val="0"/>
                  <w:vAlign w:val="center"/>
                </w:tcPr>
                <w:p w14:paraId="60AB8EAE">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起重机</w:t>
                  </w:r>
                </w:p>
              </w:tc>
              <w:tc>
                <w:tcPr>
                  <w:tcW w:w="1212" w:type="pct"/>
                  <w:noWrap w:val="0"/>
                  <w:vAlign w:val="center"/>
                </w:tcPr>
                <w:p w14:paraId="75BF4A76">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w:t>
                  </w:r>
                </w:p>
              </w:tc>
              <w:tc>
                <w:tcPr>
                  <w:tcW w:w="929" w:type="pct"/>
                  <w:tcBorders>
                    <w:right w:val="single" w:color="auto" w:sz="4" w:space="0"/>
                  </w:tcBorders>
                  <w:noWrap w:val="0"/>
                  <w:vAlign w:val="center"/>
                </w:tcPr>
                <w:p w14:paraId="0CD7E2D9">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80</w:t>
                  </w:r>
                </w:p>
              </w:tc>
              <w:tc>
                <w:tcPr>
                  <w:tcW w:w="1066" w:type="pct"/>
                  <w:vMerge w:val="continue"/>
                  <w:tcBorders>
                    <w:left w:val="single" w:color="auto" w:sz="4" w:space="0"/>
                  </w:tcBorders>
                  <w:noWrap w:val="0"/>
                  <w:vAlign w:val="center"/>
                </w:tcPr>
                <w:p w14:paraId="54EBB4ED">
                  <w:pPr>
                    <w:pStyle w:val="41"/>
                    <w:spacing w:line="340" w:lineRule="exact"/>
                    <w:rPr>
                      <w:rFonts w:hint="default" w:ascii="Times New Roman" w:hAnsi="Times New Roman" w:eastAsia="宋体" w:cs="Times New Roman"/>
                      <w:snapToGrid w:val="0"/>
                      <w:color w:val="auto"/>
                      <w:kern w:val="18"/>
                      <w:sz w:val="21"/>
                      <w:szCs w:val="21"/>
                    </w:rPr>
                  </w:pPr>
                </w:p>
              </w:tc>
            </w:tr>
            <w:tr w14:paraId="587693E3">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14:paraId="307A3049">
                  <w:pPr>
                    <w:pStyle w:val="41"/>
                    <w:spacing w:line="340" w:lineRule="exact"/>
                    <w:rPr>
                      <w:rFonts w:hint="default" w:ascii="Times New Roman" w:hAnsi="Times New Roman" w:eastAsia="宋体" w:cs="Times New Roman"/>
                      <w:snapToGrid w:val="0"/>
                      <w:color w:val="auto"/>
                      <w:kern w:val="18"/>
                      <w:sz w:val="21"/>
                      <w:szCs w:val="21"/>
                    </w:rPr>
                  </w:pPr>
                </w:p>
              </w:tc>
              <w:tc>
                <w:tcPr>
                  <w:tcW w:w="837" w:type="pct"/>
                  <w:noWrap w:val="0"/>
                  <w:vAlign w:val="center"/>
                </w:tcPr>
                <w:p w14:paraId="1CBEE4EF">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振动棒</w:t>
                  </w:r>
                </w:p>
              </w:tc>
              <w:tc>
                <w:tcPr>
                  <w:tcW w:w="1212" w:type="pct"/>
                  <w:noWrap w:val="0"/>
                  <w:vAlign w:val="center"/>
                </w:tcPr>
                <w:p w14:paraId="1526AD9F">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w:t>
                  </w:r>
                </w:p>
              </w:tc>
              <w:tc>
                <w:tcPr>
                  <w:tcW w:w="929" w:type="pct"/>
                  <w:tcBorders>
                    <w:right w:val="single" w:color="auto" w:sz="4" w:space="0"/>
                  </w:tcBorders>
                  <w:noWrap w:val="0"/>
                  <w:vAlign w:val="center"/>
                </w:tcPr>
                <w:p w14:paraId="0802F686">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78</w:t>
                  </w:r>
                </w:p>
              </w:tc>
              <w:tc>
                <w:tcPr>
                  <w:tcW w:w="1066" w:type="pct"/>
                  <w:vMerge w:val="continue"/>
                  <w:tcBorders>
                    <w:left w:val="single" w:color="auto" w:sz="4" w:space="0"/>
                  </w:tcBorders>
                  <w:noWrap w:val="0"/>
                  <w:vAlign w:val="center"/>
                </w:tcPr>
                <w:p w14:paraId="600BCD2F">
                  <w:pPr>
                    <w:pStyle w:val="41"/>
                    <w:spacing w:line="340" w:lineRule="exact"/>
                    <w:rPr>
                      <w:rFonts w:hint="default" w:ascii="Times New Roman" w:hAnsi="Times New Roman" w:eastAsia="宋体" w:cs="Times New Roman"/>
                      <w:snapToGrid w:val="0"/>
                      <w:color w:val="auto"/>
                      <w:kern w:val="18"/>
                      <w:sz w:val="21"/>
                      <w:szCs w:val="21"/>
                    </w:rPr>
                  </w:pPr>
                </w:p>
              </w:tc>
            </w:tr>
            <w:tr w14:paraId="56937E79">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restart"/>
                  <w:noWrap w:val="0"/>
                  <w:vAlign w:val="center"/>
                </w:tcPr>
                <w:p w14:paraId="002411FE">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装修阶段</w:t>
                  </w:r>
                </w:p>
              </w:tc>
              <w:tc>
                <w:tcPr>
                  <w:tcW w:w="837" w:type="pct"/>
                  <w:noWrap w:val="0"/>
                  <w:vAlign w:val="center"/>
                </w:tcPr>
                <w:p w14:paraId="79D5F145">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拉直切断机</w:t>
                  </w:r>
                </w:p>
              </w:tc>
              <w:tc>
                <w:tcPr>
                  <w:tcW w:w="1212" w:type="pct"/>
                  <w:noWrap w:val="0"/>
                  <w:vAlign w:val="center"/>
                </w:tcPr>
                <w:p w14:paraId="27ED7255">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w:t>
                  </w:r>
                </w:p>
              </w:tc>
              <w:tc>
                <w:tcPr>
                  <w:tcW w:w="929" w:type="pct"/>
                  <w:tcBorders>
                    <w:right w:val="single" w:color="auto" w:sz="4" w:space="0"/>
                  </w:tcBorders>
                  <w:noWrap w:val="0"/>
                  <w:vAlign w:val="center"/>
                </w:tcPr>
                <w:p w14:paraId="6DCE9E03">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78</w:t>
                  </w:r>
                </w:p>
              </w:tc>
              <w:tc>
                <w:tcPr>
                  <w:tcW w:w="1066" w:type="pct"/>
                  <w:vMerge w:val="restart"/>
                  <w:tcBorders>
                    <w:left w:val="single" w:color="auto" w:sz="4" w:space="0"/>
                  </w:tcBorders>
                  <w:noWrap w:val="0"/>
                  <w:vAlign w:val="center"/>
                </w:tcPr>
                <w:p w14:paraId="0A0609CE">
                  <w:pPr>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color w:val="auto"/>
                      <w:sz w:val="21"/>
                      <w:szCs w:val="21"/>
                    </w:rPr>
                    <w:t>82.8</w:t>
                  </w:r>
                </w:p>
              </w:tc>
            </w:tr>
            <w:tr w14:paraId="0C230EA2">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30" w:type="dxa"/>
                  <w:bottom w:w="0" w:type="dxa"/>
                  <w:right w:w="30" w:type="dxa"/>
                </w:tblCellMar>
              </w:tblPrEx>
              <w:trPr>
                <w:cantSplit/>
                <w:trHeight w:val="397" w:hRule="atLeast"/>
                <w:jc w:val="center"/>
              </w:trPr>
              <w:tc>
                <w:tcPr>
                  <w:tcW w:w="953" w:type="pct"/>
                  <w:vMerge w:val="continue"/>
                  <w:noWrap w:val="0"/>
                  <w:vAlign w:val="center"/>
                </w:tcPr>
                <w:p w14:paraId="60131200">
                  <w:pPr>
                    <w:adjustRightInd w:val="0"/>
                    <w:snapToGrid w:val="0"/>
                    <w:spacing w:line="340" w:lineRule="exact"/>
                    <w:jc w:val="center"/>
                    <w:rPr>
                      <w:rFonts w:hint="default" w:ascii="Times New Roman" w:hAnsi="Times New Roman" w:eastAsia="宋体" w:cs="Times New Roman"/>
                      <w:color w:val="auto"/>
                      <w:sz w:val="21"/>
                      <w:szCs w:val="21"/>
                    </w:rPr>
                  </w:pPr>
                </w:p>
              </w:tc>
              <w:tc>
                <w:tcPr>
                  <w:tcW w:w="837" w:type="pct"/>
                  <w:noWrap w:val="0"/>
                  <w:vAlign w:val="center"/>
                </w:tcPr>
                <w:p w14:paraId="4D978BF4">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冲击钻</w:t>
                  </w:r>
                </w:p>
              </w:tc>
              <w:tc>
                <w:tcPr>
                  <w:tcW w:w="1212" w:type="pct"/>
                  <w:noWrap w:val="0"/>
                  <w:vAlign w:val="center"/>
                </w:tcPr>
                <w:p w14:paraId="7B014B5B">
                  <w:pPr>
                    <w:pStyle w:val="41"/>
                    <w:spacing w:line="340" w:lineRule="exact"/>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w:t>
                  </w:r>
                </w:p>
              </w:tc>
              <w:tc>
                <w:tcPr>
                  <w:tcW w:w="929" w:type="pct"/>
                  <w:tcBorders>
                    <w:right w:val="single" w:color="auto" w:sz="4" w:space="0"/>
                  </w:tcBorders>
                  <w:noWrap w:val="0"/>
                  <w:vAlign w:val="center"/>
                </w:tcPr>
                <w:p w14:paraId="08D49F1A">
                  <w:pPr>
                    <w:pStyle w:val="41"/>
                    <w:spacing w:line="3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w:t>
                  </w:r>
                </w:p>
              </w:tc>
              <w:tc>
                <w:tcPr>
                  <w:tcW w:w="1066" w:type="pct"/>
                  <w:vMerge w:val="continue"/>
                  <w:tcBorders>
                    <w:left w:val="single" w:color="auto" w:sz="4" w:space="0"/>
                  </w:tcBorders>
                  <w:noWrap w:val="0"/>
                  <w:vAlign w:val="center"/>
                </w:tcPr>
                <w:p w14:paraId="1548822C">
                  <w:pPr>
                    <w:pStyle w:val="41"/>
                    <w:spacing w:line="340" w:lineRule="exact"/>
                    <w:rPr>
                      <w:rFonts w:hint="default" w:ascii="Times New Roman" w:hAnsi="Times New Roman" w:eastAsia="宋体" w:cs="Times New Roman"/>
                      <w:color w:val="auto"/>
                      <w:sz w:val="21"/>
                      <w:szCs w:val="21"/>
                    </w:rPr>
                  </w:pPr>
                </w:p>
              </w:tc>
            </w:tr>
          </w:tbl>
          <w:p w14:paraId="7FC6C18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snapToGrid w:val="0"/>
                <w:color w:val="auto"/>
                <w:kern w:val="18"/>
                <w:sz w:val="24"/>
                <w:szCs w:val="24"/>
              </w:rPr>
            </w:pPr>
            <w:r>
              <w:rPr>
                <w:rFonts w:hint="default" w:ascii="Times New Roman" w:hAnsi="Times New Roman" w:eastAsia="宋体" w:cs="Times New Roman"/>
                <w:color w:val="auto"/>
                <w:sz w:val="24"/>
                <w:szCs w:val="24"/>
              </w:rPr>
              <w:t>在没有消声和屏障等衰减条件下，传播不同距离处，各种施工机械噪声值几何衰减情况见表</w:t>
            </w:r>
            <w:r>
              <w:rPr>
                <w:rFonts w:hint="eastAsia" w:ascii="Times New Roman" w:hAnsi="Times New Roman" w:eastAsia="宋体" w:cs="Times New Roman"/>
                <w:color w:val="auto"/>
                <w:sz w:val="24"/>
                <w:szCs w:val="24"/>
                <w:lang w:val="en-US" w:eastAsia="zh-CN"/>
              </w:rPr>
              <w:t>4.1-2</w:t>
            </w:r>
            <w:r>
              <w:rPr>
                <w:rFonts w:hint="default" w:ascii="Times New Roman" w:hAnsi="Times New Roman" w:eastAsia="宋体" w:cs="Times New Roman"/>
                <w:color w:val="auto"/>
                <w:sz w:val="24"/>
                <w:szCs w:val="24"/>
              </w:rPr>
              <w:t>。</w:t>
            </w:r>
          </w:p>
          <w:p w14:paraId="3D266371">
            <w:pPr>
              <w:spacing w:before="120" w:beforeLines="50"/>
              <w:jc w:val="center"/>
              <w:rPr>
                <w:rFonts w:hint="default" w:ascii="Times New Roman" w:hAnsi="Times New Roman" w:eastAsia="宋体" w:cs="Times New Roman"/>
                <w:snapToGrid w:val="0"/>
                <w:color w:val="auto"/>
                <w:kern w:val="18"/>
                <w:sz w:val="24"/>
                <w:szCs w:val="24"/>
              </w:rPr>
            </w:pPr>
            <w:r>
              <w:rPr>
                <w:rFonts w:hint="default" w:ascii="Times New Roman" w:hAnsi="Times New Roman" w:eastAsia="宋体" w:cs="Times New Roman"/>
                <w:b/>
                <w:bCs/>
                <w:snapToGrid w:val="0"/>
                <w:color w:val="auto"/>
                <w:kern w:val="18"/>
                <w:sz w:val="24"/>
                <w:szCs w:val="24"/>
              </w:rPr>
              <w:t>表</w:t>
            </w:r>
            <w:r>
              <w:rPr>
                <w:rFonts w:hint="eastAsia" w:ascii="Times New Roman" w:hAnsi="Times New Roman" w:eastAsia="宋体" w:cs="Times New Roman"/>
                <w:b/>
                <w:bCs/>
                <w:snapToGrid w:val="0"/>
                <w:color w:val="auto"/>
                <w:kern w:val="18"/>
                <w:sz w:val="24"/>
                <w:szCs w:val="24"/>
                <w:lang w:val="en-US" w:eastAsia="zh-CN"/>
              </w:rPr>
              <w:t>4.1-2</w:t>
            </w:r>
            <w:r>
              <w:rPr>
                <w:rFonts w:hint="default" w:ascii="Times New Roman" w:hAnsi="Times New Roman" w:eastAsia="宋体" w:cs="Times New Roman"/>
                <w:b/>
                <w:bCs/>
                <w:snapToGrid w:val="0"/>
                <w:color w:val="auto"/>
                <w:kern w:val="18"/>
                <w:sz w:val="24"/>
                <w:szCs w:val="24"/>
              </w:rPr>
              <w:t xml:space="preserve">  各施工阶段主要施工机械噪声几何衰减值情况表</w:t>
            </w:r>
          </w:p>
          <w:tbl>
            <w:tblPr>
              <w:tblStyle w:val="20"/>
              <w:tblW w:w="4999" w:type="pct"/>
              <w:jc w:val="center"/>
              <w:tblLayout w:type="autofit"/>
              <w:tblCellMar>
                <w:top w:w="0" w:type="dxa"/>
                <w:left w:w="30" w:type="dxa"/>
                <w:bottom w:w="0" w:type="dxa"/>
                <w:right w:w="30" w:type="dxa"/>
              </w:tblCellMar>
            </w:tblPr>
            <w:tblGrid>
              <w:gridCol w:w="901"/>
              <w:gridCol w:w="902"/>
              <w:gridCol w:w="470"/>
              <w:gridCol w:w="470"/>
              <w:gridCol w:w="473"/>
              <w:gridCol w:w="470"/>
              <w:gridCol w:w="470"/>
              <w:gridCol w:w="473"/>
              <w:gridCol w:w="521"/>
              <w:gridCol w:w="581"/>
              <w:gridCol w:w="550"/>
              <w:gridCol w:w="550"/>
              <w:gridCol w:w="550"/>
              <w:gridCol w:w="550"/>
            </w:tblGrid>
            <w:tr w14:paraId="76864D72">
              <w:tblPrEx>
                <w:tblCellMar>
                  <w:top w:w="0" w:type="dxa"/>
                  <w:left w:w="30" w:type="dxa"/>
                  <w:bottom w:w="0" w:type="dxa"/>
                  <w:right w:w="30" w:type="dxa"/>
                </w:tblCellMar>
              </w:tblPrEx>
              <w:trPr>
                <w:cantSplit/>
                <w:trHeight w:val="397" w:hRule="atLeast"/>
                <w:jc w:val="center"/>
              </w:trPr>
              <w:tc>
                <w:tcPr>
                  <w:tcW w:w="581" w:type="pct"/>
                  <w:vMerge w:val="restart"/>
                  <w:tcBorders>
                    <w:top w:val="single" w:color="auto" w:sz="12" w:space="0"/>
                    <w:right w:val="single" w:color="000000" w:sz="2" w:space="0"/>
                  </w:tcBorders>
                  <w:noWrap w:val="0"/>
                  <w:vAlign w:val="center"/>
                </w:tcPr>
                <w:p w14:paraId="0BAA5AA4">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施工阶段</w:t>
                  </w:r>
                </w:p>
              </w:tc>
              <w:tc>
                <w:tcPr>
                  <w:tcW w:w="581" w:type="pct"/>
                  <w:vMerge w:val="restart"/>
                  <w:tcBorders>
                    <w:top w:val="single" w:color="auto" w:sz="12" w:space="0"/>
                    <w:left w:val="single" w:color="000000" w:sz="2" w:space="0"/>
                    <w:right w:val="single" w:color="000000" w:sz="2" w:space="0"/>
                  </w:tcBorders>
                  <w:noWrap w:val="0"/>
                  <w:vAlign w:val="center"/>
                </w:tcPr>
                <w:p w14:paraId="78C10203">
                  <w:pPr>
                    <w:autoSpaceDE w:val="0"/>
                    <w:autoSpaceDN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综合</w:t>
                  </w:r>
                  <w:r>
                    <w:rPr>
                      <w:rFonts w:hint="default" w:ascii="Times New Roman" w:hAnsi="Times New Roman" w:eastAsia="宋体" w:cs="Times New Roman"/>
                      <w:b/>
                      <w:bCs/>
                      <w:color w:val="auto"/>
                      <w:sz w:val="21"/>
                      <w:szCs w:val="21"/>
                    </w:rPr>
                    <w:t>声级</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dB</w:t>
                  </w:r>
                  <w:r>
                    <w:rPr>
                      <w:rFonts w:hint="default" w:ascii="Times New Roman" w:hAnsi="Times New Roman" w:eastAsia="宋体" w:cs="Times New Roman"/>
                      <w:b/>
                      <w:bCs/>
                      <w:color w:val="auto"/>
                      <w:sz w:val="21"/>
                      <w:szCs w:val="21"/>
                      <w:lang w:val="en-US" w:eastAsia="zh-CN"/>
                    </w:rPr>
                    <w:t>(A))</w:t>
                  </w:r>
                </w:p>
              </w:tc>
              <w:tc>
                <w:tcPr>
                  <w:tcW w:w="3837" w:type="pct"/>
                  <w:gridSpan w:val="12"/>
                  <w:tcBorders>
                    <w:top w:val="single" w:color="auto" w:sz="12" w:space="0"/>
                    <w:left w:val="single" w:color="000000" w:sz="2" w:space="0"/>
                    <w:bottom w:val="single" w:color="000000" w:sz="2" w:space="0"/>
                  </w:tcBorders>
                  <w:noWrap w:val="0"/>
                  <w:vAlign w:val="center"/>
                </w:tcPr>
                <w:p w14:paraId="4E38C958">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不同距离噪声值(dB(A))</w:t>
                  </w:r>
                </w:p>
              </w:tc>
            </w:tr>
            <w:tr w14:paraId="0981D816">
              <w:tblPrEx>
                <w:tblCellMar>
                  <w:top w:w="0" w:type="dxa"/>
                  <w:left w:w="30" w:type="dxa"/>
                  <w:bottom w:w="0" w:type="dxa"/>
                  <w:right w:w="30" w:type="dxa"/>
                </w:tblCellMar>
              </w:tblPrEx>
              <w:trPr>
                <w:cantSplit/>
                <w:trHeight w:val="397" w:hRule="atLeast"/>
                <w:jc w:val="center"/>
              </w:trPr>
              <w:tc>
                <w:tcPr>
                  <w:tcW w:w="581" w:type="pct"/>
                  <w:vMerge w:val="continue"/>
                  <w:tcBorders>
                    <w:bottom w:val="single" w:color="auto" w:sz="4" w:space="0"/>
                    <w:right w:val="single" w:color="000000" w:sz="2" w:space="0"/>
                  </w:tcBorders>
                  <w:noWrap w:val="0"/>
                  <w:vAlign w:val="center"/>
                </w:tcPr>
                <w:p w14:paraId="2D0B854A">
                  <w:pPr>
                    <w:autoSpaceDE w:val="0"/>
                    <w:autoSpaceDN w:val="0"/>
                    <w:jc w:val="center"/>
                    <w:rPr>
                      <w:rFonts w:hint="default" w:ascii="Times New Roman" w:hAnsi="Times New Roman" w:eastAsia="宋体" w:cs="Times New Roman"/>
                      <w:b/>
                      <w:bCs/>
                      <w:color w:val="auto"/>
                      <w:sz w:val="21"/>
                      <w:szCs w:val="21"/>
                    </w:rPr>
                  </w:pPr>
                </w:p>
              </w:tc>
              <w:tc>
                <w:tcPr>
                  <w:tcW w:w="581" w:type="pct"/>
                  <w:vMerge w:val="continue"/>
                  <w:tcBorders>
                    <w:left w:val="single" w:color="000000" w:sz="2" w:space="0"/>
                    <w:bottom w:val="single" w:color="000000" w:sz="2" w:space="0"/>
                    <w:right w:val="single" w:color="000000" w:sz="2" w:space="0"/>
                  </w:tcBorders>
                  <w:noWrap w:val="0"/>
                  <w:vAlign w:val="center"/>
                </w:tcPr>
                <w:p w14:paraId="49DE3206">
                  <w:pPr>
                    <w:autoSpaceDE w:val="0"/>
                    <w:autoSpaceDN w:val="0"/>
                    <w:jc w:val="center"/>
                    <w:rPr>
                      <w:rFonts w:hint="default" w:ascii="Times New Roman" w:hAnsi="Times New Roman" w:eastAsia="宋体" w:cs="Times New Roman"/>
                      <w:b/>
                      <w:bCs/>
                      <w:color w:val="auto"/>
                      <w:sz w:val="21"/>
                      <w:szCs w:val="21"/>
                    </w:rPr>
                  </w:pP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79A82D7C">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10m</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1C4B9EB5">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15m</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47EBE7E8">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20m</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4EFC3F49">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30m</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76949CF8">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45m</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7B8322FE">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60m</w:t>
                  </w:r>
                </w:p>
              </w:tc>
              <w:tc>
                <w:tcPr>
                  <w:tcW w:w="341" w:type="pct"/>
                  <w:tcBorders>
                    <w:top w:val="single" w:color="000000" w:sz="2" w:space="0"/>
                    <w:left w:val="single" w:color="000000" w:sz="2" w:space="0"/>
                    <w:bottom w:val="single" w:color="000000" w:sz="2" w:space="0"/>
                    <w:right w:val="single" w:color="000000" w:sz="2" w:space="0"/>
                  </w:tcBorders>
                  <w:noWrap w:val="0"/>
                  <w:vAlign w:val="center"/>
                </w:tcPr>
                <w:p w14:paraId="094C5807">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70m</w:t>
                  </w:r>
                </w:p>
              </w:tc>
              <w:tc>
                <w:tcPr>
                  <w:tcW w:w="379" w:type="pct"/>
                  <w:tcBorders>
                    <w:top w:val="single" w:color="000000" w:sz="2" w:space="0"/>
                    <w:left w:val="single" w:color="000000" w:sz="2" w:space="0"/>
                    <w:bottom w:val="single" w:color="000000" w:sz="2" w:space="0"/>
                    <w:right w:val="single" w:color="000000" w:sz="2" w:space="0"/>
                  </w:tcBorders>
                  <w:noWrap w:val="0"/>
                  <w:vAlign w:val="center"/>
                </w:tcPr>
                <w:p w14:paraId="5182FE5E">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100m</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27C5DD57">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150m</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20DB8CE9">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170m</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0D150A95">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180m</w:t>
                  </w:r>
                </w:p>
              </w:tc>
              <w:tc>
                <w:tcPr>
                  <w:tcW w:w="323" w:type="pct"/>
                  <w:tcBorders>
                    <w:top w:val="single" w:color="000000" w:sz="2" w:space="0"/>
                    <w:left w:val="single" w:color="000000" w:sz="2" w:space="0"/>
                    <w:bottom w:val="single" w:color="000000" w:sz="2" w:space="0"/>
                  </w:tcBorders>
                  <w:noWrap w:val="0"/>
                  <w:vAlign w:val="center"/>
                </w:tcPr>
                <w:p w14:paraId="36C3D27A">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200m</w:t>
                  </w:r>
                </w:p>
              </w:tc>
            </w:tr>
            <w:tr w14:paraId="7CAC4267">
              <w:tblPrEx>
                <w:tblCellMar>
                  <w:top w:w="0" w:type="dxa"/>
                  <w:left w:w="30" w:type="dxa"/>
                  <w:bottom w:w="0" w:type="dxa"/>
                  <w:right w:w="30" w:type="dxa"/>
                </w:tblCellMar>
              </w:tblPrEx>
              <w:trPr>
                <w:cantSplit/>
                <w:trHeight w:val="397" w:hRule="atLeast"/>
                <w:jc w:val="center"/>
              </w:trPr>
              <w:tc>
                <w:tcPr>
                  <w:tcW w:w="581" w:type="pct"/>
                  <w:tcBorders>
                    <w:top w:val="single" w:color="auto" w:sz="4" w:space="0"/>
                    <w:bottom w:val="single" w:color="auto" w:sz="4" w:space="0"/>
                    <w:right w:val="single" w:color="000000" w:sz="2" w:space="0"/>
                  </w:tcBorders>
                  <w:noWrap w:val="0"/>
                  <w:vAlign w:val="center"/>
                </w:tcPr>
                <w:p w14:paraId="50FF83B5">
                  <w:pPr>
                    <w:autoSpaceDE w:val="0"/>
                    <w:autoSpaceDN w:val="0"/>
                    <w:jc w:val="center"/>
                    <w:rPr>
                      <w:rFonts w:hint="default" w:ascii="Times New Roman" w:hAnsi="Times New Roman" w:eastAsia="宋体" w:cs="Times New Roman"/>
                      <w:color w:val="auto"/>
                      <w:sz w:val="21"/>
                      <w:szCs w:val="21"/>
                    </w:rPr>
                  </w:pPr>
                  <w:bookmarkStart w:id="32" w:name="_Hlk252220818"/>
                  <w:r>
                    <w:rPr>
                      <w:rFonts w:hint="default" w:ascii="Times New Roman" w:hAnsi="Times New Roman" w:eastAsia="宋体" w:cs="Times New Roman"/>
                      <w:bCs/>
                      <w:color w:val="auto"/>
                      <w:sz w:val="21"/>
                      <w:szCs w:val="21"/>
                    </w:rPr>
                    <w:t>土石方</w:t>
                  </w:r>
                </w:p>
              </w:tc>
              <w:tc>
                <w:tcPr>
                  <w:tcW w:w="581" w:type="pct"/>
                  <w:tcBorders>
                    <w:top w:val="single" w:color="000000" w:sz="2" w:space="0"/>
                    <w:left w:val="single" w:color="000000" w:sz="2" w:space="0"/>
                    <w:bottom w:val="single" w:color="000000" w:sz="2" w:space="0"/>
                    <w:right w:val="single" w:color="000000" w:sz="2" w:space="0"/>
                  </w:tcBorders>
                  <w:noWrap w:val="0"/>
                  <w:vAlign w:val="center"/>
                </w:tcPr>
                <w:p w14:paraId="6B801DDC">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93.2</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41BDDF88">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73.2</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00E3B79B">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69.7</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17B09368">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67.1</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7A1333CF">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63.7</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59EB5021">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60.1</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5644A0BA">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57.6</w:t>
                  </w:r>
                </w:p>
              </w:tc>
              <w:tc>
                <w:tcPr>
                  <w:tcW w:w="341" w:type="pct"/>
                  <w:tcBorders>
                    <w:top w:val="single" w:color="000000" w:sz="2" w:space="0"/>
                    <w:left w:val="single" w:color="000000" w:sz="2" w:space="0"/>
                    <w:bottom w:val="single" w:color="000000" w:sz="2" w:space="0"/>
                    <w:right w:val="single" w:color="000000" w:sz="2" w:space="0"/>
                  </w:tcBorders>
                  <w:noWrap w:val="0"/>
                  <w:vAlign w:val="center"/>
                </w:tcPr>
                <w:p w14:paraId="30597AB2">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56.3</w:t>
                  </w:r>
                </w:p>
              </w:tc>
              <w:tc>
                <w:tcPr>
                  <w:tcW w:w="379" w:type="pct"/>
                  <w:tcBorders>
                    <w:top w:val="single" w:color="000000" w:sz="2" w:space="0"/>
                    <w:left w:val="single" w:color="000000" w:sz="2" w:space="0"/>
                    <w:bottom w:val="single" w:color="000000" w:sz="2" w:space="0"/>
                    <w:right w:val="single" w:color="000000" w:sz="2" w:space="0"/>
                  </w:tcBorders>
                  <w:noWrap w:val="0"/>
                  <w:vAlign w:val="center"/>
                </w:tcPr>
                <w:p w14:paraId="2D39D2A5">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53.2</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5F3F1340">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49.7</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188DC293">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48.6</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28E94DC6">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48.1</w:t>
                  </w:r>
                </w:p>
              </w:tc>
              <w:tc>
                <w:tcPr>
                  <w:tcW w:w="323" w:type="pct"/>
                  <w:tcBorders>
                    <w:top w:val="single" w:color="000000" w:sz="2" w:space="0"/>
                    <w:left w:val="single" w:color="000000" w:sz="2" w:space="0"/>
                    <w:bottom w:val="single" w:color="000000" w:sz="2" w:space="0"/>
                  </w:tcBorders>
                  <w:noWrap w:val="0"/>
                  <w:vAlign w:val="center"/>
                </w:tcPr>
                <w:p w14:paraId="0E9E995D">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47.2</w:t>
                  </w:r>
                </w:p>
              </w:tc>
            </w:tr>
            <w:bookmarkEnd w:id="32"/>
            <w:tr w14:paraId="7FD94C91">
              <w:tblPrEx>
                <w:tblCellMar>
                  <w:top w:w="0" w:type="dxa"/>
                  <w:left w:w="30" w:type="dxa"/>
                  <w:bottom w:w="0" w:type="dxa"/>
                  <w:right w:w="30" w:type="dxa"/>
                </w:tblCellMar>
              </w:tblPrEx>
              <w:trPr>
                <w:cantSplit/>
                <w:trHeight w:val="397" w:hRule="atLeast"/>
                <w:jc w:val="center"/>
              </w:trPr>
              <w:tc>
                <w:tcPr>
                  <w:tcW w:w="581" w:type="pct"/>
                  <w:tcBorders>
                    <w:top w:val="single" w:color="auto" w:sz="4" w:space="0"/>
                    <w:bottom w:val="single" w:color="auto" w:sz="4" w:space="0"/>
                    <w:right w:val="single" w:color="000000" w:sz="2" w:space="0"/>
                  </w:tcBorders>
                  <w:noWrap w:val="0"/>
                  <w:vAlign w:val="center"/>
                </w:tcPr>
                <w:p w14:paraId="696EF027">
                  <w:pPr>
                    <w:autoSpaceDE w:val="0"/>
                    <w:autoSpaceDN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打桩</w:t>
                  </w:r>
                </w:p>
              </w:tc>
              <w:tc>
                <w:tcPr>
                  <w:tcW w:w="581" w:type="pct"/>
                  <w:tcBorders>
                    <w:top w:val="single" w:color="000000" w:sz="2" w:space="0"/>
                    <w:left w:val="single" w:color="000000" w:sz="2" w:space="0"/>
                    <w:bottom w:val="single" w:color="000000" w:sz="2" w:space="0"/>
                    <w:right w:val="single" w:color="000000" w:sz="2" w:space="0"/>
                  </w:tcBorders>
                  <w:noWrap w:val="0"/>
                  <w:vAlign w:val="center"/>
                </w:tcPr>
                <w:p w14:paraId="17E5436B">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03389885">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43F6D4E0">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66.5</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7DE3FADD">
                  <w:pPr>
                    <w:adjustRightInd w:val="0"/>
                    <w:snapToGrid w:val="0"/>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64.0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0EF0BD68">
                  <w:pPr>
                    <w:adjustRightInd w:val="0"/>
                    <w:snapToGrid w:val="0"/>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60.0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348B23F1">
                  <w:pPr>
                    <w:adjustRightInd w:val="0"/>
                    <w:snapToGrid w:val="0"/>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58.0</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56A56503">
                  <w:pPr>
                    <w:adjustRightInd w:val="0"/>
                    <w:snapToGrid w:val="0"/>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56.0</w:t>
                  </w:r>
                </w:p>
              </w:tc>
              <w:tc>
                <w:tcPr>
                  <w:tcW w:w="341" w:type="pct"/>
                  <w:tcBorders>
                    <w:top w:val="single" w:color="000000" w:sz="2" w:space="0"/>
                    <w:left w:val="single" w:color="000000" w:sz="2" w:space="0"/>
                    <w:bottom w:val="single" w:color="000000" w:sz="2" w:space="0"/>
                    <w:right w:val="single" w:color="000000" w:sz="2" w:space="0"/>
                  </w:tcBorders>
                  <w:noWrap w:val="0"/>
                  <w:vAlign w:val="center"/>
                </w:tcPr>
                <w:p w14:paraId="4C6CD501">
                  <w:pPr>
                    <w:adjustRightInd w:val="0"/>
                    <w:snapToGrid w:val="0"/>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54.0</w:t>
                  </w:r>
                </w:p>
              </w:tc>
              <w:tc>
                <w:tcPr>
                  <w:tcW w:w="379" w:type="pct"/>
                  <w:tcBorders>
                    <w:top w:val="single" w:color="000000" w:sz="2" w:space="0"/>
                    <w:left w:val="single" w:color="000000" w:sz="2" w:space="0"/>
                    <w:bottom w:val="single" w:color="000000" w:sz="2" w:space="0"/>
                    <w:right w:val="single" w:color="000000" w:sz="2" w:space="0"/>
                  </w:tcBorders>
                  <w:noWrap w:val="0"/>
                  <w:vAlign w:val="center"/>
                </w:tcPr>
                <w:p w14:paraId="71B96580">
                  <w:pPr>
                    <w:adjustRightInd w:val="0"/>
                    <w:snapToGrid w:val="0"/>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562.0</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46F4C13D">
                  <w:pPr>
                    <w:adjustRightInd w:val="0"/>
                    <w:snapToGrid w:val="0"/>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50.0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04802F3B">
                  <w:pPr>
                    <w:adjustRightInd w:val="0"/>
                    <w:snapToGrid w:val="0"/>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48.0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478FE203">
                  <w:pPr>
                    <w:adjustRightInd w:val="0"/>
                    <w:snapToGrid w:val="0"/>
                    <w:spacing w:line="34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46.0</w:t>
                  </w:r>
                </w:p>
              </w:tc>
              <w:tc>
                <w:tcPr>
                  <w:tcW w:w="323" w:type="pct"/>
                  <w:tcBorders>
                    <w:top w:val="single" w:color="000000" w:sz="2" w:space="0"/>
                    <w:left w:val="single" w:color="000000" w:sz="2" w:space="0"/>
                    <w:bottom w:val="single" w:color="000000" w:sz="2" w:space="0"/>
                  </w:tcBorders>
                  <w:noWrap w:val="0"/>
                  <w:vAlign w:val="center"/>
                </w:tcPr>
                <w:p w14:paraId="1A5AD4E7">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44.0</w:t>
                  </w:r>
                </w:p>
              </w:tc>
            </w:tr>
            <w:tr w14:paraId="7E0A9D9B">
              <w:tblPrEx>
                <w:tblCellMar>
                  <w:top w:w="0" w:type="dxa"/>
                  <w:left w:w="30" w:type="dxa"/>
                  <w:bottom w:w="0" w:type="dxa"/>
                  <w:right w:w="30" w:type="dxa"/>
                </w:tblCellMar>
              </w:tblPrEx>
              <w:trPr>
                <w:cantSplit/>
                <w:trHeight w:val="397" w:hRule="atLeast"/>
                <w:jc w:val="center"/>
              </w:trPr>
              <w:tc>
                <w:tcPr>
                  <w:tcW w:w="581" w:type="pct"/>
                  <w:tcBorders>
                    <w:top w:val="single" w:color="auto" w:sz="4" w:space="0"/>
                    <w:bottom w:val="single" w:color="auto" w:sz="4" w:space="0"/>
                    <w:right w:val="single" w:color="000000" w:sz="2" w:space="0"/>
                  </w:tcBorders>
                  <w:noWrap w:val="0"/>
                  <w:vAlign w:val="center"/>
                </w:tcPr>
                <w:p w14:paraId="0154F4E3">
                  <w:pPr>
                    <w:autoSpaceDE w:val="0"/>
                    <w:autoSpaceDN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结构</w:t>
                  </w:r>
                </w:p>
              </w:tc>
              <w:tc>
                <w:tcPr>
                  <w:tcW w:w="581" w:type="pct"/>
                  <w:tcBorders>
                    <w:top w:val="single" w:color="000000" w:sz="2" w:space="0"/>
                    <w:left w:val="single" w:color="000000" w:sz="2" w:space="0"/>
                    <w:bottom w:val="single" w:color="000000" w:sz="2" w:space="0"/>
                    <w:right w:val="single" w:color="000000" w:sz="2" w:space="0"/>
                  </w:tcBorders>
                  <w:noWrap w:val="0"/>
                  <w:vAlign w:val="center"/>
                </w:tcPr>
                <w:p w14:paraId="593A50E9">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83.5</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5F190B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63.5</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4AE60F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5D4E3D2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57.5</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3BD7E2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7FDA1D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50.4</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0AA2EB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47.9</w:t>
                  </w:r>
                </w:p>
              </w:tc>
              <w:tc>
                <w:tcPr>
                  <w:tcW w:w="341" w:type="pct"/>
                  <w:tcBorders>
                    <w:top w:val="single" w:color="000000" w:sz="2" w:space="0"/>
                    <w:left w:val="single" w:color="000000" w:sz="2" w:space="0"/>
                    <w:bottom w:val="single" w:color="000000" w:sz="2" w:space="0"/>
                    <w:right w:val="single" w:color="000000" w:sz="2" w:space="0"/>
                  </w:tcBorders>
                  <w:noWrap w:val="0"/>
                  <w:vAlign w:val="center"/>
                </w:tcPr>
                <w:p w14:paraId="69322C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46.6</w:t>
                  </w:r>
                </w:p>
              </w:tc>
              <w:tc>
                <w:tcPr>
                  <w:tcW w:w="379" w:type="pct"/>
                  <w:tcBorders>
                    <w:top w:val="single" w:color="000000" w:sz="2" w:space="0"/>
                    <w:left w:val="single" w:color="000000" w:sz="2" w:space="0"/>
                    <w:bottom w:val="single" w:color="000000" w:sz="2" w:space="0"/>
                    <w:right w:val="single" w:color="000000" w:sz="2" w:space="0"/>
                  </w:tcBorders>
                  <w:noWrap w:val="0"/>
                  <w:vAlign w:val="center"/>
                </w:tcPr>
                <w:p w14:paraId="734F7C09">
                  <w:pPr>
                    <w:ind w:right="10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43.5</w:t>
                  </w:r>
                </w:p>
              </w:tc>
              <w:tc>
                <w:tcPr>
                  <w:tcW w:w="311" w:type="pct"/>
                  <w:tcBorders>
                    <w:top w:val="single" w:color="000000" w:sz="2" w:space="0"/>
                    <w:left w:val="single" w:color="000000" w:sz="2" w:space="0"/>
                    <w:bottom w:val="single" w:color="000000" w:sz="2" w:space="0"/>
                    <w:right w:val="single" w:color="000000" w:sz="2" w:space="0"/>
                  </w:tcBorders>
                  <w:noWrap w:val="0"/>
                  <w:vAlign w:val="center"/>
                </w:tcPr>
                <w:p w14:paraId="789B69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5D0D44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38.9</w:t>
                  </w:r>
                </w:p>
              </w:tc>
              <w:tc>
                <w:tcPr>
                  <w:tcW w:w="309" w:type="pct"/>
                  <w:tcBorders>
                    <w:top w:val="single" w:color="000000" w:sz="2" w:space="0"/>
                    <w:left w:val="single" w:color="000000" w:sz="2" w:space="0"/>
                    <w:bottom w:val="single" w:color="000000" w:sz="2" w:space="0"/>
                    <w:right w:val="single" w:color="000000" w:sz="2" w:space="0"/>
                  </w:tcBorders>
                  <w:noWrap w:val="0"/>
                  <w:vAlign w:val="center"/>
                </w:tcPr>
                <w:p w14:paraId="1E6F63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38.4</w:t>
                  </w:r>
                </w:p>
              </w:tc>
              <w:tc>
                <w:tcPr>
                  <w:tcW w:w="323" w:type="pct"/>
                  <w:tcBorders>
                    <w:top w:val="single" w:color="000000" w:sz="2" w:space="0"/>
                    <w:left w:val="single" w:color="000000" w:sz="2" w:space="0"/>
                    <w:bottom w:val="single" w:color="000000" w:sz="2" w:space="0"/>
                  </w:tcBorders>
                  <w:noWrap w:val="0"/>
                  <w:vAlign w:val="center"/>
                </w:tcPr>
                <w:p w14:paraId="5B7C47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37.5</w:t>
                  </w:r>
                </w:p>
              </w:tc>
            </w:tr>
            <w:tr w14:paraId="729755F3">
              <w:tblPrEx>
                <w:tblCellMar>
                  <w:top w:w="0" w:type="dxa"/>
                  <w:left w:w="30" w:type="dxa"/>
                  <w:bottom w:w="0" w:type="dxa"/>
                  <w:right w:w="30" w:type="dxa"/>
                </w:tblCellMar>
              </w:tblPrEx>
              <w:trPr>
                <w:cantSplit/>
                <w:trHeight w:val="397" w:hRule="atLeast"/>
                <w:jc w:val="center"/>
              </w:trPr>
              <w:tc>
                <w:tcPr>
                  <w:tcW w:w="581" w:type="pct"/>
                  <w:tcBorders>
                    <w:top w:val="single" w:color="auto" w:sz="4" w:space="0"/>
                    <w:bottom w:val="single" w:color="auto" w:sz="12" w:space="0"/>
                    <w:right w:val="single" w:color="000000" w:sz="2" w:space="0"/>
                  </w:tcBorders>
                  <w:noWrap w:val="0"/>
                  <w:vAlign w:val="center"/>
                </w:tcPr>
                <w:p w14:paraId="2094EB7A">
                  <w:pPr>
                    <w:autoSpaceDE w:val="0"/>
                    <w:autoSpaceDN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装修</w:t>
                  </w:r>
                </w:p>
              </w:tc>
              <w:tc>
                <w:tcPr>
                  <w:tcW w:w="581" w:type="pct"/>
                  <w:tcBorders>
                    <w:top w:val="single" w:color="000000" w:sz="2" w:space="0"/>
                    <w:left w:val="single" w:color="000000" w:sz="2" w:space="0"/>
                    <w:bottom w:val="single" w:color="auto" w:sz="12" w:space="0"/>
                    <w:right w:val="single" w:color="000000" w:sz="2" w:space="0"/>
                  </w:tcBorders>
                  <w:noWrap w:val="0"/>
                  <w:vAlign w:val="center"/>
                </w:tcPr>
                <w:p w14:paraId="3D2EC755">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82.8</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14:paraId="281655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62.8</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14:paraId="55DDE9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59.3</w:t>
                  </w:r>
                </w:p>
              </w:tc>
              <w:tc>
                <w:tcPr>
                  <w:tcW w:w="311" w:type="pct"/>
                  <w:tcBorders>
                    <w:top w:val="single" w:color="000000" w:sz="2" w:space="0"/>
                    <w:left w:val="single" w:color="000000" w:sz="2" w:space="0"/>
                    <w:bottom w:val="single" w:color="auto" w:sz="12" w:space="0"/>
                    <w:right w:val="single" w:color="000000" w:sz="2" w:space="0"/>
                  </w:tcBorders>
                  <w:noWrap w:val="0"/>
                  <w:vAlign w:val="center"/>
                </w:tcPr>
                <w:p w14:paraId="47CC63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56.8</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14:paraId="184224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53.3</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14:paraId="7DE0AC0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49.7</w:t>
                  </w:r>
                </w:p>
              </w:tc>
              <w:tc>
                <w:tcPr>
                  <w:tcW w:w="311" w:type="pct"/>
                  <w:tcBorders>
                    <w:top w:val="single" w:color="000000" w:sz="2" w:space="0"/>
                    <w:left w:val="single" w:color="000000" w:sz="2" w:space="0"/>
                    <w:bottom w:val="single" w:color="auto" w:sz="12" w:space="0"/>
                    <w:right w:val="single" w:color="000000" w:sz="2" w:space="0"/>
                  </w:tcBorders>
                  <w:noWrap w:val="0"/>
                  <w:vAlign w:val="center"/>
                </w:tcPr>
                <w:p w14:paraId="4E7388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47.2</w:t>
                  </w:r>
                </w:p>
              </w:tc>
              <w:tc>
                <w:tcPr>
                  <w:tcW w:w="341" w:type="pct"/>
                  <w:tcBorders>
                    <w:top w:val="single" w:color="000000" w:sz="2" w:space="0"/>
                    <w:left w:val="single" w:color="000000" w:sz="2" w:space="0"/>
                    <w:bottom w:val="single" w:color="auto" w:sz="12" w:space="0"/>
                    <w:right w:val="single" w:color="000000" w:sz="2" w:space="0"/>
                  </w:tcBorders>
                  <w:noWrap w:val="0"/>
                  <w:vAlign w:val="center"/>
                </w:tcPr>
                <w:p w14:paraId="6263B3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45.9</w:t>
                  </w:r>
                </w:p>
              </w:tc>
              <w:tc>
                <w:tcPr>
                  <w:tcW w:w="379" w:type="pct"/>
                  <w:tcBorders>
                    <w:top w:val="single" w:color="000000" w:sz="2" w:space="0"/>
                    <w:left w:val="single" w:color="000000" w:sz="2" w:space="0"/>
                    <w:bottom w:val="single" w:color="auto" w:sz="12" w:space="0"/>
                    <w:right w:val="single" w:color="000000" w:sz="2" w:space="0"/>
                  </w:tcBorders>
                  <w:noWrap w:val="0"/>
                  <w:vAlign w:val="center"/>
                </w:tcPr>
                <w:p w14:paraId="54BA67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42.8</w:t>
                  </w:r>
                </w:p>
              </w:tc>
              <w:tc>
                <w:tcPr>
                  <w:tcW w:w="311" w:type="pct"/>
                  <w:tcBorders>
                    <w:top w:val="single" w:color="000000" w:sz="2" w:space="0"/>
                    <w:left w:val="single" w:color="000000" w:sz="2" w:space="0"/>
                    <w:bottom w:val="single" w:color="auto" w:sz="12" w:space="0"/>
                    <w:right w:val="single" w:color="000000" w:sz="2" w:space="0"/>
                  </w:tcBorders>
                  <w:noWrap w:val="0"/>
                  <w:vAlign w:val="center"/>
                </w:tcPr>
                <w:p w14:paraId="3F30A6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39.3</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14:paraId="24E830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38.2</w:t>
                  </w:r>
                </w:p>
              </w:tc>
              <w:tc>
                <w:tcPr>
                  <w:tcW w:w="309" w:type="pct"/>
                  <w:tcBorders>
                    <w:top w:val="single" w:color="000000" w:sz="2" w:space="0"/>
                    <w:left w:val="single" w:color="000000" w:sz="2" w:space="0"/>
                    <w:bottom w:val="single" w:color="auto" w:sz="12" w:space="0"/>
                    <w:right w:val="single" w:color="000000" w:sz="2" w:space="0"/>
                  </w:tcBorders>
                  <w:noWrap w:val="0"/>
                  <w:vAlign w:val="center"/>
                </w:tcPr>
                <w:p w14:paraId="5B2E03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37.7</w:t>
                  </w:r>
                </w:p>
              </w:tc>
              <w:tc>
                <w:tcPr>
                  <w:tcW w:w="323" w:type="pct"/>
                  <w:tcBorders>
                    <w:top w:val="single" w:color="000000" w:sz="2" w:space="0"/>
                    <w:left w:val="single" w:color="000000" w:sz="2" w:space="0"/>
                    <w:bottom w:val="single" w:color="auto" w:sz="12" w:space="0"/>
                  </w:tcBorders>
                  <w:noWrap w:val="0"/>
                  <w:vAlign w:val="center"/>
                </w:tcPr>
                <w:p w14:paraId="544A76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36.8</w:t>
                  </w:r>
                </w:p>
              </w:tc>
            </w:tr>
          </w:tbl>
          <w:p w14:paraId="1195A585">
            <w:pPr>
              <w:spacing w:before="120" w:beforeLines="50"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施工机械的噪声由于噪声级较高，在空旷地带传播距离很远，在不同施工阶段，施工场界昼间噪声会出现不同程度的超标情况。本项目施工期场界声环境</w:t>
            </w:r>
            <w:r>
              <w:rPr>
                <w:rFonts w:hint="eastAsia" w:ascii="Times New Roman" w:hAnsi="Times New Roman" w:eastAsia="宋体" w:cs="Times New Roman"/>
                <w:color w:val="auto"/>
                <w:sz w:val="24"/>
                <w:szCs w:val="24"/>
                <w:lang w:eastAsia="zh-CN"/>
              </w:rPr>
              <w:t>不可避免地受到</w:t>
            </w:r>
            <w:r>
              <w:rPr>
                <w:rFonts w:hint="default" w:ascii="Times New Roman" w:hAnsi="Times New Roman" w:eastAsia="宋体" w:cs="Times New Roman"/>
                <w:color w:val="auto"/>
                <w:sz w:val="24"/>
                <w:szCs w:val="24"/>
              </w:rPr>
              <w:t>施工噪声影响，昼间超标主要出现在土石方阶段，超标值为3.2dB(A)。除了土石方阶段和装修昼间噪声值超标外，其余各施工阶段的昼间噪声值均可达到《建筑施工场界环境噪声排放标准》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GB12523-2011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，即昼间≤70dB(A)。</w:t>
            </w:r>
          </w:p>
          <w:p w14:paraId="525216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为了减轻施工噪声对周围环境的影响，建议采取以下措施：</w:t>
            </w:r>
          </w:p>
          <w:p w14:paraId="4604CC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（1）噪声源控制</w:t>
            </w:r>
          </w:p>
          <w:p w14:paraId="305459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①施工单位必须选用符合国家有关标准的施工机具，尽可能引进低噪声设备。空压机等噪声值较高的施工机械尽量设置在室内或有屏蔽的范围作业。对流动性较大的空气压缩机和风机选用消声器等</w:t>
            </w:r>
            <w:r>
              <w:rPr>
                <w:rFonts w:hint="eastAsia" w:ascii="Times New Roman" w:hAnsi="Times New Roman" w:eastAsia="宋体"/>
                <w:color w:val="auto"/>
                <w:sz w:val="24"/>
                <w:szCs w:val="24"/>
                <w:lang w:eastAsia="zh-CN"/>
              </w:rPr>
              <w:t>；</w:t>
            </w:r>
          </w:p>
          <w:p w14:paraId="2A5A3A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②加强设备的维护和保养，保持机械润滑，降低运行噪声；</w:t>
            </w:r>
          </w:p>
          <w:p w14:paraId="37B38E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③振动较大的机械设备应使用减振机座降低噪声；</w:t>
            </w:r>
          </w:p>
          <w:p w14:paraId="33D1E2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④使用的车辆尽量选用低噪声车辆；</w:t>
            </w:r>
          </w:p>
          <w:p w14:paraId="031458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⑤加强道路的养护和车辆的维护保养，降低噪声源；</w:t>
            </w:r>
          </w:p>
          <w:p w14:paraId="0A8121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⑥</w:t>
            </w:r>
            <w:r>
              <w:rPr>
                <w:rFonts w:hint="eastAsia" w:ascii="Times New Roman" w:hAnsi="Times New Roman" w:eastAsia="宋体"/>
                <w:color w:val="auto"/>
                <w:sz w:val="24"/>
                <w:szCs w:val="24"/>
                <w:lang w:val="en-US" w:eastAsia="zh-CN"/>
              </w:rPr>
              <w:t>加强对运输车辆的管理，尽量压缩工区机动车辆数量和行车密度，控制车辆鸣笛，</w:t>
            </w:r>
            <w:r>
              <w:rPr>
                <w:rFonts w:hint="eastAsia" w:ascii="Times New Roman" w:hAnsi="Times New Roman" w:eastAsia="宋体"/>
                <w:color w:val="auto"/>
                <w:sz w:val="24"/>
                <w:szCs w:val="24"/>
              </w:rPr>
              <w:t>限制工区内车辆时速在20km以内，并禁止施工车辆大声鸣笛</w:t>
            </w:r>
            <w:r>
              <w:rPr>
                <w:rFonts w:hint="eastAsia" w:ascii="Times New Roman" w:hAnsi="Times New Roman" w:eastAsia="宋体"/>
                <w:color w:val="auto"/>
                <w:sz w:val="24"/>
                <w:szCs w:val="24"/>
                <w:lang w:eastAsia="zh-CN"/>
              </w:rPr>
              <w:t>；</w:t>
            </w:r>
          </w:p>
          <w:p w14:paraId="6F2A14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⑦提倡文明施工，对施工人员进行文明施工培训，人为的施工噪声应有降噪措施和管理制度，并进行严格控制；</w:t>
            </w:r>
          </w:p>
          <w:p w14:paraId="37B846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⑧选择先进施工工艺，项目施工应针对性地采取先进成熟、低噪声施工工艺，不采用《房屋建筑和市政基础设施工程危及生产安全施工工艺、设备和材料淘汰目录》中淘汰的施工工艺、设备、材料。</w:t>
            </w:r>
          </w:p>
          <w:p w14:paraId="197229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（2）传播途径控制</w:t>
            </w:r>
          </w:p>
          <w:p w14:paraId="7D1A40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①施工场地周边建立隔声屏障</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特别是近居民区的西、北侧</w:t>
            </w:r>
            <w:r>
              <w:rPr>
                <w:rFonts w:hint="eastAsia" w:ascii="Times New Roman" w:hAnsi="Times New Roman" w:eastAsia="宋体"/>
                <w:color w:val="auto"/>
                <w:sz w:val="24"/>
                <w:szCs w:val="24"/>
              </w:rPr>
              <w:t>；</w:t>
            </w:r>
          </w:p>
          <w:p w14:paraId="2211A9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②空压机等</w:t>
            </w:r>
            <w:r>
              <w:rPr>
                <w:rFonts w:hint="eastAsia" w:ascii="Times New Roman" w:hAnsi="Times New Roman" w:eastAsia="宋体"/>
                <w:color w:val="auto"/>
                <w:sz w:val="24"/>
                <w:szCs w:val="24"/>
                <w:lang w:eastAsia="zh-CN"/>
              </w:rPr>
              <w:t>设备</w:t>
            </w:r>
            <w:r>
              <w:rPr>
                <w:rFonts w:hint="eastAsia" w:ascii="Times New Roman" w:hAnsi="Times New Roman" w:eastAsia="宋体"/>
                <w:color w:val="auto"/>
                <w:sz w:val="24"/>
                <w:szCs w:val="24"/>
              </w:rPr>
              <w:t>尽可能用多孔性吸声材料建立隔声屏障、隔声罩和隔声间</w:t>
            </w:r>
            <w:r>
              <w:rPr>
                <w:rFonts w:hint="eastAsia" w:ascii="Times New Roman" w:hAnsi="Times New Roman" w:eastAsia="宋体"/>
                <w:color w:val="auto"/>
                <w:sz w:val="24"/>
                <w:szCs w:val="24"/>
                <w:lang w:eastAsia="zh-CN"/>
              </w:rPr>
              <w:t>；</w:t>
            </w:r>
          </w:p>
          <w:p w14:paraId="18B5A3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③高噪声环境的施工人员应佩戴防噪声耳塞、耳罩或防噪声头盔。</w:t>
            </w:r>
          </w:p>
          <w:p w14:paraId="2E18F6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（3）敏感点防护措施</w:t>
            </w:r>
          </w:p>
          <w:p w14:paraId="277465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hd w:val="clear" w:color="auto" w:fill="FFFFFF"/>
                <w:lang w:eastAsia="zh-CN"/>
              </w:rPr>
              <w:t>本项目周边</w:t>
            </w:r>
            <w:r>
              <w:rPr>
                <w:rFonts w:hint="eastAsia" w:ascii="Times New Roman" w:hAnsi="Times New Roman" w:eastAsia="宋体"/>
                <w:color w:val="auto"/>
                <w:sz w:val="24"/>
                <w:shd w:val="clear" w:color="auto" w:fill="FFFFFF"/>
                <w:lang w:val="en-US" w:eastAsia="zh-CN"/>
              </w:rPr>
              <w:t>受到施工噪声影响的</w:t>
            </w:r>
            <w:r>
              <w:rPr>
                <w:rFonts w:hint="eastAsia" w:ascii="Times New Roman" w:hAnsi="Times New Roman" w:eastAsia="宋体"/>
                <w:color w:val="auto"/>
                <w:sz w:val="24"/>
                <w:shd w:val="clear" w:color="auto" w:fill="FFFFFF"/>
                <w:lang w:eastAsia="zh-CN"/>
              </w:rPr>
              <w:t>敏感目标主要</w:t>
            </w:r>
            <w:r>
              <w:rPr>
                <w:rFonts w:hint="eastAsia" w:ascii="Times New Roman" w:hAnsi="Times New Roman" w:eastAsia="宋体"/>
                <w:color w:val="auto"/>
                <w:sz w:val="24"/>
                <w:shd w:val="clear" w:color="auto" w:fill="FFFFFF"/>
                <w:lang w:val="en-US" w:eastAsia="zh-CN"/>
              </w:rPr>
              <w:t>为西侧约20m、北侧约95m的山前村，项目应采取以下措施，减少对敏感点的施工噪声影响。</w:t>
            </w:r>
          </w:p>
          <w:p w14:paraId="3D752C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rPr>
              <w:t>①</w:t>
            </w:r>
            <w:r>
              <w:rPr>
                <w:rFonts w:hint="eastAsia" w:ascii="Times New Roman" w:hAnsi="Times New Roman" w:eastAsia="宋体"/>
                <w:color w:val="auto"/>
                <w:sz w:val="24"/>
                <w:szCs w:val="24"/>
                <w:lang w:val="en-US" w:eastAsia="zh-CN"/>
              </w:rPr>
              <w:t>合理安排施工时间：在噪声敏感建筑物集中区域内，‌禁止午间（‌12:00至14:00）‌和夜间（‌22:00至次日6:00）‌进行产生环境噪声的建筑施工作业。若不可避免施工时，需取得夜间连续施工作业证明，才可在夜间批准时间段内施工，应在施工现场显著位置公示或者以其他方式公告附近居民，并严格执行许可证明上相关的降噪措施；</w:t>
            </w:r>
          </w:p>
          <w:p w14:paraId="0A74DD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②采取在</w:t>
            </w:r>
            <w:r>
              <w:rPr>
                <w:rFonts w:hint="eastAsia" w:ascii="Times New Roman" w:hAnsi="Times New Roman" w:eastAsia="宋体"/>
                <w:color w:val="auto"/>
                <w:sz w:val="24"/>
                <w:szCs w:val="24"/>
                <w:lang w:val="en-US" w:eastAsia="zh-CN"/>
              </w:rPr>
              <w:t>西、北</w:t>
            </w:r>
            <w:r>
              <w:rPr>
                <w:rFonts w:hint="eastAsia" w:ascii="Times New Roman" w:hAnsi="Times New Roman" w:eastAsia="宋体"/>
                <w:color w:val="auto"/>
                <w:sz w:val="24"/>
                <w:szCs w:val="24"/>
                <w:lang w:eastAsia="zh-CN"/>
              </w:rPr>
              <w:t>侧施工厂界</w:t>
            </w:r>
            <w:r>
              <w:rPr>
                <w:rFonts w:hint="eastAsia" w:ascii="Times New Roman" w:hAnsi="Times New Roman" w:eastAsia="宋体"/>
                <w:color w:val="auto"/>
                <w:sz w:val="24"/>
                <w:szCs w:val="24"/>
              </w:rPr>
              <w:t>设置声屏障</w:t>
            </w:r>
            <w:r>
              <w:rPr>
                <w:rFonts w:hint="eastAsia" w:ascii="Times New Roman" w:hAnsi="Times New Roman" w:eastAsia="宋体"/>
                <w:color w:val="auto"/>
                <w:sz w:val="24"/>
                <w:szCs w:val="24"/>
                <w:lang w:eastAsia="zh-CN"/>
              </w:rPr>
              <w:t>，减少对敏感点</w:t>
            </w:r>
            <w:r>
              <w:rPr>
                <w:rFonts w:hint="eastAsia" w:ascii="Times New Roman" w:hAnsi="Times New Roman" w:eastAsia="宋体"/>
                <w:color w:val="auto"/>
                <w:sz w:val="24"/>
                <w:szCs w:val="24"/>
                <w:lang w:val="en-US" w:eastAsia="zh-CN"/>
              </w:rPr>
              <w:t>山前</w:t>
            </w:r>
            <w:r>
              <w:rPr>
                <w:rFonts w:hint="eastAsia" w:ascii="Times New Roman" w:hAnsi="Times New Roman" w:eastAsia="宋体"/>
                <w:color w:val="auto"/>
                <w:sz w:val="24"/>
                <w:szCs w:val="24"/>
                <w:lang w:eastAsia="zh-CN"/>
              </w:rPr>
              <w:t>村噪声影响；</w:t>
            </w:r>
          </w:p>
          <w:p w14:paraId="3DCEBF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③材料运输车辆在经过道路沿线的</w:t>
            </w:r>
            <w:r>
              <w:rPr>
                <w:rFonts w:hint="eastAsia" w:ascii="Times New Roman" w:hAnsi="Times New Roman" w:eastAsia="宋体"/>
                <w:color w:val="auto"/>
                <w:sz w:val="24"/>
                <w:szCs w:val="24"/>
                <w:lang w:eastAsia="zh-CN"/>
              </w:rPr>
              <w:t>居民点</w:t>
            </w:r>
            <w:r>
              <w:rPr>
                <w:rFonts w:hint="eastAsia" w:ascii="Times New Roman" w:hAnsi="Times New Roman" w:eastAsia="宋体"/>
                <w:color w:val="auto"/>
                <w:sz w:val="24"/>
                <w:szCs w:val="24"/>
              </w:rPr>
              <w:t>时，速度不应超过40km/h，运载卡车车辆速度低于40km/h时；运输车辆行驶时，不得鸣笛；加强运输车辆管理，禁止运输车辆随意空载运行</w:t>
            </w:r>
            <w:r>
              <w:rPr>
                <w:rFonts w:hint="eastAsia" w:ascii="Times New Roman" w:hAnsi="Times New Roman" w:eastAsia="宋体"/>
                <w:color w:val="auto"/>
                <w:sz w:val="24"/>
                <w:szCs w:val="24"/>
                <w:lang w:eastAsia="zh-CN"/>
              </w:rPr>
              <w:t>；</w:t>
            </w:r>
          </w:p>
          <w:p w14:paraId="73ACC8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④合理组织施工，优化施工区总平面布局，施工车辆应从远离</w:t>
            </w:r>
            <w:r>
              <w:rPr>
                <w:rFonts w:hint="eastAsia" w:ascii="Times New Roman" w:hAnsi="Times New Roman" w:eastAsia="宋体"/>
                <w:color w:val="auto"/>
                <w:sz w:val="24"/>
                <w:szCs w:val="24"/>
                <w:lang w:val="en-US" w:eastAsia="zh-CN"/>
              </w:rPr>
              <w:t>山前</w:t>
            </w:r>
            <w:r>
              <w:rPr>
                <w:rFonts w:hint="eastAsia" w:ascii="Times New Roman" w:hAnsi="Times New Roman" w:eastAsia="宋体"/>
                <w:color w:val="auto"/>
                <w:sz w:val="24"/>
                <w:szCs w:val="24"/>
                <w:lang w:eastAsia="zh-CN"/>
              </w:rPr>
              <w:t>村的</w:t>
            </w:r>
            <w:r>
              <w:rPr>
                <w:rFonts w:hint="eastAsia" w:ascii="Times New Roman" w:hAnsi="Times New Roman" w:eastAsia="宋体"/>
                <w:color w:val="auto"/>
                <w:sz w:val="24"/>
                <w:szCs w:val="24"/>
                <w:lang w:val="en-US" w:eastAsia="zh-CN"/>
              </w:rPr>
              <w:t>南</w:t>
            </w:r>
            <w:r>
              <w:rPr>
                <w:rFonts w:hint="eastAsia" w:ascii="Times New Roman" w:hAnsi="Times New Roman" w:eastAsia="宋体"/>
                <w:color w:val="auto"/>
                <w:sz w:val="24"/>
                <w:szCs w:val="24"/>
              </w:rPr>
              <w:t>侧进出，材料堆场</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易产生噪声的作业设备在施工现场中远离</w:t>
            </w:r>
            <w:r>
              <w:rPr>
                <w:rFonts w:hint="eastAsia" w:ascii="Times New Roman" w:hAnsi="Times New Roman" w:eastAsia="宋体"/>
                <w:color w:val="auto"/>
                <w:sz w:val="24"/>
                <w:szCs w:val="24"/>
                <w:lang w:eastAsia="zh-CN"/>
              </w:rPr>
              <w:t>靠近</w:t>
            </w:r>
            <w:r>
              <w:rPr>
                <w:rFonts w:hint="eastAsia" w:ascii="Times New Roman" w:hAnsi="Times New Roman" w:eastAsia="宋体"/>
                <w:color w:val="auto"/>
                <w:sz w:val="24"/>
                <w:szCs w:val="24"/>
                <w:lang w:val="en-US" w:eastAsia="zh-CN"/>
              </w:rPr>
              <w:t>山前</w:t>
            </w:r>
            <w:r>
              <w:rPr>
                <w:rFonts w:hint="eastAsia" w:ascii="Times New Roman" w:hAnsi="Times New Roman" w:eastAsia="宋体"/>
                <w:color w:val="auto"/>
                <w:sz w:val="24"/>
                <w:szCs w:val="24"/>
                <w:lang w:eastAsia="zh-CN"/>
              </w:rPr>
              <w:t>村的南、</w:t>
            </w:r>
            <w:r>
              <w:rPr>
                <w:rFonts w:hint="eastAsia" w:ascii="Times New Roman" w:hAnsi="Times New Roman" w:eastAsia="宋体"/>
                <w:color w:val="auto"/>
                <w:sz w:val="24"/>
                <w:szCs w:val="24"/>
                <w:lang w:val="en-US" w:eastAsia="zh-CN"/>
              </w:rPr>
              <w:t>东</w:t>
            </w:r>
            <w:r>
              <w:rPr>
                <w:rFonts w:hint="eastAsia" w:ascii="Times New Roman" w:hAnsi="Times New Roman" w:eastAsia="宋体"/>
                <w:color w:val="auto"/>
                <w:sz w:val="24"/>
                <w:szCs w:val="24"/>
                <w:lang w:eastAsia="zh-CN"/>
              </w:rPr>
              <w:t>侧设置</w:t>
            </w:r>
            <w:r>
              <w:rPr>
                <w:rFonts w:hint="eastAsia" w:ascii="Times New Roman" w:hAnsi="Times New Roman" w:eastAsia="宋体"/>
                <w:color w:val="auto"/>
                <w:sz w:val="24"/>
                <w:szCs w:val="24"/>
              </w:rPr>
              <w:t>，并在设有隔音功能的临房、临棚内操作</w:t>
            </w:r>
            <w:r>
              <w:rPr>
                <w:rFonts w:hint="eastAsia" w:ascii="Times New Roman" w:hAnsi="Times New Roman" w:eastAsia="宋体"/>
                <w:color w:val="auto"/>
                <w:sz w:val="24"/>
                <w:szCs w:val="24"/>
                <w:lang w:eastAsia="zh-CN"/>
              </w:rPr>
              <w:t>；</w:t>
            </w:r>
          </w:p>
          <w:p w14:paraId="1E1512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对施工场地噪声影响除采取以上降噪措施外，还应与周围住户和单位建立良好的关系，及时公示施工进度，取得群众的谅解。此外施工期间应设热线投诉电话，接受噪声扰民投诉，并对投诉情况进行积极治理或严格的管理。</w:t>
            </w:r>
          </w:p>
          <w:p w14:paraId="66C4FE9E">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auto"/>
                <w:kern w:val="0"/>
                <w:sz w:val="24"/>
                <w:lang w:val="en-US" w:eastAsia="zh-CN"/>
              </w:rPr>
            </w:pPr>
            <w:r>
              <w:rPr>
                <w:rFonts w:hint="eastAsia" w:ascii="Times New Roman" w:hAnsi="Times New Roman" w:eastAsia="宋体" w:cs="Times New Roman"/>
                <w:b/>
                <w:bCs w:val="0"/>
                <w:color w:val="auto"/>
                <w:kern w:val="0"/>
                <w:sz w:val="24"/>
                <w:lang w:val="en-US" w:eastAsia="zh-CN"/>
              </w:rPr>
              <w:t>4.1.4施工期固废环境影响分析</w:t>
            </w:r>
            <w:bookmarkEnd w:id="30"/>
            <w:bookmarkEnd w:id="31"/>
            <w:r>
              <w:rPr>
                <w:rFonts w:hint="eastAsia" w:ascii="Times New Roman" w:hAnsi="Times New Roman" w:eastAsia="宋体" w:cs="Times New Roman"/>
                <w:b/>
                <w:bCs w:val="0"/>
                <w:color w:val="auto"/>
                <w:kern w:val="0"/>
                <w:sz w:val="24"/>
                <w:lang w:val="en-US" w:eastAsia="zh-CN"/>
              </w:rPr>
              <w:t>及保护措施</w:t>
            </w:r>
          </w:p>
          <w:p w14:paraId="28F9B7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施工垃圾主要来自施工所产生的建筑垃圾和施工队伍生活产生的生活垃圾。</w:t>
            </w:r>
            <w:r>
              <w:rPr>
                <w:rFonts w:hint="eastAsia" w:ascii="Times New Roman" w:hAnsi="Times New Roman" w:eastAsia="宋体"/>
                <w:color w:val="auto"/>
                <w:sz w:val="24"/>
                <w:szCs w:val="24"/>
              </w:rPr>
              <w:t>建筑垃圾如：石子、混凝土块、砖头、石块、石屑、黄沙、石灰和废木料等，要严格按照相关部门规定处理；施工人员居住区的生活垃圾要实行袋装化，由环卫部门统一处理。</w:t>
            </w:r>
          </w:p>
          <w:p w14:paraId="628E65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为防止建设项目在建设期间发生上述环境污染的现象，使建设项目在建设期间对周围环境的影响尽可能小，建议采取以下的污染防治措施：</w:t>
            </w:r>
          </w:p>
          <w:p w14:paraId="31FE673F">
            <w:pPr>
              <w:pStyle w:val="50"/>
              <w:ind w:firstLine="48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）加强施工期管理，建造沉淀池、隔油池等污水临时处理设施，砂浆和石灰浆等废液宜集中处理，干燥后与固体废弃物一起处置；</w:t>
            </w:r>
          </w:p>
          <w:p w14:paraId="35935685">
            <w:pPr>
              <w:pStyle w:val="50"/>
              <w:ind w:firstLine="480"/>
              <w:jc w:val="both"/>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工程开挖土石方临时堆砌时应选择在项目周边空地，工程结束后及时进行回填并压实；</w:t>
            </w:r>
          </w:p>
          <w:p w14:paraId="62F7481F">
            <w:pPr>
              <w:pStyle w:val="50"/>
              <w:ind w:firstLine="480"/>
              <w:jc w:val="both"/>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对建筑垃圾应边施工边清除，施工建筑垃圾应分类收集，尽可能回收再利用。</w:t>
            </w:r>
            <w:r>
              <w:rPr>
                <w:rFonts w:hint="eastAsia" w:ascii="Times New Roman" w:hAnsi="Times New Roman" w:eastAsia="宋体" w:cs="Times New Roman"/>
                <w:color w:val="auto"/>
                <w:lang w:eastAsia="zh-CN"/>
              </w:rPr>
              <w:t>对于不可利用的建筑垃圾，</w:t>
            </w:r>
            <w:r>
              <w:rPr>
                <w:rFonts w:hint="default" w:ascii="Times New Roman" w:hAnsi="Times New Roman" w:eastAsia="宋体" w:cs="Times New Roman"/>
                <w:color w:val="auto"/>
                <w:lang w:eastAsia="zh-CN"/>
              </w:rPr>
              <w:t>运输至指定堆存点集中管理；</w:t>
            </w:r>
          </w:p>
          <w:p w14:paraId="0C21718D">
            <w:pPr>
              <w:pStyle w:val="50"/>
              <w:ind w:firstLine="480"/>
              <w:jc w:val="both"/>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加强施工人员的管理，严禁在施工场地及周边随意丢弃垃圾，施工结束后应对施工场地进行清理</w:t>
            </w:r>
            <w:r>
              <w:rPr>
                <w:rFonts w:hint="eastAsia" w:ascii="Times New Roman" w:hAnsi="Times New Roman" w:eastAsia="宋体" w:cs="Times New Roman"/>
                <w:color w:val="auto"/>
                <w:lang w:eastAsia="zh-CN"/>
              </w:rPr>
              <w:t>；</w:t>
            </w:r>
          </w:p>
          <w:p w14:paraId="5357B80B">
            <w:pPr>
              <w:pStyle w:val="50"/>
              <w:ind w:firstLine="48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lang w:eastAsia="zh-CN"/>
              </w:rPr>
              <w:t>）施工过程中产生的废油桶，废机油以及装修阶段产生的油漆废渣、废油漆桶等应分类单独收集贮存危险废物贮存间，委托有资质单位统一处置。</w:t>
            </w:r>
          </w:p>
          <w:p w14:paraId="27928323">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auto"/>
                <w:kern w:val="0"/>
                <w:sz w:val="24"/>
                <w:lang w:val="en-US" w:eastAsia="zh-CN"/>
              </w:rPr>
            </w:pPr>
            <w:r>
              <w:rPr>
                <w:rFonts w:hint="eastAsia" w:ascii="Times New Roman" w:hAnsi="Times New Roman" w:eastAsia="宋体" w:cs="Times New Roman"/>
                <w:b/>
                <w:bCs w:val="0"/>
                <w:color w:val="auto"/>
                <w:kern w:val="0"/>
                <w:sz w:val="24"/>
                <w:lang w:val="en-US" w:eastAsia="zh-CN"/>
              </w:rPr>
              <w:t>4.1.5施工期</w:t>
            </w:r>
            <w:r>
              <w:rPr>
                <w:rFonts w:hint="default" w:ascii="Times New Roman" w:hAnsi="Times New Roman" w:eastAsia="宋体" w:cs="Times New Roman"/>
                <w:b/>
                <w:bCs w:val="0"/>
                <w:color w:val="auto"/>
                <w:kern w:val="0"/>
                <w:sz w:val="24"/>
                <w:lang w:val="en-US" w:eastAsia="zh-CN"/>
              </w:rPr>
              <w:t>生态环境影响分析</w:t>
            </w:r>
            <w:r>
              <w:rPr>
                <w:rFonts w:hint="eastAsia" w:ascii="Times New Roman" w:hAnsi="Times New Roman" w:eastAsia="宋体" w:cs="Times New Roman"/>
                <w:b/>
                <w:bCs w:val="0"/>
                <w:color w:val="auto"/>
                <w:kern w:val="0"/>
                <w:sz w:val="24"/>
                <w:lang w:val="en-US" w:eastAsia="zh-CN"/>
              </w:rPr>
              <w:t>及保护措施</w:t>
            </w:r>
          </w:p>
          <w:p w14:paraId="418AFB70">
            <w:pPr>
              <w:spacing w:line="360" w:lineRule="auto"/>
              <w:ind w:firstLine="480" w:firstLineChars="200"/>
              <w:rPr>
                <w:rFonts w:ascii="Times New Roman" w:hAnsi="Times New Roman" w:eastAsia="宋体"/>
                <w:color w:val="auto"/>
                <w:sz w:val="24"/>
                <w:szCs w:val="24"/>
              </w:rPr>
            </w:pPr>
            <w:r>
              <w:rPr>
                <w:rFonts w:hint="default" w:ascii="Times New Roman" w:hAnsi="Times New Roman" w:eastAsia="宋体" w:cs="Times New Roman"/>
                <w:color w:val="auto"/>
                <w:sz w:val="24"/>
              </w:rPr>
              <w:t>本项目对生态环境的影响主要体现在工程永久占地、施工活动及工程运行带来的影响。工程将改变站址原有土地利用现状，破坏站内原有的微生态环境，从而使站址周边的植被及动物分布产生一定扰动。由于土石方的开挖、填筑、临时堆放等活动将扰动、损坏地貌，破坏原有植被，导致涉及区域的水土流失，其形式以水力侵蚀为主。</w:t>
            </w:r>
            <w:r>
              <w:rPr>
                <w:rFonts w:hint="eastAsia" w:ascii="Times New Roman" w:hAnsi="Times New Roman" w:eastAsia="宋体" w:cs="Times New Roman"/>
                <w:color w:val="auto"/>
                <w:sz w:val="24"/>
                <w:lang w:eastAsia="zh-CN"/>
              </w:rPr>
              <w:t>根据建设单位提供资料，</w:t>
            </w:r>
            <w:r>
              <w:rPr>
                <w:rFonts w:hint="eastAsia" w:ascii="Times New Roman" w:hAnsi="Times New Roman" w:eastAsia="宋体" w:cs="Times New Roman"/>
                <w:color w:val="auto"/>
                <w:sz w:val="24"/>
                <w:lang w:val="en-US" w:eastAsia="zh-CN"/>
              </w:rPr>
              <w:t>项目租赁现有工业场地，场地现状主要为硬化用地、空地等，</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lang w:val="en-US" w:eastAsia="zh-CN"/>
              </w:rPr>
              <w:t>新建厂房等少量</w:t>
            </w:r>
            <w:r>
              <w:rPr>
                <w:rFonts w:hint="eastAsia" w:ascii="Times New Roman" w:hAnsi="Times New Roman" w:eastAsia="宋体" w:cs="Times New Roman"/>
                <w:color w:val="auto"/>
                <w:sz w:val="24"/>
                <w:lang w:eastAsia="zh-CN"/>
              </w:rPr>
              <w:t>开挖土石方</w:t>
            </w:r>
            <w:r>
              <w:rPr>
                <w:rFonts w:hint="eastAsia" w:ascii="Times New Roman" w:hAnsi="Times New Roman" w:eastAsia="宋体" w:cs="Times New Roman"/>
                <w:color w:val="auto"/>
                <w:sz w:val="24"/>
                <w:lang w:val="en-US" w:eastAsia="zh-CN"/>
              </w:rPr>
              <w:t>就地在场地内平整回填，无弃方。</w:t>
            </w:r>
            <w:r>
              <w:rPr>
                <w:rFonts w:ascii="Times New Roman" w:hAnsi="Times New Roman" w:eastAsia="宋体"/>
                <w:color w:val="auto"/>
                <w:sz w:val="24"/>
                <w:szCs w:val="24"/>
              </w:rPr>
              <w:t>为</w:t>
            </w:r>
            <w:r>
              <w:rPr>
                <w:rFonts w:hint="eastAsia" w:ascii="Times New Roman" w:hAnsi="Times New Roman" w:eastAsia="宋体"/>
                <w:color w:val="auto"/>
                <w:sz w:val="24"/>
                <w:szCs w:val="24"/>
                <w:lang w:val="en-US" w:eastAsia="zh-CN"/>
              </w:rPr>
              <w:t>降低项目对生态环境的影响，</w:t>
            </w:r>
            <w:r>
              <w:rPr>
                <w:rFonts w:ascii="Times New Roman" w:hAnsi="Times New Roman" w:eastAsia="宋体"/>
                <w:color w:val="auto"/>
                <w:sz w:val="24"/>
                <w:szCs w:val="24"/>
              </w:rPr>
              <w:t>建议采取以下的污染防治措施：</w:t>
            </w:r>
          </w:p>
          <w:p w14:paraId="7CD45672">
            <w:pPr>
              <w:pStyle w:val="51"/>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合理施工布置规划，精心组织施工管理，严格控制占地面积，将施工区域控制在最小范围内，施工结束尽量将临时占地恢复原状；</w:t>
            </w:r>
          </w:p>
          <w:p w14:paraId="0313EC39">
            <w:pPr>
              <w:pStyle w:val="51"/>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为减少水土流失，严禁随意破坏施工场地内外的少量植物，并对施工中开挖裸露地表进行覆盖，防止水土流失和地质灾害；</w:t>
            </w:r>
          </w:p>
          <w:p w14:paraId="660C0A98">
            <w:pPr>
              <w:pStyle w:val="51"/>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施工完毕后及时进行场地清理平整恢复，从而防止或减轻水土流失；</w:t>
            </w:r>
          </w:p>
          <w:p w14:paraId="267F2DDE">
            <w:pPr>
              <w:pStyle w:val="51"/>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施工开挖土方、装卸运输土方等工序，应尽量避开降雨天气；</w:t>
            </w:r>
          </w:p>
          <w:p w14:paraId="75F58DBC">
            <w:pPr>
              <w:pStyle w:val="51"/>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结合地形合理规划土方堆置场地，周围设围挡物，结合实际情况适时采取专门的排水措施(如在场区外设置截流沟等)；</w:t>
            </w:r>
          </w:p>
          <w:p w14:paraId="6C33B4D9">
            <w:pPr>
              <w:pStyle w:val="51"/>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（6）</w:t>
            </w:r>
            <w:r>
              <w:rPr>
                <w:rFonts w:hint="eastAsia" w:ascii="Times New Roman" w:hAnsi="Times New Roman" w:cs="Times New Roman"/>
                <w:color w:val="auto"/>
                <w:lang w:val="en-US" w:eastAsia="zh-CN"/>
              </w:rPr>
              <w:t>站区</w:t>
            </w:r>
            <w:r>
              <w:rPr>
                <w:rFonts w:hint="default" w:ascii="Times New Roman" w:hAnsi="Times New Roman" w:eastAsia="宋体" w:cs="Times New Roman"/>
                <w:color w:val="auto"/>
              </w:rPr>
              <w:t>工程开挖造成的取土坑和回填好的坑待工序结束后，须及时压实整平，原土覆盖；</w:t>
            </w:r>
          </w:p>
          <w:p w14:paraId="3FFBFD6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cs="Times New Roman"/>
                <w:bCs/>
                <w:color w:val="auto"/>
                <w:spacing w:val="-10"/>
                <w:szCs w:val="21"/>
              </w:rPr>
            </w:pPr>
            <w:r>
              <w:rPr>
                <w:rFonts w:hint="eastAsia" w:ascii="Times New Roman" w:hAnsi="Times New Roman" w:eastAsia="宋体" w:cs="Times New Roman"/>
                <w:color w:val="auto"/>
                <w:kern w:val="0"/>
                <w:sz w:val="24"/>
                <w:szCs w:val="20"/>
                <w:lang w:eastAsia="zh-CN"/>
              </w:rPr>
              <w:t>（</w:t>
            </w:r>
            <w:r>
              <w:rPr>
                <w:rFonts w:hint="eastAsia" w:ascii="Times New Roman" w:hAnsi="Times New Roman" w:eastAsia="宋体" w:cs="Times New Roman"/>
                <w:color w:val="auto"/>
                <w:kern w:val="0"/>
                <w:sz w:val="24"/>
                <w:szCs w:val="20"/>
                <w:lang w:val="en-US" w:eastAsia="zh-CN"/>
              </w:rPr>
              <w:t>8</w:t>
            </w:r>
            <w:r>
              <w:rPr>
                <w:rFonts w:hint="eastAsia" w:ascii="Times New Roman" w:hAnsi="Times New Roman" w:eastAsia="宋体" w:cs="Times New Roman"/>
                <w:color w:val="auto"/>
                <w:kern w:val="0"/>
                <w:sz w:val="24"/>
                <w:szCs w:val="20"/>
                <w:lang w:eastAsia="zh-CN"/>
              </w:rPr>
              <w:t>）</w:t>
            </w:r>
            <w:r>
              <w:rPr>
                <w:rFonts w:hint="default" w:ascii="Times New Roman" w:hAnsi="Times New Roman" w:eastAsia="宋体" w:cs="Times New Roman"/>
                <w:color w:val="auto"/>
                <w:kern w:val="0"/>
                <w:sz w:val="24"/>
                <w:szCs w:val="20"/>
              </w:rPr>
              <w:t>要充分考虑绿化对防治水土流失的作用，在可能的条件下，土建施工之前先进行绿化。</w:t>
            </w:r>
          </w:p>
        </w:tc>
      </w:tr>
      <w:tr w14:paraId="4D08E8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680" w:type="dxa"/>
            <w:noWrap w:val="0"/>
            <w:tcMar>
              <w:left w:w="28" w:type="dxa"/>
              <w:right w:w="28" w:type="dxa"/>
            </w:tcMar>
            <w:vAlign w:val="center"/>
          </w:tcPr>
          <w:p w14:paraId="0692162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18FA8A8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15F3D8B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6F85B46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5192ED12">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1F2461EE">
            <w:pPr>
              <w:adjustRightInd w:val="0"/>
              <w:snapToGrid w:val="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Cs w:val="21"/>
              </w:rPr>
              <w:t>措施</w:t>
            </w:r>
          </w:p>
        </w:tc>
        <w:tc>
          <w:tcPr>
            <w:tcW w:w="8149" w:type="dxa"/>
            <w:noWrap w:val="0"/>
            <w:vAlign w:val="center"/>
          </w:tcPr>
          <w:p w14:paraId="1B2411DC">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4.</w:t>
            </w:r>
            <w:r>
              <w:rPr>
                <w:rFonts w:hint="eastAsia" w:ascii="Times New Roman" w:hAnsi="Times New Roman" w:eastAsia="宋体" w:cs="Times New Roman"/>
                <w:b/>
                <w:bCs w:val="0"/>
                <w:color w:val="auto"/>
                <w:sz w:val="28"/>
                <w:szCs w:val="28"/>
                <w:lang w:val="en-US" w:eastAsia="zh-CN"/>
              </w:rPr>
              <w:t>2</w:t>
            </w:r>
            <w:r>
              <w:rPr>
                <w:rFonts w:hint="default" w:ascii="Times New Roman" w:hAnsi="Times New Roman" w:eastAsia="宋体" w:cs="Times New Roman"/>
                <w:b/>
                <w:bCs w:val="0"/>
                <w:color w:val="auto"/>
                <w:sz w:val="28"/>
                <w:szCs w:val="28"/>
              </w:rPr>
              <w:t>运营期大气环境影响分析和污染防治措施</w:t>
            </w:r>
          </w:p>
          <w:p w14:paraId="008F4764">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auto"/>
                <w:kern w:val="0"/>
                <w:sz w:val="24"/>
              </w:rPr>
            </w:pPr>
            <w:r>
              <w:rPr>
                <w:rFonts w:hint="default" w:ascii="Times New Roman" w:hAnsi="Times New Roman" w:eastAsia="宋体" w:cs="Times New Roman"/>
                <w:b/>
                <w:bCs w:val="0"/>
                <w:color w:val="auto"/>
                <w:kern w:val="0"/>
                <w:sz w:val="24"/>
                <w:lang w:val="en-US" w:eastAsia="zh-CN"/>
              </w:rPr>
              <w:t>4.</w:t>
            </w:r>
            <w:r>
              <w:rPr>
                <w:rFonts w:hint="eastAsia" w:ascii="Times New Roman" w:hAnsi="Times New Roman" w:eastAsia="宋体" w:cs="Times New Roman"/>
                <w:b/>
                <w:bCs w:val="0"/>
                <w:color w:val="auto"/>
                <w:kern w:val="0"/>
                <w:sz w:val="24"/>
                <w:lang w:val="en-US" w:eastAsia="zh-CN"/>
              </w:rPr>
              <w:t>2</w:t>
            </w:r>
            <w:r>
              <w:rPr>
                <w:rFonts w:hint="default" w:ascii="Times New Roman" w:hAnsi="Times New Roman" w:eastAsia="宋体" w:cs="Times New Roman"/>
                <w:b/>
                <w:bCs w:val="0"/>
                <w:color w:val="auto"/>
                <w:kern w:val="0"/>
                <w:sz w:val="24"/>
                <w:lang w:val="en-US" w:eastAsia="zh-CN"/>
              </w:rPr>
              <w:t>.1</w:t>
            </w:r>
            <w:r>
              <w:rPr>
                <w:rFonts w:hint="default" w:ascii="Times New Roman" w:hAnsi="Times New Roman" w:eastAsia="宋体" w:cs="Times New Roman"/>
                <w:b/>
                <w:bCs w:val="0"/>
                <w:color w:val="auto"/>
                <w:kern w:val="0"/>
                <w:sz w:val="24"/>
              </w:rPr>
              <w:t>运营期废气源强核算</w:t>
            </w:r>
          </w:p>
          <w:p w14:paraId="6CF893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项目运营期产生的废气主要为废机动车内废油废液抽取、废变压器废油抽取产生的有机废气，以及切割、剪切、打包、安全气囊引爆过程中产生的粉尘。</w:t>
            </w:r>
          </w:p>
          <w:p w14:paraId="3BF70B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本项目废气参照</w:t>
            </w:r>
            <w:r>
              <w:rPr>
                <w:rFonts w:hint="eastAsia" w:ascii="Times New Roman" w:hAnsi="Times New Roman" w:eastAsia="宋体" w:cs="宋体"/>
                <w:color w:val="auto"/>
                <w:sz w:val="24"/>
                <w:szCs w:val="24"/>
                <w:lang w:val="en-US" w:eastAsia="zh-CN"/>
              </w:rPr>
              <w:t>《污染源源强核算技术指南 准则》（HJ884-2018）、《排污许可证申请与核发技术规范 废弃资源加工工业》(HJ 1034-2019)等相关要求进行。</w:t>
            </w:r>
          </w:p>
          <w:p w14:paraId="3B8476C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（1）预处理废液抽取废气</w:t>
            </w:r>
          </w:p>
          <w:p w14:paraId="4C7441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①废油液抽取废气</w:t>
            </w:r>
          </w:p>
          <w:p w14:paraId="06DAE6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废机动车拆解过程中收集的废油液包括燃油、机油、转向油、冷却油、制动液等各种液体，相对于汽、柴油，其他废油液具有较强的热稳定性以及低挥发性，预处理回收过程中基本不产生废气污染。因此，报废机动车预处理废油液回收过程中产生的有机废气主要来源于汽、柴油回收过程的挥发，以非甲烷总烃表征，其他油液抽取挥发有机废气不做定量计算，本评价要求在其他油液抽取时也应同步开启废气收集处理系统进行收集处理后高空排放，以日常自行监测作为管理。</w:t>
            </w:r>
          </w:p>
          <w:p w14:paraId="455BBF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参照《散装液态石油产品损耗》(GB11085-89)中汽油的灌桶损耗率0.18%及最大输转损耗率0.22%，总损耗量约为0.4%，本评价保守按1%损失率考虑。根据物料平衡可知本项目废机动车汽、柴油回收量约35.4t/a，则项目废机动车预处理废油液抽取过程中非甲烷总烃产生量约为0.354t/a。废机动车预处理废油液抽取日均作业时间4h，年工作时间为1200h。</w:t>
            </w:r>
          </w:p>
          <w:p w14:paraId="33D91A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②废制冷剂抽取废气</w:t>
            </w:r>
          </w:p>
          <w:p w14:paraId="79FA0C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根据</w:t>
            </w:r>
            <w:r>
              <w:rPr>
                <w:rFonts w:hint="eastAsia" w:ascii="Times New Roman" w:hAnsi="Times New Roman" w:eastAsia="宋体" w:cs="Times New Roman"/>
                <w:bCs/>
                <w:color w:val="auto"/>
                <w:sz w:val="24"/>
              </w:rPr>
              <w:t>国家对CFC类物质淘汰日程</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中国在1999年7月1日将CFC类物质（主要指R12类制冷剂等）的消耗量冻结在1995年至1997年的平均水平上，至2005年削减 50%</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2010年全部淘汰。根据报废汽车使用年限要求及</w:t>
            </w:r>
            <w:r>
              <w:rPr>
                <w:rFonts w:hint="eastAsia" w:ascii="Times New Roman" w:hAnsi="Times New Roman" w:eastAsia="宋体" w:cs="Times New Roman"/>
                <w:bCs/>
                <w:color w:val="auto"/>
                <w:sz w:val="24"/>
                <w:lang w:eastAsia="zh-CN"/>
              </w:rPr>
              <w:t>上述</w:t>
            </w:r>
            <w:r>
              <w:rPr>
                <w:rFonts w:hint="eastAsia" w:ascii="Times New Roman" w:hAnsi="Times New Roman" w:eastAsia="宋体" w:cs="Times New Roman"/>
                <w:bCs/>
                <w:color w:val="auto"/>
                <w:sz w:val="24"/>
              </w:rPr>
              <w:t>国家对CFC类物质淘汰日程安排估计，</w:t>
            </w:r>
            <w:r>
              <w:rPr>
                <w:rFonts w:hint="eastAsia" w:ascii="Times New Roman" w:hAnsi="Times New Roman" w:eastAsia="宋体" w:cs="Times New Roman"/>
                <w:bCs/>
                <w:color w:val="auto"/>
                <w:sz w:val="24"/>
                <w:lang w:eastAsia="zh-CN"/>
              </w:rPr>
              <w:t>本项目</w:t>
            </w:r>
            <w:r>
              <w:rPr>
                <w:rFonts w:hint="eastAsia" w:ascii="Times New Roman" w:hAnsi="Times New Roman" w:eastAsia="宋体" w:cs="Times New Roman"/>
                <w:bCs/>
                <w:color w:val="auto"/>
                <w:sz w:val="24"/>
              </w:rPr>
              <w:t>回收拆解的报废机动车中制冷剂主要为R134a</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用于代替CFC</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R134a主要成分为四氟乙烷等，</w:t>
            </w:r>
            <w:r>
              <w:rPr>
                <w:rFonts w:hint="eastAsia" w:ascii="Times New Roman" w:hAnsi="Times New Roman" w:eastAsia="宋体" w:cs="Times New Roman"/>
                <w:bCs/>
                <w:color w:val="auto"/>
                <w:sz w:val="24"/>
              </w:rPr>
              <w:t>因此废制冷剂回收废气主要污染物以非甲烷总烃</w:t>
            </w:r>
            <w:r>
              <w:rPr>
                <w:rFonts w:hint="eastAsia" w:ascii="Times New Roman" w:hAnsi="Times New Roman" w:eastAsia="宋体" w:cs="Times New Roman"/>
                <w:bCs/>
                <w:color w:val="auto"/>
                <w:sz w:val="24"/>
                <w:lang w:eastAsia="zh-CN"/>
              </w:rPr>
              <w:t>进行表征</w:t>
            </w:r>
            <w:r>
              <w:rPr>
                <w:rFonts w:hint="eastAsia" w:ascii="Times New Roman" w:hAnsi="Times New Roman" w:eastAsia="宋体" w:cs="Times New Roman"/>
                <w:bCs/>
                <w:color w:val="auto"/>
                <w:sz w:val="24"/>
              </w:rPr>
              <w:t>。</w:t>
            </w:r>
          </w:p>
          <w:p w14:paraId="479A2C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本项目采用专门的制冷剂回收装置对制冷剂进行回收，使用时，将回收罐连接在回收装置的气阀上并把回收罐的液阀连接在制冷系统的液体一侧，当降低回收罐的压力时，回收装置会把被回收设备中的液态制冷剂“拉出”来。从回收罐抽出蒸汽，又通过回收装置的运行，把它排到（推回）被回收设备的蒸汽入口处。通过被回收设备和回收罐形成的压力差，制冷剂会通过管道流入回收罐中。待液体制冷剂回收完成后，回收装置切换至气体回收状态，将被回收设备中的气态制冷剂全部回收至回收罐中。</w:t>
            </w:r>
            <w:r>
              <w:rPr>
                <w:rFonts w:hint="eastAsia" w:ascii="Times New Roman" w:hAnsi="Times New Roman" w:eastAsia="宋体" w:cs="Times New Roman"/>
                <w:bCs/>
                <w:color w:val="auto"/>
                <w:sz w:val="24"/>
                <w:lang w:val="en-US" w:eastAsia="zh-CN"/>
              </w:rPr>
              <w:t>因此，</w:t>
            </w:r>
            <w:r>
              <w:rPr>
                <w:rFonts w:hint="eastAsia" w:ascii="Times New Roman" w:hAnsi="Times New Roman" w:eastAsia="宋体" w:cs="Times New Roman"/>
                <w:bCs/>
                <w:color w:val="auto"/>
                <w:sz w:val="24"/>
              </w:rPr>
              <w:t>在制冷剂的收集过程中，仅会有少量制冷剂通过管线、阀门等</w:t>
            </w:r>
            <w:r>
              <w:rPr>
                <w:rFonts w:hint="eastAsia" w:ascii="Times New Roman" w:hAnsi="Times New Roman" w:eastAsia="宋体" w:cs="Times New Roman"/>
                <w:bCs/>
                <w:color w:val="auto"/>
                <w:sz w:val="24"/>
                <w:lang w:val="en-US" w:eastAsia="zh-CN"/>
              </w:rPr>
              <w:t>连接处</w:t>
            </w:r>
            <w:r>
              <w:rPr>
                <w:rFonts w:hint="eastAsia" w:ascii="Times New Roman" w:hAnsi="Times New Roman" w:eastAsia="宋体" w:cs="Times New Roman"/>
                <w:bCs/>
                <w:color w:val="auto"/>
                <w:sz w:val="24"/>
              </w:rPr>
              <w:t>以无组织形式释放到环境空气中，泄漏出来的</w:t>
            </w:r>
            <w:r>
              <w:rPr>
                <w:rFonts w:hint="eastAsia" w:ascii="Times New Roman" w:hAnsi="Times New Roman" w:eastAsia="宋体" w:cs="Times New Roman"/>
                <w:bCs/>
                <w:color w:val="auto"/>
                <w:sz w:val="24"/>
                <w:lang w:eastAsia="zh-CN"/>
              </w:rPr>
              <w:t>挥发制冷剂非常少。</w:t>
            </w:r>
            <w:r>
              <w:rPr>
                <w:rFonts w:hint="eastAsia" w:ascii="Times New Roman" w:hAnsi="Times New Roman" w:eastAsia="宋体" w:cs="Times New Roman"/>
                <w:bCs/>
                <w:color w:val="auto"/>
                <w:sz w:val="24"/>
                <w:lang w:val="en-US" w:eastAsia="zh-CN"/>
              </w:rPr>
              <w:t>参考《广东省生态环境厅关于印发重点行业挥发性有机物排放量计算方法的通知》（粤环函〔2019〕243号）表2.1-2“石油炼制和石油化工组件平均泄漏系数”中“法兰、连接件—所有介质”泄漏系数0.00183千克/小时/排放源，“阀—轻液体”泄漏系数0.00403千克/小时/排放源，根据建设单位提供资料，本项目设有1台制冷剂回收机，回收机设有2个连接件、2个阀门，则项目制冷剂回收过程中非甲烷总烃的平均产生速率约为0.01172kg/h，本项目废制冷剂抽取日均作业时间4h，年工作时间为1200h，则制冷剂抽取过程中非甲烷总烃产生量约为0.014t/a。</w:t>
            </w:r>
          </w:p>
          <w:p w14:paraId="53613B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综上，项目废机动车</w:t>
            </w:r>
            <w:r>
              <w:rPr>
                <w:rFonts w:hint="eastAsia" w:ascii="Times New Roman" w:hAnsi="Times New Roman" w:eastAsia="宋体" w:cs="Times New Roman"/>
                <w:color w:val="auto"/>
                <w:sz w:val="24"/>
                <w:highlight w:val="none"/>
                <w:u w:val="none"/>
                <w:lang w:val="en-US" w:eastAsia="zh-CN"/>
              </w:rPr>
              <w:t>预处理废液抽取废气中非甲烷总量约为0.368t/a。</w:t>
            </w:r>
          </w:p>
          <w:p w14:paraId="046662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③</w:t>
            </w:r>
            <w:r>
              <w:rPr>
                <w:rFonts w:hint="eastAsia" w:ascii="Times New Roman" w:hAnsi="Times New Roman" w:eastAsia="宋体" w:cs="Times New Roman"/>
                <w:color w:val="auto"/>
                <w:sz w:val="24"/>
                <w:highlight w:val="none"/>
                <w:u w:val="none"/>
                <w:lang w:val="en-US" w:eastAsia="zh-CN"/>
              </w:rPr>
              <w:t>收集及处理方式</w:t>
            </w:r>
          </w:p>
          <w:p w14:paraId="6D6179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按照《排污许可证申请与核发技术规范</w:t>
            </w:r>
            <w:r>
              <w:rPr>
                <w:rFonts w:hint="eastAsia" w:ascii="Times New Roman" w:hAnsi="Times New Roman" w:eastAsia="宋体" w:cs="Times New Roman"/>
                <w:bCs/>
                <w:color w:val="auto"/>
                <w:sz w:val="24"/>
                <w:lang w:val="en-US" w:eastAsia="zh-CN"/>
              </w:rPr>
              <w:t xml:space="preserve"> </w:t>
            </w:r>
            <w:r>
              <w:rPr>
                <w:rFonts w:ascii="Times New Roman" w:hAnsi="Times New Roman" w:eastAsia="宋体" w:cs="Times New Roman"/>
                <w:bCs/>
                <w:color w:val="auto"/>
                <w:sz w:val="24"/>
              </w:rPr>
              <w:t>废弃资源加工工业》  (HJ1034-2019)要求，报废机动车拆解预处理过程产生的有机废气应收集处理后排放。</w:t>
            </w:r>
            <w:r>
              <w:rPr>
                <w:rFonts w:hint="eastAsia" w:ascii="Times New Roman" w:hAnsi="Times New Roman" w:eastAsia="宋体" w:cs="Times New Roman"/>
                <w:bCs/>
                <w:color w:val="auto"/>
                <w:sz w:val="24"/>
                <w:lang w:eastAsia="zh-CN"/>
              </w:rPr>
              <w:t>本项目废油液、废制冷剂抽取位于预处理平台固定收集</w:t>
            </w:r>
            <w:r>
              <w:rPr>
                <w:rFonts w:hint="eastAsia" w:ascii="Times New Roman" w:hAnsi="Times New Roman" w:eastAsia="宋体" w:cs="Times New Roman"/>
                <w:bCs/>
                <w:color w:val="auto"/>
                <w:sz w:val="24"/>
                <w:lang w:val="en-US" w:eastAsia="zh-CN"/>
              </w:rPr>
              <w:t>工位</w:t>
            </w:r>
            <w:r>
              <w:rPr>
                <w:rFonts w:hint="eastAsia" w:ascii="Times New Roman" w:hAnsi="Times New Roman" w:eastAsia="宋体" w:cs="Times New Roman"/>
                <w:bCs/>
                <w:color w:val="auto"/>
                <w:sz w:val="24"/>
                <w:lang w:eastAsia="zh-CN"/>
              </w:rPr>
              <w:t>，拟在</w:t>
            </w:r>
            <w:r>
              <w:rPr>
                <w:rFonts w:ascii="Times New Roman" w:hAnsi="Times New Roman" w:eastAsia="宋体" w:cs="Times New Roman"/>
                <w:bCs/>
                <w:color w:val="auto"/>
                <w:sz w:val="24"/>
              </w:rPr>
              <w:t>废油</w:t>
            </w:r>
            <w:r>
              <w:rPr>
                <w:rFonts w:hint="eastAsia" w:ascii="Times New Roman" w:hAnsi="Times New Roman" w:eastAsia="宋体" w:cs="Times New Roman"/>
                <w:bCs/>
                <w:color w:val="auto"/>
                <w:sz w:val="24"/>
                <w:lang w:eastAsia="zh-CN"/>
              </w:rPr>
              <w:t>收集</w:t>
            </w:r>
            <w:r>
              <w:rPr>
                <w:rFonts w:hint="eastAsia" w:ascii="Times New Roman" w:hAnsi="Times New Roman" w:eastAsia="宋体" w:cs="Times New Roman"/>
                <w:bCs/>
                <w:color w:val="auto"/>
                <w:sz w:val="24"/>
                <w:lang w:val="en-US" w:eastAsia="zh-CN"/>
              </w:rPr>
              <w:t>工位</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废制冷剂</w:t>
            </w:r>
            <w:r>
              <w:rPr>
                <w:rFonts w:hint="eastAsia" w:ascii="Times New Roman" w:hAnsi="Times New Roman" w:eastAsia="宋体" w:cs="Times New Roman"/>
                <w:bCs/>
                <w:color w:val="auto"/>
                <w:sz w:val="24"/>
                <w:lang w:eastAsia="zh-CN"/>
              </w:rPr>
              <w:t>收集</w:t>
            </w:r>
            <w:r>
              <w:rPr>
                <w:rFonts w:hint="eastAsia" w:ascii="Times New Roman" w:hAnsi="Times New Roman" w:eastAsia="宋体" w:cs="Times New Roman"/>
                <w:bCs/>
                <w:color w:val="auto"/>
                <w:sz w:val="24"/>
                <w:lang w:val="en-US" w:eastAsia="zh-CN"/>
              </w:rPr>
              <w:t>工位</w:t>
            </w:r>
            <w:r>
              <w:rPr>
                <w:rFonts w:hint="eastAsia" w:ascii="Times New Roman" w:hAnsi="Times New Roman" w:eastAsia="宋体" w:cs="Times New Roman"/>
                <w:bCs/>
                <w:color w:val="auto"/>
                <w:sz w:val="24"/>
                <w:lang w:eastAsia="zh-CN"/>
              </w:rPr>
              <w:t>各</w:t>
            </w:r>
            <w:r>
              <w:rPr>
                <w:rFonts w:ascii="Times New Roman" w:hAnsi="Times New Roman" w:eastAsia="宋体" w:cs="Times New Roman"/>
                <w:bCs/>
                <w:color w:val="auto"/>
                <w:sz w:val="24"/>
              </w:rPr>
              <w:t>设置</w:t>
            </w:r>
            <w:r>
              <w:rPr>
                <w:rFonts w:hint="eastAsia" w:ascii="Times New Roman" w:hAnsi="Times New Roman" w:eastAsia="宋体" w:cs="Times New Roman"/>
                <w:bCs/>
                <w:color w:val="auto"/>
                <w:sz w:val="24"/>
                <w:lang w:val="en-US" w:eastAsia="zh-CN"/>
              </w:rPr>
              <w:t>1个</w:t>
            </w:r>
            <w:r>
              <w:rPr>
                <w:rFonts w:ascii="Times New Roman" w:hAnsi="Times New Roman" w:eastAsia="宋体" w:cs="Times New Roman"/>
                <w:bCs/>
                <w:color w:val="auto"/>
                <w:sz w:val="24"/>
              </w:rPr>
              <w:t>顶吸罩，预处理</w:t>
            </w:r>
            <w:r>
              <w:rPr>
                <w:rFonts w:hint="eastAsia" w:ascii="Times New Roman" w:hAnsi="Times New Roman" w:eastAsia="宋体" w:cs="Times New Roman"/>
                <w:bCs/>
                <w:color w:val="auto"/>
                <w:sz w:val="24"/>
                <w:lang w:eastAsia="zh-CN"/>
              </w:rPr>
              <w:t>废液抽取</w:t>
            </w:r>
            <w:r>
              <w:rPr>
                <w:rFonts w:ascii="Times New Roman" w:hAnsi="Times New Roman" w:eastAsia="宋体" w:cs="Times New Roman"/>
                <w:bCs/>
                <w:color w:val="auto"/>
                <w:sz w:val="24"/>
              </w:rPr>
              <w:t>过程产生的有机废气收集经</w:t>
            </w:r>
            <w:r>
              <w:rPr>
                <w:rFonts w:hint="eastAsia" w:ascii="Times New Roman" w:hAnsi="Times New Roman" w:eastAsia="宋体" w:cs="Times New Roman"/>
                <w:bCs/>
                <w:color w:val="auto"/>
                <w:sz w:val="24"/>
                <w:lang w:eastAsia="zh-CN"/>
              </w:rPr>
              <w:t>一</w:t>
            </w:r>
            <w:r>
              <w:rPr>
                <w:rFonts w:hint="eastAsia" w:ascii="Times New Roman" w:hAnsi="Times New Roman" w:eastAsia="宋体" w:cs="Times New Roman"/>
                <w:bCs/>
                <w:color w:val="auto"/>
                <w:sz w:val="24"/>
                <w:lang w:val="en-US" w:eastAsia="zh-CN"/>
              </w:rPr>
              <w:t>套“过滤棉+双级</w:t>
            </w:r>
            <w:r>
              <w:rPr>
                <w:rFonts w:ascii="Times New Roman" w:hAnsi="Times New Roman" w:eastAsia="宋体" w:cs="Times New Roman"/>
                <w:bCs/>
                <w:color w:val="auto"/>
                <w:sz w:val="24"/>
              </w:rPr>
              <w:t>活性炭</w:t>
            </w:r>
            <w:r>
              <w:rPr>
                <w:rFonts w:hint="eastAsia" w:ascii="Times New Roman" w:hAnsi="Times New Roman" w:eastAsia="宋体" w:cs="Times New Roman"/>
                <w:bCs/>
                <w:color w:val="auto"/>
                <w:sz w:val="24"/>
                <w:lang w:eastAsia="zh-CN"/>
              </w:rPr>
              <w:t>吸附装置”</w:t>
            </w:r>
            <w:r>
              <w:rPr>
                <w:rFonts w:hint="eastAsia" w:ascii="Times New Roman" w:hAnsi="Times New Roman" w:eastAsia="宋体" w:cs="Times New Roman"/>
                <w:bCs/>
                <w:color w:val="auto"/>
                <w:sz w:val="24"/>
                <w:lang w:val="en-US" w:eastAsia="zh-CN"/>
              </w:rPr>
              <w:t>处理</w:t>
            </w:r>
            <w:r>
              <w:rPr>
                <w:rFonts w:ascii="Times New Roman" w:hAnsi="Times New Roman" w:eastAsia="宋体" w:cs="Times New Roman"/>
                <w:bCs/>
                <w:color w:val="auto"/>
                <w:sz w:val="24"/>
              </w:rPr>
              <w:t>后通过15m高的排放筒</w:t>
            </w:r>
            <w:r>
              <w:rPr>
                <w:rFonts w:hint="eastAsia" w:ascii="Times New Roman" w:hAnsi="Times New Roman" w:eastAsia="宋体" w:cs="Times New Roman"/>
                <w:bCs/>
                <w:color w:val="auto"/>
                <w:sz w:val="24"/>
                <w:lang w:val="en-US" w:eastAsia="zh-CN"/>
              </w:rPr>
              <w:t>DA001</w:t>
            </w:r>
            <w:r>
              <w:rPr>
                <w:rFonts w:ascii="Times New Roman" w:hAnsi="Times New Roman" w:eastAsia="宋体" w:cs="Times New Roman"/>
                <w:bCs/>
                <w:color w:val="auto"/>
                <w:sz w:val="24"/>
              </w:rPr>
              <w:t>排放。</w:t>
            </w:r>
            <w:r>
              <w:rPr>
                <w:rFonts w:hint="eastAsia" w:ascii="Times New Roman" w:hAnsi="Times New Roman" w:eastAsia="宋体" w:cs="Times New Roman"/>
                <w:bCs/>
                <w:color w:val="auto"/>
                <w:sz w:val="24"/>
                <w:lang w:eastAsia="zh-CN"/>
              </w:rPr>
              <w:t>项目预处理车间</w:t>
            </w:r>
            <w:r>
              <w:rPr>
                <w:rFonts w:hint="eastAsia" w:ascii="Times New Roman" w:hAnsi="Times New Roman" w:eastAsia="宋体" w:cs="Times New Roman"/>
                <w:bCs/>
                <w:color w:val="auto"/>
                <w:sz w:val="24"/>
                <w:lang w:val="en-US" w:eastAsia="zh-CN"/>
              </w:rPr>
              <w:t>封闭</w:t>
            </w:r>
            <w:r>
              <w:rPr>
                <w:rFonts w:hint="eastAsia" w:ascii="Times New Roman" w:hAnsi="Times New Roman" w:eastAsia="宋体" w:cs="Times New Roman"/>
                <w:bCs/>
                <w:color w:val="auto"/>
                <w:sz w:val="24"/>
                <w:lang w:eastAsia="zh-CN"/>
              </w:rPr>
              <w:t>仅保留进出通道（设置软帘），参考《</w:t>
            </w:r>
            <w:r>
              <w:rPr>
                <w:rFonts w:hint="eastAsia" w:ascii="Times New Roman" w:hAnsi="Times New Roman" w:eastAsia="宋体" w:cs="Times New Roman"/>
                <w:color w:val="auto"/>
                <w:sz w:val="24"/>
                <w:highlight w:val="none"/>
                <w:lang w:val="en-US" w:eastAsia="zh-CN"/>
              </w:rPr>
              <w:t>广东省工业源挥发性有机物减排量核算方法（试行）》，集气效率按80%计。</w:t>
            </w:r>
            <w:r>
              <w:rPr>
                <w:rFonts w:ascii="Times New Roman" w:hAnsi="Times New Roman" w:eastAsia="宋体" w:cs="Times New Roman"/>
                <w:bCs/>
                <w:color w:val="auto"/>
                <w:sz w:val="24"/>
              </w:rPr>
              <w:t>根据《除尘技术手册》，集气罩风量的计算公式如下：</w:t>
            </w:r>
          </w:p>
          <w:p w14:paraId="511847D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Q=3600×S×Up</w:t>
            </w:r>
          </w:p>
          <w:p w14:paraId="5CF4CD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式中：Q—排风量，m</w:t>
            </w:r>
            <w:r>
              <w:rPr>
                <w:rFonts w:hint="eastAsia" w:ascii="Times New Roman" w:hAnsi="Times New Roman" w:eastAsia="宋体" w:cs="Times New Roman"/>
                <w:bCs/>
                <w:color w:val="auto"/>
                <w:sz w:val="24"/>
                <w:vertAlign w:val="superscript"/>
                <w:lang w:val="en-US" w:eastAsia="zh-CN"/>
              </w:rPr>
              <w:t>3</w:t>
            </w:r>
            <w:r>
              <w:rPr>
                <w:rFonts w:ascii="Times New Roman" w:hAnsi="Times New Roman" w:eastAsia="宋体" w:cs="Times New Roman"/>
                <w:bCs/>
                <w:color w:val="auto"/>
                <w:sz w:val="24"/>
              </w:rPr>
              <w:t>/h；</w:t>
            </w:r>
          </w:p>
          <w:p w14:paraId="7934FEC2">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Up—罩口平均风速， (m/s)；</w:t>
            </w:r>
          </w:p>
          <w:p w14:paraId="42997983">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S—罩口面积 (m</w:t>
            </w:r>
            <w:r>
              <w:rPr>
                <w:rFonts w:ascii="Times New Roman" w:hAnsi="Times New Roman" w:eastAsia="宋体" w:cs="Times New Roman"/>
                <w:bCs/>
                <w:color w:val="auto"/>
                <w:sz w:val="24"/>
                <w:vertAlign w:val="superscript"/>
              </w:rPr>
              <w:t>2</w:t>
            </w:r>
            <w:r>
              <w:rPr>
                <w:rFonts w:ascii="Times New Roman" w:hAnsi="Times New Roman" w:eastAsia="宋体" w:cs="Times New Roman"/>
                <w:bCs/>
                <w:color w:val="auto"/>
                <w:sz w:val="24"/>
              </w:rPr>
              <w:t>)</w:t>
            </w:r>
          </w:p>
          <w:p w14:paraId="7FA73BE0">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S=L*B</w:t>
            </w:r>
          </w:p>
          <w:p w14:paraId="70B529B5">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L=LC+0.5h</w:t>
            </w:r>
          </w:p>
          <w:p w14:paraId="13501C61">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B=LB+0.5h</w:t>
            </w:r>
          </w:p>
          <w:p w14:paraId="43E9DB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式中：LC—设备或尘源的长(m)；</w:t>
            </w:r>
          </w:p>
          <w:p w14:paraId="68240262">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LB—设备或尘源的宽(m)；</w:t>
            </w:r>
          </w:p>
          <w:p w14:paraId="43837663">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rPr>
            </w:pPr>
            <w:r>
              <w:rPr>
                <w:rFonts w:ascii="Times New Roman" w:hAnsi="Times New Roman" w:eastAsia="宋体" w:cs="Times New Roman"/>
                <w:bCs/>
                <w:color w:val="auto"/>
                <w:sz w:val="24"/>
              </w:rPr>
              <w:t>h—罩口离设备面的高度(m)；</w:t>
            </w:r>
          </w:p>
          <w:p w14:paraId="2467FE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Cs/>
                <w:color w:val="auto"/>
                <w:sz w:val="24"/>
                <w:lang w:val="en-US" w:eastAsia="zh-CN"/>
              </w:rPr>
              <w:t>根据建设单位提供资料，废油液</w:t>
            </w:r>
            <w:r>
              <w:rPr>
                <w:rFonts w:ascii="Times New Roman" w:hAnsi="Times New Roman" w:eastAsia="宋体" w:cs="Times New Roman"/>
                <w:bCs/>
                <w:color w:val="auto"/>
                <w:sz w:val="24"/>
              </w:rPr>
              <w:t>预处理</w:t>
            </w:r>
            <w:r>
              <w:rPr>
                <w:rFonts w:hint="eastAsia" w:ascii="Times New Roman" w:hAnsi="Times New Roman" w:eastAsia="宋体" w:cs="Times New Roman"/>
                <w:bCs/>
                <w:color w:val="auto"/>
                <w:sz w:val="24"/>
                <w:lang w:val="en-US" w:eastAsia="zh-CN"/>
              </w:rPr>
              <w:t>抽取</w:t>
            </w:r>
            <w:r>
              <w:rPr>
                <w:rFonts w:ascii="Times New Roman" w:hAnsi="Times New Roman" w:eastAsia="宋体" w:cs="Times New Roman"/>
                <w:bCs/>
                <w:color w:val="auto"/>
                <w:sz w:val="24"/>
              </w:rPr>
              <w:t>收集</w:t>
            </w:r>
            <w:r>
              <w:rPr>
                <w:rFonts w:hint="eastAsia" w:ascii="Times New Roman" w:hAnsi="Times New Roman" w:eastAsia="宋体" w:cs="Times New Roman"/>
                <w:bCs/>
                <w:color w:val="auto"/>
                <w:sz w:val="24"/>
                <w:lang w:val="en-US" w:eastAsia="zh-CN"/>
              </w:rPr>
              <w:t>工位</w:t>
            </w:r>
            <w:r>
              <w:rPr>
                <w:rFonts w:ascii="Times New Roman" w:hAnsi="Times New Roman" w:eastAsia="宋体" w:cs="Times New Roman"/>
                <w:bCs/>
                <w:color w:val="auto"/>
                <w:sz w:val="24"/>
              </w:rPr>
              <w:t>平面尺寸为</w:t>
            </w:r>
            <w:r>
              <w:rPr>
                <w:rFonts w:hint="eastAsia" w:ascii="Times New Roman" w:hAnsi="Times New Roman" w:eastAsia="宋体" w:cs="Times New Roman"/>
                <w:bCs/>
                <w:color w:val="auto"/>
                <w:sz w:val="24"/>
                <w:lang w:val="en-US" w:eastAsia="zh-CN"/>
              </w:rPr>
              <w:t>1.5</w:t>
            </w:r>
            <w:r>
              <w:rPr>
                <w:rFonts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1</w:t>
            </w:r>
            <w:r>
              <w:rPr>
                <w:rFonts w:ascii="Times New Roman" w:hAnsi="Times New Roman" w:eastAsia="宋体" w:cs="Times New Roman"/>
                <w:bCs/>
                <w:color w:val="auto"/>
                <w:sz w:val="24"/>
              </w:rPr>
              <w:t>m，</w:t>
            </w:r>
            <w:r>
              <w:rPr>
                <w:rFonts w:hint="eastAsia" w:ascii="Times New Roman" w:hAnsi="Times New Roman" w:eastAsia="宋体" w:cs="Times New Roman"/>
                <w:bCs/>
                <w:color w:val="auto"/>
                <w:sz w:val="24"/>
                <w:lang w:val="en-US" w:eastAsia="zh-CN"/>
              </w:rPr>
              <w:t>废制冷剂</w:t>
            </w:r>
            <w:r>
              <w:rPr>
                <w:rFonts w:ascii="Times New Roman" w:hAnsi="Times New Roman" w:eastAsia="宋体" w:cs="Times New Roman"/>
                <w:bCs/>
                <w:color w:val="auto"/>
                <w:sz w:val="24"/>
              </w:rPr>
              <w:t>预处理</w:t>
            </w:r>
            <w:r>
              <w:rPr>
                <w:rFonts w:hint="eastAsia" w:ascii="Times New Roman" w:hAnsi="Times New Roman" w:eastAsia="宋体" w:cs="Times New Roman"/>
                <w:bCs/>
                <w:color w:val="auto"/>
                <w:sz w:val="24"/>
                <w:lang w:val="en-US" w:eastAsia="zh-CN"/>
              </w:rPr>
              <w:t>抽取</w:t>
            </w:r>
            <w:r>
              <w:rPr>
                <w:rFonts w:ascii="Times New Roman" w:hAnsi="Times New Roman" w:eastAsia="宋体" w:cs="Times New Roman"/>
                <w:bCs/>
                <w:color w:val="auto"/>
                <w:sz w:val="24"/>
              </w:rPr>
              <w:t>收集</w:t>
            </w:r>
            <w:r>
              <w:rPr>
                <w:rFonts w:hint="eastAsia" w:ascii="Times New Roman" w:hAnsi="Times New Roman" w:eastAsia="宋体" w:cs="Times New Roman"/>
                <w:bCs/>
                <w:color w:val="auto"/>
                <w:sz w:val="24"/>
                <w:lang w:val="en-US" w:eastAsia="zh-CN"/>
              </w:rPr>
              <w:t>工位</w:t>
            </w:r>
            <w:r>
              <w:rPr>
                <w:rFonts w:ascii="Times New Roman" w:hAnsi="Times New Roman" w:eastAsia="宋体" w:cs="Times New Roman"/>
                <w:bCs/>
                <w:color w:val="auto"/>
                <w:sz w:val="24"/>
              </w:rPr>
              <w:t>平面尺寸为</w:t>
            </w:r>
            <w:r>
              <w:rPr>
                <w:rFonts w:hint="eastAsia" w:ascii="Times New Roman" w:hAnsi="Times New Roman" w:eastAsia="宋体" w:cs="Times New Roman"/>
                <w:bCs/>
                <w:color w:val="auto"/>
                <w:sz w:val="24"/>
                <w:lang w:val="en-US" w:eastAsia="zh-CN"/>
              </w:rPr>
              <w:t>1.5</w:t>
            </w:r>
            <w:r>
              <w:rPr>
                <w:rFonts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1</w:t>
            </w:r>
            <w:r>
              <w:rPr>
                <w:rFonts w:ascii="Times New Roman" w:hAnsi="Times New Roman" w:eastAsia="宋体" w:cs="Times New Roman"/>
                <w:bCs/>
                <w:color w:val="auto"/>
                <w:sz w:val="24"/>
              </w:rPr>
              <w:t>m，集气罩距污染源高度为0.</w:t>
            </w:r>
            <w:r>
              <w:rPr>
                <w:rFonts w:hint="eastAsia" w:ascii="Times New Roman" w:hAnsi="Times New Roman" w:eastAsia="宋体" w:cs="Times New Roman"/>
                <w:bCs/>
                <w:color w:val="auto"/>
                <w:sz w:val="24"/>
                <w:lang w:val="en-US" w:eastAsia="zh-CN"/>
              </w:rPr>
              <w:t>3</w:t>
            </w:r>
            <w:r>
              <w:rPr>
                <w:rFonts w:ascii="Times New Roman" w:hAnsi="Times New Roman" w:eastAsia="宋体" w:cs="Times New Roman"/>
                <w:bCs/>
                <w:color w:val="auto"/>
                <w:sz w:val="24"/>
              </w:rPr>
              <w:t>m</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罩口风速根据《除尘技术手册》表2-19中液面蒸发，取0.</w:t>
            </w:r>
            <w:r>
              <w:rPr>
                <w:rFonts w:hint="eastAsia" w:ascii="Times New Roman" w:hAnsi="Times New Roman" w:eastAsia="宋体" w:cs="Times New Roman"/>
                <w:bCs/>
                <w:color w:val="auto"/>
                <w:sz w:val="24"/>
                <w:lang w:val="en-US" w:eastAsia="zh-CN"/>
              </w:rPr>
              <w:t>5</w:t>
            </w:r>
            <w:r>
              <w:rPr>
                <w:rFonts w:ascii="Times New Roman" w:hAnsi="Times New Roman" w:eastAsia="宋体" w:cs="Times New Roman"/>
                <w:bCs/>
                <w:color w:val="auto"/>
                <w:sz w:val="24"/>
              </w:rPr>
              <w:t>m/s，则</w:t>
            </w:r>
            <w:r>
              <w:rPr>
                <w:rFonts w:hint="eastAsia" w:ascii="Times New Roman" w:hAnsi="Times New Roman" w:eastAsia="宋体" w:cs="Times New Roman"/>
                <w:bCs/>
                <w:color w:val="auto"/>
                <w:sz w:val="24"/>
                <w:lang w:val="en-US" w:eastAsia="zh-CN"/>
              </w:rPr>
              <w:t>计算得</w:t>
            </w:r>
            <w:r>
              <w:rPr>
                <w:rFonts w:hint="eastAsia" w:ascii="Times New Roman" w:hAnsi="Times New Roman" w:eastAsia="宋体" w:cs="Times New Roman"/>
                <w:bCs/>
                <w:color w:val="auto"/>
                <w:sz w:val="24"/>
                <w:lang w:eastAsia="zh-CN"/>
              </w:rPr>
              <w:t>单个集气罩所需风量约为</w:t>
            </w:r>
            <w:r>
              <w:rPr>
                <w:rFonts w:hint="eastAsia" w:ascii="Times New Roman" w:hAnsi="Times New Roman" w:eastAsia="宋体" w:cs="Times New Roman"/>
                <w:bCs/>
                <w:color w:val="auto"/>
                <w:sz w:val="24"/>
                <w:lang w:val="en-US" w:eastAsia="zh-CN"/>
              </w:rPr>
              <w:t>3415.5m</w:t>
            </w:r>
            <w:r>
              <w:rPr>
                <w:rFonts w:hint="eastAsia" w:ascii="Times New Roman" w:hAnsi="Times New Roman" w:eastAsia="宋体" w:cs="Times New Roman"/>
                <w:bCs/>
                <w:color w:val="auto"/>
                <w:sz w:val="24"/>
                <w:vertAlign w:val="superscript"/>
                <w:lang w:val="en-US" w:eastAsia="zh-CN"/>
              </w:rPr>
              <w:t>3</w:t>
            </w:r>
            <w:r>
              <w:rPr>
                <w:rFonts w:hint="eastAsia" w:ascii="Times New Roman" w:hAnsi="Times New Roman" w:eastAsia="宋体" w:cs="Times New Roman"/>
                <w:bCs/>
                <w:color w:val="auto"/>
                <w:sz w:val="24"/>
                <w:lang w:val="en-US" w:eastAsia="zh-CN"/>
              </w:rPr>
              <w:t>/h，项目预处理废液抽取集气设置2个集气罩所需总风量约为6831m</w:t>
            </w:r>
            <w:r>
              <w:rPr>
                <w:rFonts w:hint="eastAsia" w:ascii="Times New Roman" w:hAnsi="Times New Roman" w:eastAsia="宋体" w:cs="Times New Roman"/>
                <w:bCs/>
                <w:color w:val="auto"/>
                <w:sz w:val="24"/>
                <w:vertAlign w:val="superscript"/>
                <w:lang w:val="en-US" w:eastAsia="zh-CN"/>
              </w:rPr>
              <w:t>3</w:t>
            </w:r>
            <w:r>
              <w:rPr>
                <w:rFonts w:hint="eastAsia" w:ascii="Times New Roman" w:hAnsi="Times New Roman" w:eastAsia="宋体" w:cs="Times New Roman"/>
                <w:bCs/>
                <w:color w:val="auto"/>
                <w:sz w:val="24"/>
                <w:lang w:val="en-US" w:eastAsia="zh-CN"/>
              </w:rPr>
              <w:t>/h</w:t>
            </w:r>
            <w:r>
              <w:rPr>
                <w:rFonts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考虑风阻等因素，</w:t>
            </w:r>
            <w:r>
              <w:rPr>
                <w:rFonts w:ascii="Times New Roman" w:hAnsi="Times New Roman" w:eastAsia="宋体" w:cs="Times New Roman"/>
                <w:bCs/>
                <w:color w:val="auto"/>
                <w:sz w:val="24"/>
              </w:rPr>
              <w:t>配套集气</w:t>
            </w:r>
            <w:r>
              <w:rPr>
                <w:rFonts w:hint="eastAsia" w:ascii="Times New Roman" w:hAnsi="Times New Roman" w:eastAsia="宋体" w:cs="Times New Roman"/>
                <w:bCs/>
                <w:color w:val="auto"/>
                <w:sz w:val="24"/>
                <w:lang w:val="en-US" w:eastAsia="zh-CN"/>
              </w:rPr>
              <w:t>引风机</w:t>
            </w:r>
            <w:r>
              <w:rPr>
                <w:rFonts w:ascii="Times New Roman" w:hAnsi="Times New Roman" w:eastAsia="宋体" w:cs="Times New Roman"/>
                <w:bCs/>
                <w:color w:val="auto"/>
                <w:sz w:val="24"/>
              </w:rPr>
              <w:t>风量</w:t>
            </w:r>
            <w:r>
              <w:rPr>
                <w:rFonts w:hint="eastAsia" w:ascii="Times New Roman" w:hAnsi="Times New Roman" w:eastAsia="宋体" w:cs="Times New Roman"/>
                <w:bCs/>
                <w:color w:val="auto"/>
                <w:sz w:val="24"/>
                <w:lang w:val="en-US" w:eastAsia="zh-CN"/>
              </w:rPr>
              <w:t>按7000</w:t>
            </w:r>
            <w:r>
              <w:rPr>
                <w:rFonts w:ascii="Times New Roman" w:hAnsi="Times New Roman" w:eastAsia="宋体" w:cs="Times New Roman"/>
                <w:bCs/>
                <w:color w:val="auto"/>
                <w:sz w:val="24"/>
              </w:rPr>
              <w:t>m</w:t>
            </w:r>
            <w:r>
              <w:rPr>
                <w:rFonts w:ascii="Times New Roman" w:hAnsi="Times New Roman" w:eastAsia="宋体" w:cs="Times New Roman"/>
                <w:bCs/>
                <w:color w:val="auto"/>
                <w:sz w:val="24"/>
                <w:vertAlign w:val="superscript"/>
              </w:rPr>
              <w:t>3</w:t>
            </w:r>
            <w:r>
              <w:rPr>
                <w:rFonts w:ascii="Times New Roman" w:hAnsi="Times New Roman" w:eastAsia="宋体" w:cs="Times New Roman"/>
                <w:bCs/>
                <w:color w:val="auto"/>
                <w:sz w:val="24"/>
              </w:rPr>
              <w:t>/h</w:t>
            </w:r>
            <w:r>
              <w:rPr>
                <w:rFonts w:hint="eastAsia" w:ascii="Times New Roman" w:hAnsi="Times New Roman" w:eastAsia="宋体" w:cs="Times New Roman"/>
                <w:bCs/>
                <w:color w:val="auto"/>
                <w:sz w:val="24"/>
                <w:lang w:val="en-US" w:eastAsia="zh-CN"/>
              </w:rPr>
              <w:t>计</w:t>
            </w:r>
            <w:r>
              <w:rPr>
                <w:rFonts w:ascii="Times New Roman" w:hAnsi="Times New Roman" w:eastAsia="宋体" w:cs="Times New Roman"/>
                <w:bCs/>
                <w:color w:val="auto"/>
                <w:sz w:val="24"/>
              </w:rPr>
              <w:t>。收集的废气经</w:t>
            </w:r>
            <w:r>
              <w:rPr>
                <w:rFonts w:hint="eastAsia" w:ascii="Times New Roman" w:hAnsi="Times New Roman" w:eastAsia="宋体" w:cs="Times New Roman"/>
                <w:bCs/>
                <w:color w:val="auto"/>
                <w:sz w:val="24"/>
                <w:lang w:val="en-US" w:eastAsia="zh-CN"/>
              </w:rPr>
              <w:t>一套双级活性炭吸附装置处理后，</w:t>
            </w:r>
            <w:r>
              <w:rPr>
                <w:rFonts w:ascii="Times New Roman" w:hAnsi="Times New Roman" w:eastAsia="宋体" w:cs="Times New Roman"/>
                <w:bCs/>
                <w:color w:val="auto"/>
                <w:sz w:val="24"/>
              </w:rPr>
              <w:t>通过15m高的排放筒排放。</w:t>
            </w:r>
            <w:r>
              <w:rPr>
                <w:rFonts w:hint="eastAsia" w:ascii="Times New Roman" w:hAnsi="Times New Roman" w:eastAsia="宋体" w:cs="Times New Roman"/>
                <w:bCs/>
                <w:color w:val="auto"/>
                <w:sz w:val="24"/>
                <w:lang w:val="en-US" w:eastAsia="zh-CN"/>
              </w:rPr>
              <w:t>为防止活性炭因吸附油气粘黏影响吸附效果，项目拟在双级活性炭吸附装置前加设过滤棉过滤。参考</w:t>
            </w:r>
            <w:r>
              <w:rPr>
                <w:rFonts w:hint="default" w:ascii="Times New Roman" w:hAnsi="Times New Roman" w:cs="Times New Roman"/>
                <w:color w:val="auto"/>
                <w:spacing w:val="0"/>
                <w:sz w:val="24"/>
              </w:rPr>
              <w:t>《吸附法工业治理工程技术规范(HJ2026-2013)》要求，采用吸附装置的净化效率不得低于90%</w:t>
            </w:r>
            <w:r>
              <w:rPr>
                <w:rFonts w:hint="eastAsia" w:ascii="Times New Roman" w:hAnsi="Times New Roman" w:cs="Times New Roman"/>
                <w:color w:val="auto"/>
                <w:spacing w:val="0"/>
                <w:sz w:val="24"/>
                <w:lang w:eastAsia="zh-CN"/>
              </w:rPr>
              <w:t>，项目</w:t>
            </w:r>
            <w:r>
              <w:rPr>
                <w:rFonts w:hint="eastAsia" w:ascii="Times New Roman" w:hAnsi="Times New Roman" w:cs="Times New Roman"/>
                <w:color w:val="auto"/>
                <w:spacing w:val="0"/>
                <w:sz w:val="24"/>
                <w:lang w:val="en-US" w:eastAsia="zh-CN"/>
              </w:rPr>
              <w:t>拟</w:t>
            </w:r>
            <w:r>
              <w:rPr>
                <w:rFonts w:hint="eastAsia" w:ascii="Times New Roman" w:hAnsi="Times New Roman" w:cs="Times New Roman"/>
                <w:color w:val="auto"/>
                <w:spacing w:val="0"/>
                <w:sz w:val="24"/>
                <w:lang w:eastAsia="zh-CN"/>
              </w:rPr>
              <w:t>选用碘值不低于800毫克/克的</w:t>
            </w:r>
            <w:r>
              <w:rPr>
                <w:rFonts w:hint="eastAsia" w:ascii="Times New Roman" w:hAnsi="Times New Roman" w:cs="Times New Roman"/>
                <w:color w:val="auto"/>
                <w:spacing w:val="0"/>
                <w:sz w:val="24"/>
                <w:lang w:val="en-US" w:eastAsia="zh-CN"/>
              </w:rPr>
              <w:t>颗粒</w:t>
            </w:r>
            <w:r>
              <w:rPr>
                <w:rFonts w:hint="eastAsia" w:ascii="Times New Roman" w:hAnsi="Times New Roman" w:cs="Times New Roman"/>
                <w:color w:val="auto"/>
                <w:spacing w:val="0"/>
                <w:sz w:val="24"/>
                <w:lang w:eastAsia="zh-CN"/>
              </w:rPr>
              <w:t>活性炭，并按设计要求足量添加、及时更换，“</w:t>
            </w:r>
            <w:r>
              <w:rPr>
                <w:rFonts w:hint="eastAsia" w:ascii="Times New Roman" w:hAnsi="Times New Roman" w:cs="Times New Roman"/>
                <w:color w:val="auto"/>
                <w:spacing w:val="0"/>
                <w:sz w:val="24"/>
                <w:lang w:val="en-US" w:eastAsia="zh-CN"/>
              </w:rPr>
              <w:t>过滤棉+双级活性炭装置</w:t>
            </w:r>
            <w:r>
              <w:rPr>
                <w:rFonts w:hint="eastAsia" w:ascii="Times New Roman" w:hAnsi="Times New Roman" w:cs="Times New Roman"/>
                <w:color w:val="auto"/>
                <w:spacing w:val="0"/>
                <w:sz w:val="24"/>
                <w:lang w:eastAsia="zh-CN"/>
              </w:rPr>
              <w:t>”</w:t>
            </w:r>
            <w:r>
              <w:rPr>
                <w:rFonts w:hint="eastAsia" w:ascii="Times New Roman" w:hAnsi="Times New Roman" w:cs="Times New Roman"/>
                <w:color w:val="auto"/>
                <w:spacing w:val="0"/>
                <w:sz w:val="24"/>
                <w:lang w:val="en-US" w:eastAsia="zh-CN"/>
              </w:rPr>
              <w:t>对非甲烷总烃的去除效率按90%计算，</w:t>
            </w:r>
            <w:r>
              <w:rPr>
                <w:rFonts w:hint="eastAsia" w:ascii="Times New Roman" w:hAnsi="Times New Roman" w:cs="Times New Roman"/>
                <w:color w:val="auto"/>
                <w:sz w:val="24"/>
                <w:szCs w:val="24"/>
                <w:lang w:val="en-US" w:eastAsia="zh-CN"/>
              </w:rPr>
              <w:t>项目有机废气产生及排放源强详见表4.2-1。</w:t>
            </w:r>
          </w:p>
          <w:p w14:paraId="409633E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（2）废变压器油抽取废气</w:t>
            </w:r>
          </w:p>
          <w:p w14:paraId="137F32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本项目</w:t>
            </w:r>
            <w:r>
              <w:rPr>
                <w:rFonts w:hint="eastAsia" w:ascii="Times New Roman" w:hAnsi="Times New Roman" w:eastAsia="宋体" w:cs="Times New Roman"/>
                <w:bCs/>
                <w:color w:val="auto"/>
                <w:sz w:val="24"/>
                <w:lang w:eastAsia="zh-CN"/>
              </w:rPr>
              <w:t>废变压器放油过程中废变压器油会形成少量的挥发性有机废气排放，以非甲烷总烃计。参照</w:t>
            </w:r>
            <w:r>
              <w:rPr>
                <w:rFonts w:hint="eastAsia" w:ascii="Times New Roman" w:hAnsi="Times New Roman" w:eastAsia="宋体" w:cs="Times New Roman"/>
                <w:color w:val="auto"/>
                <w:sz w:val="24"/>
                <w:highlight w:val="none"/>
                <w:u w:val="none"/>
                <w:lang w:val="en-US" w:eastAsia="zh-CN"/>
              </w:rPr>
              <w:t>《散装液态石油产品损耗》(GB11085-89)中其他油的灌桶损耗率0.01%及最大输转损耗率0.01%，总损耗量约为0.02%，本评价保守按0.05%计</w:t>
            </w:r>
            <w:r>
              <w:rPr>
                <w:rFonts w:hint="eastAsia" w:ascii="Times New Roman" w:hAnsi="Times New Roman" w:eastAsia="宋体" w:cs="Times New Roman"/>
                <w:bCs/>
                <w:color w:val="auto"/>
                <w:sz w:val="24"/>
                <w:lang w:eastAsia="zh-CN"/>
              </w:rPr>
              <w:t>，根据前文资料分析，项目废变压器油产生量约为</w:t>
            </w:r>
            <w:r>
              <w:rPr>
                <w:rFonts w:hint="eastAsia" w:ascii="Times New Roman" w:hAnsi="Times New Roman" w:eastAsia="宋体" w:cs="Times New Roman"/>
                <w:bCs/>
                <w:color w:val="auto"/>
                <w:sz w:val="24"/>
                <w:lang w:val="en-US" w:eastAsia="zh-CN"/>
              </w:rPr>
              <w:t>930</w:t>
            </w:r>
            <w:r>
              <w:rPr>
                <w:rFonts w:hint="eastAsia" w:ascii="Times New Roman" w:hAnsi="Times New Roman" w:eastAsia="宋体" w:cs="Times New Roman"/>
                <w:bCs/>
                <w:color w:val="auto"/>
                <w:sz w:val="24"/>
                <w:lang w:eastAsia="zh-CN"/>
              </w:rPr>
              <w:t>t/a，则废变压器油抽取过程中非甲烷总烃产生量约为</w:t>
            </w:r>
            <w:r>
              <w:rPr>
                <w:rFonts w:hint="eastAsia" w:ascii="Times New Roman" w:hAnsi="Times New Roman" w:eastAsia="宋体" w:cs="Times New Roman"/>
                <w:bCs/>
                <w:color w:val="auto"/>
                <w:sz w:val="24"/>
                <w:lang w:val="en-US" w:eastAsia="zh-CN"/>
              </w:rPr>
              <w:t>0.465</w:t>
            </w:r>
            <w:r>
              <w:rPr>
                <w:rFonts w:hint="eastAsia" w:ascii="Times New Roman" w:hAnsi="Times New Roman" w:eastAsia="宋体" w:cs="Times New Roman"/>
                <w:bCs/>
                <w:color w:val="auto"/>
                <w:sz w:val="24"/>
                <w:lang w:eastAsia="zh-CN"/>
              </w:rPr>
              <w:t>t/a，项目废变压器油抽取日工作时长约为</w:t>
            </w:r>
            <w:r>
              <w:rPr>
                <w:rFonts w:hint="eastAsia" w:ascii="Times New Roman" w:hAnsi="Times New Roman" w:eastAsia="宋体" w:cs="Times New Roman"/>
                <w:bCs/>
                <w:color w:val="auto"/>
                <w:sz w:val="24"/>
                <w:lang w:val="en-US" w:eastAsia="zh-CN"/>
              </w:rPr>
              <w:t>4h，年平均工作时长约为1200h。</w:t>
            </w:r>
          </w:p>
          <w:p w14:paraId="5105C3F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val="0"/>
                <w:color w:val="auto"/>
                <w:sz w:val="24"/>
                <w:lang w:eastAsia="zh-CN"/>
              </w:rPr>
            </w:pPr>
            <w:r>
              <w:rPr>
                <w:rFonts w:hint="eastAsia" w:ascii="Times New Roman" w:hAnsi="Times New Roman" w:eastAsia="宋体" w:cs="Times New Roman"/>
                <w:b/>
                <w:bCs w:val="0"/>
                <w:color w:val="auto"/>
                <w:sz w:val="24"/>
                <w:lang w:eastAsia="zh-CN"/>
              </w:rPr>
              <w:t>收集及处理方式：</w:t>
            </w:r>
          </w:p>
          <w:p w14:paraId="2928F8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本项目废变压器油抽取设置固定收集</w:t>
            </w:r>
            <w:r>
              <w:rPr>
                <w:rFonts w:hint="eastAsia" w:ascii="Times New Roman" w:hAnsi="Times New Roman" w:eastAsia="宋体" w:cs="Times New Roman"/>
                <w:bCs/>
                <w:color w:val="auto"/>
                <w:sz w:val="24"/>
                <w:lang w:val="en-US" w:eastAsia="zh-CN"/>
              </w:rPr>
              <w:t>工位</w:t>
            </w:r>
            <w:r>
              <w:rPr>
                <w:rFonts w:hint="eastAsia" w:ascii="Times New Roman" w:hAnsi="Times New Roman" w:eastAsia="宋体" w:cs="Times New Roman"/>
                <w:bCs/>
                <w:color w:val="auto"/>
                <w:sz w:val="24"/>
                <w:lang w:eastAsia="zh-CN"/>
              </w:rPr>
              <w:t>，拟在收集</w:t>
            </w:r>
            <w:r>
              <w:rPr>
                <w:rFonts w:hint="eastAsia" w:ascii="Times New Roman" w:hAnsi="Times New Roman" w:eastAsia="宋体" w:cs="Times New Roman"/>
                <w:bCs/>
                <w:color w:val="auto"/>
                <w:sz w:val="24"/>
                <w:lang w:val="en-US" w:eastAsia="zh-CN"/>
              </w:rPr>
              <w:t>工位</w:t>
            </w:r>
            <w:r>
              <w:rPr>
                <w:rFonts w:ascii="Times New Roman" w:hAnsi="Times New Roman" w:eastAsia="宋体" w:cs="Times New Roman"/>
                <w:bCs/>
                <w:color w:val="auto"/>
                <w:sz w:val="24"/>
              </w:rPr>
              <w:t>设置</w:t>
            </w:r>
            <w:r>
              <w:rPr>
                <w:rFonts w:hint="eastAsia" w:ascii="Times New Roman" w:hAnsi="Times New Roman" w:eastAsia="宋体" w:cs="Times New Roman"/>
                <w:bCs/>
                <w:color w:val="auto"/>
                <w:sz w:val="24"/>
                <w:lang w:val="en-US" w:eastAsia="zh-CN"/>
              </w:rPr>
              <w:t>1个</w:t>
            </w:r>
            <w:r>
              <w:rPr>
                <w:rFonts w:ascii="Times New Roman" w:hAnsi="Times New Roman" w:eastAsia="宋体" w:cs="Times New Roman"/>
                <w:bCs/>
                <w:color w:val="auto"/>
                <w:sz w:val="24"/>
              </w:rPr>
              <w:t>顶吸罩，将</w:t>
            </w:r>
            <w:r>
              <w:rPr>
                <w:rFonts w:hint="eastAsia" w:ascii="Times New Roman" w:hAnsi="Times New Roman" w:eastAsia="宋体" w:cs="Times New Roman"/>
                <w:bCs/>
                <w:color w:val="auto"/>
                <w:sz w:val="24"/>
                <w:lang w:eastAsia="zh-CN"/>
              </w:rPr>
              <w:t>废变压器油抽取过程中产生的有机废气收集经一台活性炭吸附装置处理后通过</w:t>
            </w:r>
            <w:r>
              <w:rPr>
                <w:rFonts w:ascii="Times New Roman" w:hAnsi="Times New Roman" w:eastAsia="宋体" w:cs="Times New Roman"/>
                <w:bCs/>
                <w:color w:val="auto"/>
                <w:sz w:val="24"/>
              </w:rPr>
              <w:t>15m高的排放筒</w:t>
            </w:r>
            <w:r>
              <w:rPr>
                <w:rFonts w:hint="eastAsia" w:ascii="Times New Roman" w:hAnsi="Times New Roman" w:eastAsia="宋体" w:cs="Times New Roman"/>
                <w:bCs/>
                <w:color w:val="auto"/>
                <w:sz w:val="24"/>
                <w:lang w:val="en-US" w:eastAsia="zh-CN"/>
              </w:rPr>
              <w:t>DA002</w:t>
            </w:r>
            <w:r>
              <w:rPr>
                <w:rFonts w:ascii="Times New Roman" w:hAnsi="Times New Roman" w:eastAsia="宋体" w:cs="Times New Roman"/>
                <w:bCs/>
                <w:color w:val="auto"/>
                <w:sz w:val="24"/>
              </w:rPr>
              <w:t>排放。</w:t>
            </w:r>
            <w:r>
              <w:rPr>
                <w:rFonts w:hint="eastAsia" w:ascii="Times New Roman" w:hAnsi="Times New Roman" w:eastAsia="宋体" w:cs="Times New Roman"/>
                <w:bCs/>
                <w:color w:val="auto"/>
                <w:sz w:val="24"/>
                <w:lang w:eastAsia="zh-CN"/>
              </w:rPr>
              <w:t>项目废变压器油抽取位于变压器拆解车间内，仅保留进出通道（设置软帘），参考《</w:t>
            </w:r>
            <w:r>
              <w:rPr>
                <w:rFonts w:hint="eastAsia" w:ascii="Times New Roman" w:hAnsi="Times New Roman" w:eastAsia="宋体" w:cs="Times New Roman"/>
                <w:color w:val="auto"/>
                <w:sz w:val="24"/>
                <w:highlight w:val="none"/>
                <w:lang w:val="en-US" w:eastAsia="zh-CN"/>
              </w:rPr>
              <w:t>广东省工业源挥发性有机物减排量核算方法（试行）》，集气效率按80%计。</w:t>
            </w:r>
          </w:p>
          <w:p w14:paraId="70FA0F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pacing w:val="0"/>
                <w:sz w:val="24"/>
                <w:lang w:val="en-US" w:eastAsia="zh-CN"/>
              </w:rPr>
            </w:pPr>
            <w:r>
              <w:rPr>
                <w:rFonts w:hint="eastAsia" w:ascii="Times New Roman" w:hAnsi="Times New Roman" w:eastAsia="宋体" w:cs="Times New Roman"/>
                <w:bCs/>
                <w:color w:val="auto"/>
                <w:sz w:val="24"/>
                <w:lang w:val="en-US" w:eastAsia="zh-CN"/>
              </w:rPr>
              <w:t>根据建设单位提供资料，废变压器油液抽取</w:t>
            </w:r>
            <w:r>
              <w:rPr>
                <w:rFonts w:ascii="Times New Roman" w:hAnsi="Times New Roman" w:eastAsia="宋体" w:cs="Times New Roman"/>
                <w:bCs/>
                <w:color w:val="auto"/>
                <w:sz w:val="24"/>
              </w:rPr>
              <w:t>收集</w:t>
            </w:r>
            <w:r>
              <w:rPr>
                <w:rFonts w:hint="eastAsia" w:ascii="Times New Roman" w:hAnsi="Times New Roman" w:eastAsia="宋体" w:cs="Times New Roman"/>
                <w:bCs/>
                <w:color w:val="auto"/>
                <w:sz w:val="24"/>
                <w:lang w:val="en-US" w:eastAsia="zh-CN"/>
              </w:rPr>
              <w:t>工位</w:t>
            </w:r>
            <w:r>
              <w:rPr>
                <w:rFonts w:ascii="Times New Roman" w:hAnsi="Times New Roman" w:eastAsia="宋体" w:cs="Times New Roman"/>
                <w:bCs/>
                <w:color w:val="auto"/>
                <w:sz w:val="24"/>
              </w:rPr>
              <w:t>尺寸为</w:t>
            </w:r>
            <w:r>
              <w:rPr>
                <w:rFonts w:hint="eastAsia" w:ascii="Times New Roman" w:hAnsi="Times New Roman" w:eastAsia="宋体" w:cs="Times New Roman"/>
                <w:bCs/>
                <w:color w:val="auto"/>
                <w:sz w:val="24"/>
                <w:lang w:val="en-US" w:eastAsia="zh-CN"/>
              </w:rPr>
              <w:t>1.0</w:t>
            </w:r>
            <w:r>
              <w:rPr>
                <w:rFonts w:ascii="Times New Roman" w:hAnsi="Times New Roman" w:eastAsia="宋体" w:cs="Times New Roman"/>
                <w:bCs/>
                <w:color w:val="auto"/>
                <w:sz w:val="24"/>
              </w:rPr>
              <w:t>×1.</w:t>
            </w:r>
            <w:r>
              <w:rPr>
                <w:rFonts w:hint="eastAsia" w:ascii="Times New Roman" w:hAnsi="Times New Roman" w:eastAsia="宋体" w:cs="Times New Roman"/>
                <w:bCs/>
                <w:color w:val="auto"/>
                <w:sz w:val="24"/>
                <w:lang w:val="en-US" w:eastAsia="zh-CN"/>
              </w:rPr>
              <w:t>0</w:t>
            </w:r>
            <w:r>
              <w:rPr>
                <w:rFonts w:ascii="Times New Roman" w:hAnsi="Times New Roman" w:eastAsia="宋体" w:cs="Times New Roman"/>
                <w:bCs/>
                <w:color w:val="auto"/>
                <w:sz w:val="24"/>
              </w:rPr>
              <w:t>m，集气罩距污染源高度为0.</w:t>
            </w:r>
            <w:r>
              <w:rPr>
                <w:rFonts w:hint="eastAsia" w:ascii="Times New Roman" w:hAnsi="Times New Roman" w:eastAsia="宋体" w:cs="Times New Roman"/>
                <w:bCs/>
                <w:color w:val="auto"/>
                <w:sz w:val="24"/>
                <w:lang w:val="en-US" w:eastAsia="zh-CN"/>
              </w:rPr>
              <w:t>3</w:t>
            </w:r>
            <w:r>
              <w:rPr>
                <w:rFonts w:ascii="Times New Roman" w:hAnsi="Times New Roman" w:eastAsia="宋体" w:cs="Times New Roman"/>
                <w:bCs/>
                <w:color w:val="auto"/>
                <w:sz w:val="24"/>
              </w:rPr>
              <w:t>m</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罩口风速取0.</w:t>
            </w:r>
            <w:r>
              <w:rPr>
                <w:rFonts w:hint="eastAsia" w:ascii="Times New Roman" w:hAnsi="Times New Roman" w:eastAsia="宋体" w:cs="Times New Roman"/>
                <w:bCs/>
                <w:color w:val="auto"/>
                <w:sz w:val="24"/>
                <w:lang w:val="en-US" w:eastAsia="zh-CN"/>
              </w:rPr>
              <w:t>5</w:t>
            </w:r>
            <w:r>
              <w:rPr>
                <w:rFonts w:ascii="Times New Roman" w:hAnsi="Times New Roman" w:eastAsia="宋体" w:cs="Times New Roman"/>
                <w:bCs/>
                <w:color w:val="auto"/>
                <w:sz w:val="24"/>
              </w:rPr>
              <w:t>m/s，根据《除尘技术手册》</w:t>
            </w:r>
            <w:r>
              <w:rPr>
                <w:rFonts w:hint="eastAsia" w:ascii="Times New Roman" w:hAnsi="Times New Roman" w:eastAsia="宋体" w:cs="Times New Roman"/>
                <w:bCs/>
                <w:color w:val="auto"/>
                <w:sz w:val="24"/>
                <w:lang w:eastAsia="zh-CN"/>
              </w:rPr>
              <w:t>计算公式计算，废变压器油液抽取配套集气罩所需风量约为</w:t>
            </w:r>
            <w:r>
              <w:rPr>
                <w:rFonts w:hint="eastAsia" w:ascii="Times New Roman" w:hAnsi="Times New Roman" w:eastAsia="宋体" w:cs="Times New Roman"/>
                <w:bCs/>
                <w:color w:val="auto"/>
                <w:sz w:val="24"/>
                <w:lang w:val="en-US" w:eastAsia="zh-CN"/>
              </w:rPr>
              <w:t>2380.5m</w:t>
            </w:r>
            <w:r>
              <w:rPr>
                <w:rFonts w:hint="eastAsia" w:ascii="Times New Roman" w:hAnsi="Times New Roman" w:eastAsia="宋体" w:cs="Times New Roman"/>
                <w:bCs/>
                <w:color w:val="auto"/>
                <w:sz w:val="24"/>
                <w:vertAlign w:val="superscript"/>
                <w:lang w:val="en-US" w:eastAsia="zh-CN"/>
              </w:rPr>
              <w:t>3</w:t>
            </w:r>
            <w:r>
              <w:rPr>
                <w:rFonts w:hint="eastAsia" w:ascii="Times New Roman" w:hAnsi="Times New Roman" w:eastAsia="宋体" w:cs="Times New Roman"/>
                <w:bCs/>
                <w:color w:val="auto"/>
                <w:sz w:val="24"/>
                <w:lang w:val="en-US" w:eastAsia="zh-CN"/>
              </w:rPr>
              <w:t>/h，考虑风阻等因素，</w:t>
            </w:r>
            <w:r>
              <w:rPr>
                <w:rFonts w:ascii="Times New Roman" w:hAnsi="Times New Roman" w:eastAsia="宋体" w:cs="Times New Roman"/>
                <w:bCs/>
                <w:color w:val="auto"/>
                <w:sz w:val="24"/>
              </w:rPr>
              <w:t>配套集气</w:t>
            </w:r>
            <w:r>
              <w:rPr>
                <w:rFonts w:hint="eastAsia" w:ascii="Times New Roman" w:hAnsi="Times New Roman" w:eastAsia="宋体" w:cs="Times New Roman"/>
                <w:bCs/>
                <w:color w:val="auto"/>
                <w:sz w:val="24"/>
                <w:lang w:val="en-US" w:eastAsia="zh-CN"/>
              </w:rPr>
              <w:t>引风机</w:t>
            </w:r>
            <w:r>
              <w:rPr>
                <w:rFonts w:ascii="Times New Roman" w:hAnsi="Times New Roman" w:eastAsia="宋体" w:cs="Times New Roman"/>
                <w:bCs/>
                <w:color w:val="auto"/>
                <w:sz w:val="24"/>
              </w:rPr>
              <w:t>风量</w:t>
            </w:r>
            <w:r>
              <w:rPr>
                <w:rFonts w:hint="eastAsia" w:ascii="Times New Roman" w:hAnsi="Times New Roman" w:eastAsia="宋体" w:cs="Times New Roman"/>
                <w:bCs/>
                <w:color w:val="auto"/>
                <w:sz w:val="24"/>
                <w:lang w:val="en-US" w:eastAsia="zh-CN"/>
              </w:rPr>
              <w:t>按3000</w:t>
            </w:r>
            <w:r>
              <w:rPr>
                <w:rFonts w:ascii="Times New Roman" w:hAnsi="Times New Roman" w:eastAsia="宋体" w:cs="Times New Roman"/>
                <w:bCs/>
                <w:color w:val="auto"/>
                <w:sz w:val="24"/>
              </w:rPr>
              <w:t>m</w:t>
            </w:r>
            <w:r>
              <w:rPr>
                <w:rFonts w:ascii="Times New Roman" w:hAnsi="Times New Roman" w:eastAsia="宋体" w:cs="Times New Roman"/>
                <w:bCs/>
                <w:color w:val="auto"/>
                <w:sz w:val="24"/>
                <w:vertAlign w:val="superscript"/>
              </w:rPr>
              <w:t>3</w:t>
            </w:r>
            <w:r>
              <w:rPr>
                <w:rFonts w:ascii="Times New Roman" w:hAnsi="Times New Roman" w:eastAsia="宋体" w:cs="Times New Roman"/>
                <w:bCs/>
                <w:color w:val="auto"/>
                <w:sz w:val="24"/>
              </w:rPr>
              <w:t>/h。收集的废气经</w:t>
            </w:r>
            <w:r>
              <w:rPr>
                <w:rFonts w:hint="eastAsia" w:ascii="Times New Roman" w:hAnsi="Times New Roman" w:eastAsia="宋体" w:cs="Times New Roman"/>
                <w:bCs/>
                <w:color w:val="auto"/>
                <w:sz w:val="24"/>
                <w:lang w:eastAsia="zh-CN"/>
              </w:rPr>
              <w:t>一</w:t>
            </w:r>
            <w:r>
              <w:rPr>
                <w:rFonts w:hint="eastAsia" w:ascii="Times New Roman" w:hAnsi="Times New Roman" w:eastAsia="宋体" w:cs="Times New Roman"/>
                <w:bCs/>
                <w:color w:val="auto"/>
                <w:sz w:val="24"/>
                <w:lang w:val="en-US" w:eastAsia="zh-CN"/>
              </w:rPr>
              <w:t>套“过滤棉+双级</w:t>
            </w:r>
            <w:r>
              <w:rPr>
                <w:rFonts w:hint="eastAsia" w:ascii="Times New Roman" w:hAnsi="Times New Roman" w:eastAsia="宋体" w:cs="Times New Roman"/>
                <w:bCs/>
                <w:color w:val="auto"/>
                <w:sz w:val="24"/>
                <w:lang w:eastAsia="zh-CN"/>
              </w:rPr>
              <w:t>活性炭吸附装置”处理</w:t>
            </w:r>
            <w:r>
              <w:rPr>
                <w:rFonts w:ascii="Times New Roman" w:hAnsi="Times New Roman" w:eastAsia="宋体" w:cs="Times New Roman"/>
                <w:bCs/>
                <w:color w:val="auto"/>
                <w:sz w:val="24"/>
              </w:rPr>
              <w:t>后通过15m高的排放筒</w:t>
            </w:r>
            <w:r>
              <w:rPr>
                <w:rFonts w:hint="eastAsia" w:ascii="Times New Roman" w:hAnsi="Times New Roman" w:eastAsia="宋体" w:cs="Times New Roman"/>
                <w:bCs/>
                <w:color w:val="auto"/>
                <w:sz w:val="24"/>
                <w:lang w:val="en-US" w:eastAsia="zh-CN"/>
              </w:rPr>
              <w:t>DA002</w:t>
            </w:r>
            <w:r>
              <w:rPr>
                <w:rFonts w:ascii="Times New Roman" w:hAnsi="Times New Roman" w:eastAsia="宋体" w:cs="Times New Roman"/>
                <w:bCs/>
                <w:color w:val="auto"/>
                <w:sz w:val="24"/>
              </w:rPr>
              <w:t>排放</w:t>
            </w:r>
            <w:r>
              <w:rPr>
                <w:rFonts w:hint="default" w:ascii="Times New Roman" w:hAnsi="Times New Roman" w:cs="Times New Roman"/>
                <w:color w:val="auto"/>
                <w:spacing w:val="0"/>
                <w:sz w:val="24"/>
              </w:rPr>
              <w:t>，</w:t>
            </w:r>
            <w:r>
              <w:rPr>
                <w:rFonts w:hint="eastAsia" w:ascii="Times New Roman" w:hAnsi="Times New Roman" w:cs="Times New Roman"/>
                <w:color w:val="auto"/>
                <w:spacing w:val="0"/>
                <w:sz w:val="24"/>
                <w:lang w:eastAsia="zh-CN"/>
              </w:rPr>
              <w:t>“</w:t>
            </w:r>
            <w:r>
              <w:rPr>
                <w:rFonts w:hint="eastAsia" w:ascii="Times New Roman" w:hAnsi="Times New Roman" w:cs="Times New Roman"/>
                <w:color w:val="auto"/>
                <w:spacing w:val="0"/>
                <w:sz w:val="24"/>
                <w:lang w:val="en-US" w:eastAsia="zh-CN"/>
              </w:rPr>
              <w:t>过滤棉+双级活性炭装置</w:t>
            </w:r>
            <w:r>
              <w:rPr>
                <w:rFonts w:hint="eastAsia" w:ascii="Times New Roman" w:hAnsi="Times New Roman" w:cs="Times New Roman"/>
                <w:color w:val="auto"/>
                <w:spacing w:val="0"/>
                <w:sz w:val="24"/>
                <w:lang w:eastAsia="zh-CN"/>
              </w:rPr>
              <w:t>”</w:t>
            </w:r>
            <w:r>
              <w:rPr>
                <w:rFonts w:hint="eastAsia" w:ascii="Times New Roman" w:hAnsi="Times New Roman" w:cs="Times New Roman"/>
                <w:color w:val="auto"/>
                <w:spacing w:val="0"/>
                <w:sz w:val="24"/>
                <w:lang w:val="en-US" w:eastAsia="zh-CN"/>
              </w:rPr>
              <w:t>对非甲烷总烃的去除效率按90%计算。</w:t>
            </w:r>
          </w:p>
          <w:p w14:paraId="16104F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项目废气污染源源强核算结果及相关参数一览表4.</w:t>
            </w: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w:t>
            </w:r>
            <w:r>
              <w:rPr>
                <w:rFonts w:hint="eastAsia"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lang w:val="en-US" w:eastAsia="zh-CN"/>
              </w:rPr>
              <w:t>。</w:t>
            </w:r>
          </w:p>
          <w:p w14:paraId="3AE5DF9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（3）切割、剪切及打包粉尘</w:t>
            </w:r>
          </w:p>
          <w:p w14:paraId="2BE1D3C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①剪切及打包粉尘</w:t>
            </w:r>
          </w:p>
          <w:p w14:paraId="6E9F07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液压剪切机属于冷态机械剪切，无粉尘产生，剪切及打包过程粉尘主要为车架等表面附着的金属粉尘、铁锈及灰尘等，因在剪切和液压打包机的作用下，形成逸散粉尘。剪切粉尘产生量参照《排放源统计调查产排污核算方法和系数手册》“42废弃资源综合利用行业系数手册”中“4210金属废料和碎屑行业系数手册”中废钢铁剪切工艺颗粒物产污系数7.2g/吨原料。根据前文物料平衡分析，本项目报废机动车拆解废钢铁总量约为38573t/a，根据建设单位提供，需剪切的车身、车架等废钢铁总量约占70%，即约27001.1t/a，则得本项目剪切颗粒物产生量为0.194t/a，由于钢铁材料经剪切后再进行打包，粉尘大部分将在剪切过程中形成逸散，后续打包过程中粉尘量小，本评价按30%计，即打包粉尘产生量约为0.058t/a。项目打包日平均工作时长约4h，年平均工作时长约1200h。</w:t>
            </w:r>
          </w:p>
          <w:p w14:paraId="6995A17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kern w:val="0"/>
                <w:sz w:val="24"/>
                <w:szCs w:val="20"/>
                <w:lang w:val="en-US" w:eastAsia="zh-CN" w:bidi="ar-SA"/>
              </w:rPr>
            </w:pPr>
            <w:r>
              <w:rPr>
                <w:rFonts w:hint="eastAsia" w:ascii="Times New Roman" w:hAnsi="Times New Roman" w:eastAsia="宋体" w:cs="Times New Roman"/>
                <w:b/>
                <w:bCs/>
                <w:color w:val="auto"/>
                <w:kern w:val="0"/>
                <w:sz w:val="24"/>
                <w:szCs w:val="20"/>
                <w:lang w:val="en-US" w:eastAsia="zh-CN" w:bidi="ar-SA"/>
              </w:rPr>
              <w:t>②废机动车切割粉尘</w:t>
            </w:r>
          </w:p>
          <w:p w14:paraId="47C2AF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总成拆解及车体进行肢解时较难拆卸部分采用等离子切割、乙炔切割，切割过程被切割位置的受热金属熔化，由于局部的高温作用部分金属离子直接以气态形式进入空气中，金属离子在空气中随即冷却形成颗粒物，因此</w:t>
            </w:r>
            <w:r>
              <w:rPr>
                <w:rFonts w:hint="eastAsia" w:ascii="Times New Roman" w:hAnsi="Times New Roman" w:eastAsia="宋体" w:cs="Times New Roman"/>
                <w:color w:val="auto"/>
                <w:kern w:val="0"/>
                <w:sz w:val="24"/>
                <w:szCs w:val="24"/>
                <w:vertAlign w:val="baseline"/>
                <w:lang w:val="en-US" w:eastAsia="zh-CN" w:bidi="ar-SA"/>
              </w:rPr>
              <w:t>切割过程产生的粉尘主要是金属及金属氧化物颗粒</w:t>
            </w:r>
            <w:r>
              <w:rPr>
                <w:rFonts w:hint="eastAsia" w:ascii="Times New Roman" w:hAnsi="Times New Roman" w:eastAsia="宋体" w:cs="Times New Roman"/>
                <w:color w:val="auto"/>
                <w:sz w:val="24"/>
                <w:szCs w:val="24"/>
                <w:lang w:val="en-US" w:eastAsia="zh-CN"/>
              </w:rPr>
              <w:t>。参考《排放源统计调查产排污核算方法和系数手册》“42废弃资源综合利用行业系数手册”中“4210金属废料和碎屑行业系数手册”中废钢铁切割工艺颗粒物产污系数（1.0g/t-原料），本项目废机动车拆解废钢铁总产生量约为38573t/a，按最不利的废钢铁最大量计，则切割粉尘产生量为0.038t/a。</w:t>
            </w:r>
          </w:p>
          <w:p w14:paraId="035EF7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综上，项目废机动车拆解过程中切割、剪切及打包粉尘产生量约为0.29t/a。</w:t>
            </w:r>
            <w:r>
              <w:rPr>
                <w:rFonts w:hint="eastAsia" w:ascii="Times New Roman" w:hAnsi="Times New Roman" w:eastAsia="宋体" w:cs="Times New Roman"/>
                <w:color w:val="auto"/>
                <w:sz w:val="24"/>
                <w:szCs w:val="24"/>
                <w:lang w:val="en-US" w:eastAsia="zh-CN"/>
              </w:rPr>
              <w:t>项目废机动车切割、剪切及打包日平均工作时长约4h，年平均工作时长约1200h。</w:t>
            </w:r>
          </w:p>
          <w:p w14:paraId="68BB013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kern w:val="0"/>
                <w:sz w:val="24"/>
                <w:szCs w:val="20"/>
                <w:lang w:val="en-US" w:eastAsia="zh-CN" w:bidi="ar-SA"/>
              </w:rPr>
            </w:pPr>
            <w:r>
              <w:rPr>
                <w:rFonts w:hint="eastAsia" w:ascii="Times New Roman" w:hAnsi="Times New Roman" w:eastAsia="宋体" w:cs="Times New Roman"/>
                <w:b/>
                <w:bCs/>
                <w:color w:val="auto"/>
                <w:sz w:val="24"/>
                <w:szCs w:val="24"/>
                <w:lang w:val="en-US" w:eastAsia="zh-CN"/>
              </w:rPr>
              <w:t>③</w:t>
            </w:r>
            <w:r>
              <w:rPr>
                <w:rFonts w:hint="eastAsia" w:ascii="Times New Roman" w:hAnsi="Times New Roman" w:eastAsia="宋体" w:cs="Times New Roman"/>
                <w:b/>
                <w:bCs/>
                <w:color w:val="auto"/>
                <w:kern w:val="0"/>
                <w:sz w:val="24"/>
                <w:szCs w:val="20"/>
                <w:lang w:val="en-US" w:eastAsia="zh-CN" w:bidi="ar-SA"/>
              </w:rPr>
              <w:t>废电机切割粉尘</w:t>
            </w:r>
          </w:p>
          <w:p w14:paraId="6FF354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废电机在剥离外壳时需要用等离子切割机进行切割，将产生一定量的切割粉尘，主要是金属及金属氧化物颗粒。参考《排放源统计调查产排污核算方法和系数手册》“42废弃资源综合利用行业系数手册”中“4210金属废料和碎屑行业系数手册”中废钢铁切割工艺颗粒物产污系数（1.0g/t-原料），</w:t>
            </w:r>
          </w:p>
          <w:p w14:paraId="152DE8A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本项目废电机拆解废钢铁总产生量约为5650t/a，按最不利的废钢铁最大量计，则切割粉尘产生量为0.006t/a。项目废电机切割工序日平均工作时长约4h，年平均工作时长约1200h。</w:t>
            </w:r>
          </w:p>
          <w:p w14:paraId="691E19B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④废变压器切割粉尘</w:t>
            </w:r>
          </w:p>
          <w:p w14:paraId="60208E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废变压器在拆解过程中需要对部件用等离子切割机进行切割，将产生一定量的切割粉尘，主要是金属及金属氧化物颗粒。参考《排放源统计调查产排污核算方法和系数手册》“42废弃资源综合利用行业系数手册”中“4210金属废料和碎屑行业系数手册”中废钢铁切割工艺颗粒物产污系数（1.0g/t-原料），本项目废变压器拆解废钢铁总产生量约为7560t/a，按最不利的废钢铁最大量计，则切割粉尘产生量为0.008t/a。项目废变压器切割工序日平均工作时长约4h，年平均工作时长约1200h。</w:t>
            </w:r>
          </w:p>
          <w:p w14:paraId="6CA7F495">
            <w:pPr>
              <w:adjustRightInd w:val="0"/>
              <w:snapToGrid w:val="0"/>
              <w:spacing w:line="360" w:lineRule="auto"/>
              <w:ind w:firstLine="482" w:firstLineChars="200"/>
              <w:rPr>
                <w:rFonts w:hint="eastAsia" w:ascii="Times New Roman" w:hAnsi="Times New Roman" w:eastAsia="宋体" w:cs="Times New Roman"/>
                <w:b/>
                <w:bCs/>
                <w:color w:val="auto"/>
                <w:kern w:val="0"/>
                <w:sz w:val="24"/>
                <w:szCs w:val="20"/>
                <w:lang w:val="en-US" w:eastAsia="zh-CN" w:bidi="ar-SA"/>
              </w:rPr>
            </w:pPr>
            <w:r>
              <w:rPr>
                <w:rFonts w:hint="eastAsia" w:ascii="Times New Roman" w:hAnsi="Times New Roman" w:eastAsia="宋体" w:cs="Times New Roman"/>
                <w:b/>
                <w:bCs/>
                <w:color w:val="auto"/>
                <w:kern w:val="0"/>
                <w:sz w:val="24"/>
                <w:szCs w:val="20"/>
                <w:lang w:val="en-US" w:eastAsia="zh-CN" w:bidi="ar-SA"/>
              </w:rPr>
              <w:t>④收集及处理方式</w:t>
            </w:r>
          </w:p>
          <w:p w14:paraId="7BBEA8FF">
            <w:pPr>
              <w:adjustRightInd w:val="0"/>
              <w:snapToGrid w:val="0"/>
              <w:spacing w:line="360" w:lineRule="auto"/>
              <w:ind w:firstLine="480" w:firstLineChars="200"/>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根据《排污许可证申请与核发技术规范 废弃资源加工工业》</w:t>
            </w:r>
            <w:r>
              <w:rPr>
                <w:rFonts w:hint="eastAsia" w:ascii="Times New Roman" w:hAnsi="Times New Roman" w:eastAsia="宋体" w:cs="Times New Roman"/>
                <w:color w:val="auto"/>
                <w:sz w:val="24"/>
                <w:lang w:val="en-US" w:eastAsia="zh-CN"/>
              </w:rPr>
              <w:t>(HJ 1034-2019)</w:t>
            </w:r>
            <w:r>
              <w:rPr>
                <w:rFonts w:hint="eastAsia" w:ascii="Times New Roman" w:hAnsi="Times New Roman" w:eastAsia="宋体" w:cs="Times New Roman"/>
                <w:color w:val="auto"/>
                <w:kern w:val="0"/>
                <w:sz w:val="24"/>
                <w:szCs w:val="20"/>
                <w:lang w:val="en-US" w:eastAsia="zh-CN" w:bidi="ar-SA"/>
              </w:rPr>
              <w:t>运行管理要求，“禁止露天切割、破碎分选废电机、废五金、废电线电缆；</w:t>
            </w:r>
            <w:r>
              <w:rPr>
                <w:rFonts w:hint="eastAsia" w:ascii="Times New Roman" w:hAnsi="Times New Roman" w:eastAsia="宋体" w:cs="Times New Roman"/>
                <w:b w:val="0"/>
                <w:bCs w:val="0"/>
                <w:color w:val="auto"/>
                <w:kern w:val="0"/>
                <w:sz w:val="24"/>
                <w:szCs w:val="20"/>
                <w:lang w:val="en-US" w:eastAsia="zh-CN" w:bidi="ar-SA"/>
              </w:rPr>
              <w:t>设置固定的切割工位，并配备废气收集和处理设施”</w:t>
            </w:r>
            <w:r>
              <w:rPr>
                <w:rFonts w:hint="eastAsia" w:ascii="Times New Roman" w:hAnsi="Times New Roman" w:eastAsia="宋体" w:cs="Times New Roman"/>
                <w:color w:val="auto"/>
                <w:kern w:val="0"/>
                <w:sz w:val="24"/>
                <w:szCs w:val="20"/>
                <w:lang w:val="en-US" w:eastAsia="zh-CN" w:bidi="ar-SA"/>
              </w:rPr>
              <w:t>。</w:t>
            </w:r>
          </w:p>
          <w:p w14:paraId="418E37D5">
            <w:pPr>
              <w:adjustRightInd w:val="0"/>
              <w:snapToGrid w:val="0"/>
              <w:spacing w:line="360" w:lineRule="auto"/>
              <w:ind w:firstLine="480" w:firstLineChars="200"/>
              <w:rPr>
                <w:rFonts w:hint="eastAsia" w:ascii="Times New Roman" w:hAnsi="Times New Roman"/>
                <w:color w:val="auto"/>
                <w:kern w:val="0"/>
                <w:sz w:val="24"/>
                <w:szCs w:val="20"/>
              </w:rPr>
            </w:pPr>
            <w:r>
              <w:rPr>
                <w:rFonts w:hint="eastAsia" w:ascii="Times New Roman" w:hAnsi="Times New Roman" w:eastAsia="宋体" w:cs="Times New Roman"/>
                <w:color w:val="auto"/>
                <w:kern w:val="0"/>
                <w:sz w:val="24"/>
                <w:szCs w:val="20"/>
                <w:lang w:val="en-US" w:eastAsia="zh-CN" w:bidi="ar-SA"/>
              </w:rPr>
              <w:t>本项目机动车拆解在大小车拆解作业车间，废电机拆解作业在废电机拆解车间，废变压器拆解作业在废变压器拆解车间，均非露天作业，在车间内对各切割产尘工位分别配套移动式除尘器，集气罩面积大于产生点面积，并根据切割部位调整集气罩面尽量靠近产尘点进行粉尘收集，移动式布袋除尘器收集效率按75%计，参考</w:t>
            </w:r>
            <w:r>
              <w:rPr>
                <w:rFonts w:hint="eastAsia" w:ascii="Times New Roman" w:hAnsi="Times New Roman" w:eastAsia="宋体" w:cs="Times New Roman"/>
                <w:color w:val="auto"/>
                <w:sz w:val="24"/>
                <w:szCs w:val="24"/>
                <w:lang w:val="en-US" w:eastAsia="zh-CN"/>
              </w:rPr>
              <w:t>《排放源统计调查产排污核算方法和系数手册》“42废弃资源综合利用行业系数—4210金属废料和碎屑行业系数手册”中末端治理技术平均去除效率（%），袋式除尘对颗粒物去除效率可达95%计，本评价保守按90%计。项目剪切及打包粉尘在车间无组织逸散。由于项目切割、剪切、打包等工序在密闭拆解车间内进行（仅保留物料进出口），切割、剪切、打包等粉尘主要成分为粗金属颗粒，粒径较大，比重较重，未被捕集的粉尘大部分可在车间内沉降，参考《未纳入排污许可管理行业适用的排污系数、物料衡算方法（试行）》中锯材加工业产排污系数表重力沉降法数据计算，木工粉尘重力沉降率约为85%，金属粉尘的粒径和比重大于木料粉尘，更易沉降，考虑不利情况，本环评保守按80%在车间内短时间内沉降，约20%逸散到大气中形成粉尘计算。</w:t>
            </w:r>
          </w:p>
          <w:p w14:paraId="19CD582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（4）安全气囊引爆粉尘</w:t>
            </w:r>
          </w:p>
          <w:p w14:paraId="3A20505E">
            <w:pPr>
              <w:adjustRightInd w:val="0"/>
              <w:snapToGrid w:val="0"/>
              <w:spacing w:line="360" w:lineRule="auto"/>
              <w:ind w:firstLine="480" w:firstLineChars="200"/>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项目安全气囊引爆工艺为将安全气囊拆除后，在专用密闭引爆箱内引爆，引爆过程将产生尼龙尘，引爆后确定安全再进行开箱，因延迟开箱，粉尘大部分可在引爆后沉降在箱底，作为一般工业固废收集处理，仅小部分在开箱时逸散，形成安全气囊引爆粉尘，排放量小，对周边环境影响小。因此本评价不对其进行定性分析，项目运行后以日常监测作为管理。</w:t>
            </w:r>
          </w:p>
          <w:p w14:paraId="1C348E10">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firstLine="482" w:firstLineChars="200"/>
              <w:jc w:val="both"/>
              <w:textAlignment w:val="auto"/>
              <w:outlineLvl w:val="9"/>
              <w:rPr>
                <w:rFonts w:hint="eastAsia"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危废间暂存废气</w:t>
            </w:r>
          </w:p>
          <w:p w14:paraId="0CB1776A">
            <w:pPr>
              <w:adjustRightInd w:val="0"/>
              <w:snapToGrid w:val="0"/>
              <w:spacing w:line="360" w:lineRule="auto"/>
              <w:ind w:firstLine="480" w:firstLineChars="200"/>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本项目厂区内设置1间危险废物暂存间，位于厂区西侧，建筑面积约200m</w:t>
            </w:r>
            <w:r>
              <w:rPr>
                <w:rFonts w:hint="eastAsia" w:ascii="Times New Roman" w:hAnsi="Times New Roman" w:eastAsia="宋体" w:cs="Times New Roman"/>
                <w:color w:val="auto"/>
                <w:kern w:val="0"/>
                <w:sz w:val="24"/>
                <w:szCs w:val="20"/>
                <w:vertAlign w:val="superscript"/>
                <w:lang w:val="en-US" w:eastAsia="zh-CN" w:bidi="ar-SA"/>
              </w:rPr>
              <w:t>2</w:t>
            </w:r>
            <w:r>
              <w:rPr>
                <w:rFonts w:hint="eastAsia" w:ascii="Times New Roman" w:hAnsi="Times New Roman" w:eastAsia="宋体" w:cs="Times New Roman"/>
                <w:color w:val="auto"/>
                <w:kern w:val="0"/>
                <w:sz w:val="24"/>
                <w:szCs w:val="20"/>
                <w:lang w:val="en-US" w:eastAsia="zh-CN" w:bidi="ar-SA"/>
              </w:rPr>
              <w:t>，厂区内危废间主要暂存废油液、废制冷剂、废尾气净化器、废滤清器等，由于危险废物种类较多，且含有一定成分的有机物，暂存过程中将产生少量的有机废气（以非甲烷总烃计），根据《危险废物贮存污染控制标准》（GB18597-2023）中第6.2.3条“贮存易产生粉尘、VOCs、酸雾、有毒有害大气污染物和刺激性气味气体的危险废物贮存库，应设置气体收集装置和气体净化设施；气体净化设施的排气筒高度应符合GB16297要求。”，因此本次评价对本项目危险暂存间废气进行分析，并提出管理要求。</w:t>
            </w:r>
          </w:p>
          <w:p w14:paraId="2ADB71BA">
            <w:pPr>
              <w:adjustRightInd w:val="0"/>
              <w:snapToGrid w:val="0"/>
              <w:spacing w:line="360" w:lineRule="auto"/>
              <w:ind w:firstLine="480" w:firstLineChars="200"/>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根据危险废物暂存间储存的危险废物种类，本评价主要对一次储存量大且相较易挥发的废油液（机动车拆解）、废变压器油在储存过程中挥发的有机废气进行定量计算，其他危险废物在危废暂存间内一次储存量较小，且采用密闭容器（袋/桶）密封装存，并危废资质单位清运处置的情况下，废气产生量小，因此本次不进行定量计算，以非甲烷总烃作为表征指标通过跟踪监测进行日常管理。</w:t>
            </w:r>
          </w:p>
          <w:p w14:paraId="35BA2665">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kern w:val="0"/>
                <w:sz w:val="24"/>
                <w:szCs w:val="20"/>
                <w:lang w:val="en-US" w:eastAsia="zh-CN" w:bidi="ar-SA"/>
              </w:rPr>
              <w:t>参考</w:t>
            </w:r>
            <w:r>
              <w:rPr>
                <w:rFonts w:hint="eastAsia" w:ascii="Times New Roman" w:hAnsi="Times New Roman" w:eastAsia="宋体" w:cs="Times New Roman"/>
                <w:color w:val="auto"/>
                <w:sz w:val="24"/>
                <w:highlight w:val="none"/>
                <w:u w:val="none"/>
                <w:lang w:val="en-US" w:eastAsia="zh-CN"/>
              </w:rPr>
              <w:t>《散装液态石油产品损耗》(GB11085-89)中立式金属罐贮存损耗率，汽油春冬每月损耗0.11%，夏秋每月损耗0.21%，则平均月损耗量约为0.16%。</w:t>
            </w:r>
          </w:p>
          <w:p w14:paraId="00E46C90">
            <w:pPr>
              <w:adjustRightInd w:val="0"/>
              <w:snapToGrid w:val="0"/>
              <w:spacing w:line="360" w:lineRule="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sz w:val="24"/>
                <w:highlight w:val="none"/>
                <w:u w:val="none"/>
                <w:lang w:val="en-US" w:eastAsia="zh-CN"/>
              </w:rPr>
              <w:t>其他油不分季节每月损耗量0.01%，本项目机动车废油液（含汽油）在危废暂存间贮存周期不超过半个月，一次最大贮存量约为6.54t，则月总储存量按13.08t计，废变压器油在危废暂存间贮存周期不超过半个月，一次最大贮存量约为38.73t</w:t>
            </w:r>
            <w:r>
              <w:rPr>
                <w:rFonts w:hint="eastAsia" w:ascii="Times New Roman" w:hAnsi="Times New Roman" w:eastAsia="宋体" w:cs="Times New Roman"/>
                <w:color w:val="auto"/>
                <w:kern w:val="0"/>
                <w:sz w:val="24"/>
                <w:szCs w:val="20"/>
                <w:lang w:val="en-US" w:eastAsia="zh-CN" w:bidi="ar-SA"/>
              </w:rPr>
              <w:t>，则月总储存量按77.46t计，则经计算，项目废油液（机动车拆解）、废变压器在危废暂存间暂存产生的非甲烷总烃量约为0.344t/a。</w:t>
            </w:r>
          </w:p>
          <w:p w14:paraId="42E04EFF">
            <w:pPr>
              <w:spacing w:line="360" w:lineRule="auto"/>
              <w:ind w:firstLine="480" w:firstLineChars="200"/>
              <w:rPr>
                <w:rFonts w:hint="default" w:ascii="Times New Roman" w:hAnsi="Times New Roman" w:eastAsia="宋体"/>
                <w:color w:val="auto"/>
                <w:sz w:val="24"/>
                <w:lang w:val="en-US" w:eastAsia="zh-CN"/>
              </w:rPr>
            </w:pPr>
            <w:r>
              <w:rPr>
                <w:rFonts w:hint="eastAsia" w:ascii="Times New Roman" w:hAnsi="Times New Roman" w:eastAsia="宋体" w:cs="Times New Roman"/>
                <w:color w:val="auto"/>
                <w:kern w:val="0"/>
                <w:sz w:val="24"/>
                <w:szCs w:val="20"/>
                <w:lang w:val="en-US" w:eastAsia="zh-CN" w:bidi="ar-SA"/>
              </w:rPr>
              <w:t>危废暂存间废气经集气管道收集后进入一套双级活性炭吸附装置处理，尾气由1根15m高排气筒DA003排放。危废暂存间日常密闭，收集效率按80%计，双级活性炭吸附装置净化效率按90%计。参考</w:t>
            </w:r>
            <w:r>
              <w:rPr>
                <w:rFonts w:hint="eastAsia" w:ascii="Times New Roman" w:hAnsi="Times New Roman"/>
                <w:color w:val="auto"/>
                <w:sz w:val="24"/>
              </w:rPr>
              <w:t>《三废处理工程技术手册 废气卷》第十七章 净化系统的设计“表17-1每小时各种场所换气次数”中，</w:t>
            </w:r>
            <w:r>
              <w:rPr>
                <w:rFonts w:hint="eastAsia" w:ascii="Times New Roman" w:hAnsi="Times New Roman"/>
                <w:color w:val="auto"/>
                <w:sz w:val="24"/>
                <w:lang w:val="en-US" w:eastAsia="zh-CN"/>
              </w:rPr>
              <w:t>一般作业室每小时换气次数为6次</w:t>
            </w:r>
            <w:r>
              <w:rPr>
                <w:rFonts w:hint="eastAsia" w:ascii="Times New Roman" w:hAnsi="Times New Roman"/>
                <w:color w:val="auto"/>
                <w:sz w:val="24"/>
              </w:rPr>
              <w:t>。</w:t>
            </w:r>
            <w:r>
              <w:rPr>
                <w:rFonts w:hint="eastAsia" w:ascii="Times New Roman" w:hAnsi="Times New Roman"/>
                <w:color w:val="auto"/>
                <w:sz w:val="24"/>
                <w:lang w:val="en-US" w:eastAsia="zh-CN"/>
              </w:rPr>
              <w:t>根据建设单位提供资料，项目危废间总面积约</w:t>
            </w:r>
            <w:r>
              <w:rPr>
                <w:rFonts w:hint="eastAsia" w:ascii="Times New Roman" w:hAnsi="Times New Roman"/>
                <w:color w:val="auto"/>
                <w:sz w:val="24"/>
              </w:rPr>
              <w:t>为</w:t>
            </w:r>
            <w:r>
              <w:rPr>
                <w:rFonts w:hint="eastAsia" w:ascii="Times New Roman" w:hAnsi="Times New Roman"/>
                <w:color w:val="auto"/>
                <w:sz w:val="24"/>
                <w:lang w:val="en-US" w:eastAsia="zh-CN"/>
              </w:rPr>
              <w:t>200</w:t>
            </w:r>
            <w:r>
              <w:rPr>
                <w:rFonts w:hint="eastAsia" w:ascii="Times New Roman" w:hAnsi="Times New Roman"/>
                <w:color w:val="auto"/>
                <w:sz w:val="24"/>
              </w:rPr>
              <w:t>m</w:t>
            </w:r>
            <w:r>
              <w:rPr>
                <w:rFonts w:hint="eastAsia" w:ascii="Times New Roman" w:hAnsi="Times New Roman"/>
                <w:color w:val="auto"/>
                <w:sz w:val="24"/>
                <w:vertAlign w:val="superscript"/>
                <w:lang w:val="en-US" w:eastAsia="zh-CN"/>
              </w:rPr>
              <w:t>2</w:t>
            </w:r>
            <w:r>
              <w:rPr>
                <w:rFonts w:hint="eastAsia" w:ascii="Times New Roman" w:hAnsi="Times New Roman"/>
                <w:color w:val="auto"/>
                <w:sz w:val="24"/>
                <w:vertAlign w:val="baseline"/>
                <w:lang w:val="en-US" w:eastAsia="zh-CN"/>
              </w:rPr>
              <w:t>，有效高度按2m计</w:t>
            </w:r>
            <w:r>
              <w:rPr>
                <w:rFonts w:hint="eastAsia" w:ascii="Times New Roman" w:hAnsi="Times New Roman"/>
                <w:color w:val="auto"/>
                <w:sz w:val="24"/>
              </w:rPr>
              <w:t>，换气次数取</w:t>
            </w:r>
            <w:r>
              <w:rPr>
                <w:rFonts w:hint="eastAsia" w:ascii="Times New Roman" w:hAnsi="Times New Roman"/>
                <w:color w:val="auto"/>
                <w:sz w:val="24"/>
                <w:lang w:val="en-US" w:eastAsia="zh-CN"/>
              </w:rPr>
              <w:t>6</w:t>
            </w:r>
            <w:r>
              <w:rPr>
                <w:rFonts w:hint="eastAsia" w:ascii="Times New Roman" w:hAnsi="Times New Roman"/>
                <w:color w:val="auto"/>
                <w:sz w:val="24"/>
              </w:rPr>
              <w:t>次/h，则所需风量不小于</w:t>
            </w:r>
            <w:r>
              <w:rPr>
                <w:rFonts w:hint="eastAsia" w:ascii="Times New Roman" w:hAnsi="Times New Roman"/>
                <w:color w:val="auto"/>
                <w:sz w:val="24"/>
                <w:lang w:val="en-US" w:eastAsia="zh-CN"/>
              </w:rPr>
              <w:t>2400</w:t>
            </w:r>
            <w:r>
              <w:rPr>
                <w:rFonts w:hint="eastAsia" w:ascii="Times New Roman" w:hAnsi="Times New Roman"/>
                <w:color w:val="auto"/>
                <w:sz w:val="24"/>
              </w:rPr>
              <w:t>m</w:t>
            </w:r>
            <w:r>
              <w:rPr>
                <w:rFonts w:hint="eastAsia" w:ascii="Times New Roman" w:hAnsi="Times New Roman"/>
                <w:color w:val="auto"/>
                <w:sz w:val="24"/>
                <w:vertAlign w:val="superscript"/>
              </w:rPr>
              <w:t>3</w:t>
            </w:r>
            <w:r>
              <w:rPr>
                <w:rFonts w:hint="eastAsia" w:ascii="Times New Roman" w:hAnsi="Times New Roman"/>
                <w:color w:val="auto"/>
                <w:sz w:val="24"/>
              </w:rPr>
              <w:t>/h，考虑到管道阻力等因素，</w:t>
            </w:r>
            <w:r>
              <w:rPr>
                <w:rFonts w:hint="eastAsia" w:ascii="Times New Roman" w:hAnsi="Times New Roman"/>
                <w:color w:val="auto"/>
                <w:sz w:val="24"/>
                <w:lang w:val="en-US" w:eastAsia="zh-CN"/>
              </w:rPr>
              <w:t>危废暂存间总风机</w:t>
            </w:r>
            <w:r>
              <w:rPr>
                <w:rFonts w:hint="eastAsia" w:ascii="Times New Roman" w:hAnsi="Times New Roman"/>
                <w:color w:val="auto"/>
                <w:sz w:val="24"/>
              </w:rPr>
              <w:t>风量按</w:t>
            </w:r>
            <w:r>
              <w:rPr>
                <w:rFonts w:hint="eastAsia" w:ascii="Times New Roman" w:hAnsi="Times New Roman"/>
                <w:color w:val="auto"/>
                <w:sz w:val="24"/>
                <w:lang w:val="en-US" w:eastAsia="zh-CN"/>
              </w:rPr>
              <w:t>2500</w:t>
            </w:r>
            <w:r>
              <w:rPr>
                <w:rFonts w:hint="eastAsia" w:ascii="Times New Roman" w:hAnsi="Times New Roman"/>
                <w:color w:val="auto"/>
                <w:sz w:val="24"/>
              </w:rPr>
              <w:t>m</w:t>
            </w:r>
            <w:r>
              <w:rPr>
                <w:rFonts w:hint="eastAsia" w:ascii="Times New Roman" w:hAnsi="Times New Roman"/>
                <w:color w:val="auto"/>
                <w:sz w:val="24"/>
                <w:vertAlign w:val="superscript"/>
              </w:rPr>
              <w:t>3</w:t>
            </w:r>
            <w:r>
              <w:rPr>
                <w:rFonts w:hint="eastAsia" w:ascii="Times New Roman" w:hAnsi="Times New Roman"/>
                <w:color w:val="auto"/>
                <w:sz w:val="24"/>
              </w:rPr>
              <w:t>/h设计。</w:t>
            </w:r>
            <w:r>
              <w:rPr>
                <w:rFonts w:hint="eastAsia" w:ascii="Times New Roman" w:hAnsi="Times New Roman"/>
                <w:color w:val="auto"/>
                <w:sz w:val="24"/>
                <w:lang w:val="en-US" w:eastAsia="zh-CN"/>
              </w:rPr>
              <w:t>危废暂存间暂存时间按年运营时间计，即7200h/a。</w:t>
            </w:r>
          </w:p>
          <w:p w14:paraId="3B396F2B">
            <w:pPr>
              <w:adjustRightInd w:val="0"/>
              <w:snapToGrid w:val="0"/>
              <w:spacing w:line="360" w:lineRule="auto"/>
              <w:ind w:firstLine="482" w:firstLineChars="200"/>
              <w:rPr>
                <w:rFonts w:hint="default" w:ascii="Times New Roman" w:hAnsi="Times New Roman" w:eastAsia="宋体" w:cs="Times New Roman"/>
                <w:b/>
                <w:bCs/>
                <w:color w:val="auto"/>
                <w:kern w:val="0"/>
                <w:sz w:val="24"/>
                <w:szCs w:val="20"/>
                <w:lang w:val="en-US" w:eastAsia="zh-CN" w:bidi="ar-SA"/>
              </w:rPr>
            </w:pPr>
            <w:r>
              <w:rPr>
                <w:rFonts w:hint="eastAsia" w:ascii="Times New Roman" w:hAnsi="Times New Roman" w:eastAsia="宋体" w:cs="Times New Roman"/>
                <w:b/>
                <w:bCs/>
                <w:color w:val="auto"/>
                <w:kern w:val="0"/>
                <w:sz w:val="24"/>
                <w:szCs w:val="20"/>
                <w:lang w:val="en-US" w:eastAsia="zh-CN" w:bidi="ar-SA"/>
              </w:rPr>
              <w:t>（6）恶臭</w:t>
            </w:r>
          </w:p>
          <w:p w14:paraId="5EBF3043">
            <w:pPr>
              <w:adjustRightInd w:val="0"/>
              <w:snapToGrid w:val="0"/>
              <w:spacing w:line="360" w:lineRule="auto"/>
              <w:ind w:firstLine="480" w:firstLineChars="200"/>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项目运营期如废机油抽取、危险废物暂存等过程中，将产生一定量的恶臭。根据《报废机动车拆解企业污染控制技术规范》（HJ348-2022）中7.2.3条“报废机动车回收拆解企业的恶臭污染物排放应满足GB 14554中的相关要求。”，由于资源回收拆解企业恶臭异味具体是哪种物质尚不能确定，且恶臭气体实际上是一种低浓度多组份的混合物，无法以某种或几种恶臭物质来衡量，因此难以定量分析，通过日常以臭气浓度作为表征指标通过厂界无组织监测点跟踪监测进行日常管理。</w:t>
            </w:r>
          </w:p>
          <w:p w14:paraId="25E5DD57">
            <w:pPr>
              <w:adjustRightInd w:val="0"/>
              <w:snapToGrid w:val="0"/>
              <w:spacing w:line="360" w:lineRule="auto"/>
              <w:ind w:firstLine="480" w:firstLineChars="200"/>
              <w:rPr>
                <w:rFonts w:hint="default"/>
                <w:color w:val="auto"/>
                <w:lang w:val="en-US" w:eastAsia="zh-CN"/>
              </w:rPr>
            </w:pPr>
            <w:r>
              <w:rPr>
                <w:rFonts w:hint="default" w:ascii="Times New Roman" w:hAnsi="Times New Roman" w:eastAsia="宋体" w:cs="Times New Roman"/>
                <w:color w:val="auto"/>
                <w:kern w:val="0"/>
                <w:sz w:val="24"/>
                <w:szCs w:val="20"/>
                <w:lang w:val="en-US" w:eastAsia="zh-CN"/>
              </w:rPr>
              <w:t>项目废气污染源源强核算结果</w:t>
            </w:r>
            <w:r>
              <w:rPr>
                <w:rFonts w:hint="default" w:ascii="Times New Roman" w:hAnsi="Times New Roman" w:eastAsia="宋体" w:cs="Times New Roman"/>
                <w:color w:val="auto"/>
                <w:kern w:val="0"/>
                <w:sz w:val="24"/>
                <w:szCs w:val="20"/>
                <w:lang w:val="en-US" w:eastAsia="zh-CN" w:bidi="ar-SA"/>
              </w:rPr>
              <w:t>及相关参数一览表4.</w:t>
            </w:r>
            <w:r>
              <w:rPr>
                <w:rFonts w:hint="eastAsia" w:ascii="Times New Roman" w:hAnsi="Times New Roman" w:eastAsia="宋体" w:cs="Times New Roman"/>
                <w:color w:val="auto"/>
                <w:kern w:val="0"/>
                <w:sz w:val="24"/>
                <w:szCs w:val="20"/>
                <w:lang w:val="en-US" w:eastAsia="zh-CN" w:bidi="ar-SA"/>
              </w:rPr>
              <w:t>2</w:t>
            </w:r>
            <w:r>
              <w:rPr>
                <w:rFonts w:hint="default" w:ascii="Times New Roman" w:hAnsi="Times New Roman" w:eastAsia="宋体" w:cs="Times New Roman"/>
                <w:color w:val="auto"/>
                <w:kern w:val="0"/>
                <w:sz w:val="24"/>
                <w:szCs w:val="20"/>
                <w:lang w:val="en-US" w:eastAsia="zh-CN" w:bidi="ar-SA"/>
              </w:rPr>
              <w:t>-</w:t>
            </w:r>
            <w:r>
              <w:rPr>
                <w:rFonts w:hint="eastAsia" w:ascii="Times New Roman" w:hAnsi="Times New Roman" w:eastAsia="宋体" w:cs="Times New Roman"/>
                <w:color w:val="auto"/>
                <w:kern w:val="0"/>
                <w:sz w:val="24"/>
                <w:szCs w:val="20"/>
                <w:lang w:val="en-US" w:eastAsia="zh-CN" w:bidi="ar-SA"/>
              </w:rPr>
              <w:t>1</w:t>
            </w:r>
            <w:r>
              <w:rPr>
                <w:rFonts w:hint="default" w:ascii="Times New Roman" w:hAnsi="Times New Roman" w:eastAsia="宋体" w:cs="Times New Roman"/>
                <w:color w:val="auto"/>
                <w:kern w:val="0"/>
                <w:sz w:val="24"/>
                <w:szCs w:val="20"/>
                <w:lang w:val="en-US" w:eastAsia="zh-CN" w:bidi="ar-SA"/>
              </w:rPr>
              <w:t>。</w:t>
            </w:r>
          </w:p>
        </w:tc>
      </w:tr>
    </w:tbl>
    <w:p w14:paraId="2FF55BBD">
      <w:pPr>
        <w:pStyle w:val="17"/>
        <w:numPr>
          <w:ilvl w:val="0"/>
          <w:numId w:val="0"/>
        </w:numPr>
        <w:jc w:val="both"/>
        <w:outlineLvl w:val="0"/>
        <w:rPr>
          <w:rFonts w:hint="default" w:ascii="Times New Roman" w:hAnsi="Times New Roman" w:eastAsia="黑体" w:cs="Times New Roman"/>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2657"/>
      </w:tblGrid>
      <w:tr w14:paraId="167B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trPr>
        <w:tc>
          <w:tcPr>
            <w:tcW w:w="571" w:type="dxa"/>
            <w:noWrap w:val="0"/>
            <w:vAlign w:val="center"/>
          </w:tcPr>
          <w:p w14:paraId="678B0B44">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14:paraId="2F1684AF">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14:paraId="2D588D89">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14:paraId="1768A8CF">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14:paraId="3B5D2A4F">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14:paraId="2AD28B2A">
            <w:pPr>
              <w:adjustRightInd w:val="0"/>
              <w:snapToGrid w:val="0"/>
              <w:jc w:val="center"/>
              <w:rPr>
                <w:rFonts w:hint="default" w:ascii="Times New Roman" w:hAnsi="Times New Roman" w:eastAsia="黑体" w:cs="Times New Roman"/>
                <w:color w:val="auto"/>
                <w:sz w:val="24"/>
                <w:szCs w:val="24"/>
                <w:vertAlign w:val="baseline"/>
                <w:lang w:eastAsia="zh-CN"/>
              </w:rPr>
            </w:pPr>
            <w:r>
              <w:rPr>
                <w:rFonts w:hint="default" w:ascii="Times New Roman" w:hAnsi="Times New Roman" w:eastAsia="宋体" w:cs="Times New Roman"/>
                <w:bCs/>
                <w:color w:val="auto"/>
                <w:szCs w:val="21"/>
              </w:rPr>
              <w:t>措施</w:t>
            </w:r>
          </w:p>
        </w:tc>
        <w:tc>
          <w:tcPr>
            <w:tcW w:w="12657" w:type="dxa"/>
            <w:noWrap w:val="0"/>
            <w:vAlign w:val="center"/>
          </w:tcPr>
          <w:p w14:paraId="384143D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lang w:eastAsia="zh-CN"/>
              </w:rPr>
            </w:pPr>
            <w:r>
              <w:rPr>
                <w:rFonts w:hint="default" w:ascii="Times New Roman" w:hAnsi="Times New Roman" w:eastAsia="黑体" w:cs="Times New Roman"/>
                <w:color w:val="auto"/>
                <w:sz w:val="24"/>
                <w:szCs w:val="24"/>
                <w:lang w:eastAsia="zh-CN"/>
              </w:rPr>
              <w:t>表</w:t>
            </w:r>
            <w:r>
              <w:rPr>
                <w:rFonts w:hint="default" w:ascii="Times New Roman" w:hAnsi="Times New Roman" w:eastAsia="黑体" w:cs="Times New Roman"/>
                <w:color w:val="auto"/>
                <w:sz w:val="24"/>
                <w:szCs w:val="24"/>
                <w:lang w:val="en-US" w:eastAsia="zh-CN"/>
              </w:rPr>
              <w:t>4</w:t>
            </w:r>
            <w:r>
              <w:rPr>
                <w:rFonts w:hint="eastAsia" w:ascii="Times New Roman" w:hAnsi="Times New Roman" w:eastAsia="黑体" w:cs="Times New Roman"/>
                <w:color w:val="auto"/>
                <w:sz w:val="24"/>
                <w:szCs w:val="24"/>
                <w:lang w:val="en-US" w:eastAsia="zh-CN"/>
              </w:rPr>
              <w:t>.2</w:t>
            </w:r>
            <w:r>
              <w:rPr>
                <w:rFonts w:hint="default" w:ascii="Times New Roman" w:hAnsi="Times New Roman" w:eastAsia="黑体" w:cs="Times New Roman"/>
                <w:color w:val="auto"/>
                <w:sz w:val="24"/>
                <w:szCs w:val="24"/>
                <w:lang w:val="en-US" w:eastAsia="zh-CN"/>
              </w:rPr>
              <w:t>-</w:t>
            </w:r>
            <w:r>
              <w:rPr>
                <w:rFonts w:hint="eastAsia" w:ascii="Times New Roman" w:hAnsi="Times New Roman" w:eastAsia="黑体" w:cs="Times New Roman"/>
                <w:color w:val="auto"/>
                <w:sz w:val="24"/>
                <w:szCs w:val="24"/>
                <w:lang w:val="en-US" w:eastAsia="zh-CN"/>
              </w:rPr>
              <w:t>1</w:t>
            </w:r>
            <w:r>
              <w:rPr>
                <w:rFonts w:hint="default" w:ascii="Times New Roman" w:hAnsi="Times New Roman" w:eastAsia="黑体" w:cs="Times New Roman"/>
                <w:color w:val="auto"/>
                <w:sz w:val="24"/>
                <w:szCs w:val="24"/>
                <w:lang w:val="en-US" w:eastAsia="zh-CN"/>
              </w:rPr>
              <w:t xml:space="preserve"> 项目</w:t>
            </w:r>
            <w:r>
              <w:rPr>
                <w:rFonts w:hint="default" w:ascii="Times New Roman" w:hAnsi="Times New Roman" w:eastAsia="黑体" w:cs="Times New Roman"/>
                <w:color w:val="auto"/>
                <w:sz w:val="24"/>
                <w:szCs w:val="24"/>
                <w:lang w:eastAsia="zh-CN"/>
              </w:rPr>
              <w:t>废气污染源源强核算结果及相关参数一览表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87"/>
              <w:gridCol w:w="343"/>
              <w:gridCol w:w="293"/>
              <w:gridCol w:w="280"/>
              <w:gridCol w:w="562"/>
              <w:gridCol w:w="623"/>
              <w:gridCol w:w="551"/>
              <w:gridCol w:w="461"/>
              <w:gridCol w:w="252"/>
              <w:gridCol w:w="446"/>
              <w:gridCol w:w="462"/>
              <w:gridCol w:w="474"/>
              <w:gridCol w:w="375"/>
              <w:gridCol w:w="534"/>
              <w:gridCol w:w="587"/>
              <w:gridCol w:w="675"/>
              <w:gridCol w:w="645"/>
              <w:gridCol w:w="977"/>
              <w:gridCol w:w="740"/>
              <w:gridCol w:w="1257"/>
              <w:gridCol w:w="416"/>
              <w:gridCol w:w="535"/>
              <w:gridCol w:w="440"/>
            </w:tblGrid>
            <w:tr w14:paraId="48F31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7" w:type="dxa"/>
                  <w:vMerge w:val="restart"/>
                  <w:tcBorders>
                    <w:tl2br w:val="nil"/>
                    <w:tr2bl w:val="nil"/>
                  </w:tcBorders>
                  <w:noWrap w:val="0"/>
                  <w:vAlign w:val="center"/>
                </w:tcPr>
                <w:p w14:paraId="7FC386B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产排污环节</w:t>
                  </w:r>
                </w:p>
              </w:tc>
              <w:tc>
                <w:tcPr>
                  <w:tcW w:w="343" w:type="dxa"/>
                  <w:vMerge w:val="restart"/>
                  <w:tcBorders>
                    <w:tl2br w:val="nil"/>
                    <w:tr2bl w:val="nil"/>
                  </w:tcBorders>
                  <w:noWrap w:val="0"/>
                  <w:vAlign w:val="center"/>
                </w:tcPr>
                <w:p w14:paraId="1243CE7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污染源</w:t>
                  </w:r>
                </w:p>
              </w:tc>
              <w:tc>
                <w:tcPr>
                  <w:tcW w:w="293" w:type="dxa"/>
                  <w:vMerge w:val="restart"/>
                  <w:tcBorders>
                    <w:tl2br w:val="nil"/>
                    <w:tr2bl w:val="nil"/>
                  </w:tcBorders>
                  <w:noWrap w:val="0"/>
                  <w:vAlign w:val="center"/>
                </w:tcPr>
                <w:p w14:paraId="26F0AF21">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p w14:paraId="0107397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种类</w:t>
                  </w:r>
                </w:p>
              </w:tc>
              <w:tc>
                <w:tcPr>
                  <w:tcW w:w="2477" w:type="dxa"/>
                  <w:gridSpan w:val="5"/>
                  <w:tcBorders>
                    <w:tl2br w:val="nil"/>
                    <w:tr2bl w:val="nil"/>
                  </w:tcBorders>
                  <w:noWrap w:val="0"/>
                  <w:vAlign w:val="center"/>
                </w:tcPr>
                <w:p w14:paraId="0123D2C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污染源产生</w:t>
                  </w:r>
                </w:p>
              </w:tc>
              <w:tc>
                <w:tcPr>
                  <w:tcW w:w="252" w:type="dxa"/>
                  <w:vMerge w:val="restart"/>
                  <w:tcBorders>
                    <w:tl2br w:val="nil"/>
                    <w:tr2bl w:val="nil"/>
                  </w:tcBorders>
                  <w:noWrap w:val="0"/>
                  <w:vAlign w:val="center"/>
                </w:tcPr>
                <w:p w14:paraId="0D4BA5E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排放</w:t>
                  </w:r>
                </w:p>
                <w:p w14:paraId="21B130A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方式</w:t>
                  </w:r>
                </w:p>
              </w:tc>
              <w:tc>
                <w:tcPr>
                  <w:tcW w:w="1757" w:type="dxa"/>
                  <w:gridSpan w:val="4"/>
                  <w:tcBorders>
                    <w:tl2br w:val="nil"/>
                    <w:tr2bl w:val="nil"/>
                  </w:tcBorders>
                  <w:noWrap w:val="0"/>
                  <w:vAlign w:val="center"/>
                </w:tcPr>
                <w:p w14:paraId="20FF221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治理措施</w:t>
                  </w:r>
                </w:p>
              </w:tc>
              <w:tc>
                <w:tcPr>
                  <w:tcW w:w="2441" w:type="dxa"/>
                  <w:gridSpan w:val="4"/>
                  <w:tcBorders>
                    <w:tl2br w:val="nil"/>
                    <w:tr2bl w:val="nil"/>
                  </w:tcBorders>
                  <w:noWrap w:val="0"/>
                  <w:vAlign w:val="center"/>
                </w:tcPr>
                <w:p w14:paraId="1739330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污染物排放</w:t>
                  </w:r>
                </w:p>
              </w:tc>
              <w:tc>
                <w:tcPr>
                  <w:tcW w:w="2974" w:type="dxa"/>
                  <w:gridSpan w:val="3"/>
                  <w:tcBorders>
                    <w:tl2br w:val="nil"/>
                    <w:tr2bl w:val="nil"/>
                  </w:tcBorders>
                  <w:noWrap w:val="0"/>
                  <w:vAlign w:val="center"/>
                </w:tcPr>
                <w:p w14:paraId="2103752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排放口基本信息</w:t>
                  </w:r>
                </w:p>
              </w:tc>
              <w:tc>
                <w:tcPr>
                  <w:tcW w:w="416" w:type="dxa"/>
                  <w:vMerge w:val="restart"/>
                  <w:tcBorders>
                    <w:tl2br w:val="nil"/>
                    <w:tr2bl w:val="nil"/>
                  </w:tcBorders>
                  <w:noWrap w:val="0"/>
                  <w:vAlign w:val="center"/>
                </w:tcPr>
                <w:p w14:paraId="62E4C9D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p>
                <w:p w14:paraId="5B41A71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时间</w:t>
                  </w:r>
                </w:p>
                <w:p w14:paraId="07094EA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h</w:t>
                  </w:r>
                </w:p>
                <w:p w14:paraId="7DE0B83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p>
              </w:tc>
              <w:tc>
                <w:tcPr>
                  <w:tcW w:w="975" w:type="dxa"/>
                  <w:gridSpan w:val="2"/>
                  <w:tcBorders>
                    <w:tl2br w:val="nil"/>
                    <w:tr2bl w:val="nil"/>
                  </w:tcBorders>
                  <w:noWrap w:val="0"/>
                  <w:vAlign w:val="center"/>
                </w:tcPr>
                <w:p w14:paraId="28077CB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排放标准</w:t>
                  </w:r>
                </w:p>
              </w:tc>
            </w:tr>
            <w:tr w14:paraId="4616A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7" w:type="dxa"/>
                  <w:vMerge w:val="continue"/>
                  <w:tcBorders>
                    <w:tl2br w:val="nil"/>
                    <w:tr2bl w:val="nil"/>
                  </w:tcBorders>
                  <w:noWrap w:val="0"/>
                  <w:vAlign w:val="center"/>
                </w:tcPr>
                <w:p w14:paraId="4B1EA48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p>
              </w:tc>
              <w:tc>
                <w:tcPr>
                  <w:tcW w:w="343" w:type="dxa"/>
                  <w:vMerge w:val="continue"/>
                  <w:tcBorders>
                    <w:tl2br w:val="nil"/>
                    <w:tr2bl w:val="nil"/>
                  </w:tcBorders>
                  <w:noWrap w:val="0"/>
                  <w:vAlign w:val="center"/>
                </w:tcPr>
                <w:p w14:paraId="2EC674E1">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p>
              </w:tc>
              <w:tc>
                <w:tcPr>
                  <w:tcW w:w="293" w:type="dxa"/>
                  <w:vMerge w:val="continue"/>
                  <w:tcBorders>
                    <w:tl2br w:val="nil"/>
                    <w:tr2bl w:val="nil"/>
                  </w:tcBorders>
                  <w:noWrap w:val="0"/>
                  <w:vAlign w:val="center"/>
                </w:tcPr>
                <w:p w14:paraId="63B3C53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p>
              </w:tc>
              <w:tc>
                <w:tcPr>
                  <w:tcW w:w="280" w:type="dxa"/>
                  <w:tcBorders>
                    <w:tl2br w:val="nil"/>
                    <w:tr2bl w:val="nil"/>
                  </w:tcBorders>
                  <w:noWrap w:val="0"/>
                  <w:vAlign w:val="center"/>
                </w:tcPr>
                <w:p w14:paraId="32FEAA8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核算</w:t>
                  </w:r>
                </w:p>
                <w:p w14:paraId="293826C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方法</w:t>
                  </w:r>
                </w:p>
              </w:tc>
              <w:tc>
                <w:tcPr>
                  <w:tcW w:w="562" w:type="dxa"/>
                  <w:tcBorders>
                    <w:tl2br w:val="nil"/>
                    <w:tr2bl w:val="nil"/>
                  </w:tcBorders>
                  <w:noWrap w:val="0"/>
                  <w:vAlign w:val="center"/>
                </w:tcPr>
                <w:p w14:paraId="26FBAFA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废气量</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/h</w:t>
                  </w:r>
                </w:p>
              </w:tc>
              <w:tc>
                <w:tcPr>
                  <w:tcW w:w="623" w:type="dxa"/>
                  <w:tcBorders>
                    <w:tl2br w:val="nil"/>
                    <w:tr2bl w:val="nil"/>
                  </w:tcBorders>
                  <w:noWrap w:val="0"/>
                  <w:vAlign w:val="center"/>
                </w:tcPr>
                <w:p w14:paraId="64EF3A7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w:t>
                  </w:r>
                </w:p>
                <w:p w14:paraId="42FEABB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浓度/</w:t>
                  </w:r>
                </w:p>
                <w:p w14:paraId="00095CB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p>
              </w:tc>
              <w:tc>
                <w:tcPr>
                  <w:tcW w:w="551" w:type="dxa"/>
                  <w:tcBorders>
                    <w:tl2br w:val="nil"/>
                    <w:tr2bl w:val="nil"/>
                  </w:tcBorders>
                  <w:noWrap w:val="0"/>
                  <w:vAlign w:val="center"/>
                </w:tcPr>
                <w:p w14:paraId="1F238FC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产生速率</w:t>
                  </w:r>
                  <w:r>
                    <w:rPr>
                      <w:rFonts w:hint="default" w:ascii="Times New Roman" w:hAnsi="Times New Roman" w:cs="Times New Roman"/>
                      <w:color w:val="auto"/>
                      <w:sz w:val="18"/>
                      <w:szCs w:val="18"/>
                      <w:highlight w:val="none"/>
                      <w:lang w:val="en-US" w:eastAsia="zh-CN"/>
                    </w:rPr>
                    <w:t>/</w:t>
                  </w:r>
                </w:p>
                <w:p w14:paraId="641E4EC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kg/h</w:t>
                  </w:r>
                </w:p>
              </w:tc>
              <w:tc>
                <w:tcPr>
                  <w:tcW w:w="461" w:type="dxa"/>
                  <w:tcBorders>
                    <w:tl2br w:val="nil"/>
                    <w:tr2bl w:val="nil"/>
                  </w:tcBorders>
                  <w:noWrap w:val="0"/>
                  <w:vAlign w:val="center"/>
                </w:tcPr>
                <w:p w14:paraId="4469D94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产生量</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t/a</w:t>
                  </w:r>
                </w:p>
              </w:tc>
              <w:tc>
                <w:tcPr>
                  <w:tcW w:w="252" w:type="dxa"/>
                  <w:vMerge w:val="continue"/>
                  <w:tcBorders>
                    <w:tl2br w:val="nil"/>
                    <w:tr2bl w:val="nil"/>
                  </w:tcBorders>
                  <w:noWrap w:val="0"/>
                  <w:vAlign w:val="center"/>
                </w:tcPr>
                <w:p w14:paraId="1BA5D13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p>
              </w:tc>
              <w:tc>
                <w:tcPr>
                  <w:tcW w:w="446" w:type="dxa"/>
                  <w:tcBorders>
                    <w:tl2br w:val="nil"/>
                    <w:tr2bl w:val="nil"/>
                  </w:tcBorders>
                  <w:noWrap w:val="0"/>
                  <w:vAlign w:val="center"/>
                </w:tcPr>
                <w:p w14:paraId="5A59155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rPr>
                    <w:t>处理能力</w:t>
                  </w:r>
                  <w:r>
                    <w:rPr>
                      <w:rFonts w:hint="default" w:ascii="Times New Roman" w:hAnsi="Times New Roman" w:cs="Times New Roman"/>
                      <w:bCs/>
                      <w:color w:val="auto"/>
                      <w:sz w:val="18"/>
                      <w:szCs w:val="18"/>
                      <w:highlight w:val="none"/>
                      <w:lang w:eastAsia="zh-CN"/>
                    </w:rPr>
                    <w:t>及工艺</w:t>
                  </w:r>
                </w:p>
              </w:tc>
              <w:tc>
                <w:tcPr>
                  <w:tcW w:w="462" w:type="dxa"/>
                  <w:tcBorders>
                    <w:tl2br w:val="nil"/>
                    <w:tr2bl w:val="nil"/>
                  </w:tcBorders>
                  <w:noWrap w:val="0"/>
                  <w:vAlign w:val="center"/>
                </w:tcPr>
                <w:p w14:paraId="09CBF80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收集效率</w:t>
                  </w:r>
                </w:p>
              </w:tc>
              <w:tc>
                <w:tcPr>
                  <w:tcW w:w="474" w:type="dxa"/>
                  <w:tcBorders>
                    <w:tl2br w:val="nil"/>
                    <w:tr2bl w:val="nil"/>
                  </w:tcBorders>
                  <w:noWrap w:val="0"/>
                  <w:vAlign w:val="center"/>
                </w:tcPr>
                <w:p w14:paraId="10ACEC6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工艺去除率</w:t>
                  </w:r>
                </w:p>
              </w:tc>
              <w:tc>
                <w:tcPr>
                  <w:tcW w:w="375" w:type="dxa"/>
                  <w:tcBorders>
                    <w:tl2br w:val="nil"/>
                    <w:tr2bl w:val="nil"/>
                  </w:tcBorders>
                  <w:noWrap w:val="0"/>
                  <w:vAlign w:val="center"/>
                </w:tcPr>
                <w:p w14:paraId="5C9F1F4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是否可行技术</w:t>
                  </w:r>
                </w:p>
              </w:tc>
              <w:tc>
                <w:tcPr>
                  <w:tcW w:w="534" w:type="dxa"/>
                  <w:tcBorders>
                    <w:tl2br w:val="nil"/>
                    <w:tr2bl w:val="nil"/>
                  </w:tcBorders>
                  <w:noWrap w:val="0"/>
                  <w:vAlign w:val="center"/>
                </w:tcPr>
                <w:p w14:paraId="401D37B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废气量/ 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/h</w:t>
                  </w:r>
                </w:p>
              </w:tc>
              <w:tc>
                <w:tcPr>
                  <w:tcW w:w="587" w:type="dxa"/>
                  <w:tcBorders>
                    <w:tl2br w:val="nil"/>
                    <w:tr2bl w:val="nil"/>
                  </w:tcBorders>
                  <w:noWrap w:val="0"/>
                  <w:vAlign w:val="center"/>
                </w:tcPr>
                <w:p w14:paraId="2063B981">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p>
                <w:p w14:paraId="5CDD06A1">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浓度</w:t>
                  </w:r>
                  <w:r>
                    <w:rPr>
                      <w:rFonts w:hint="default" w:ascii="Times New Roman" w:hAnsi="Times New Roman" w:cs="Times New Roman"/>
                      <w:color w:val="auto"/>
                      <w:sz w:val="18"/>
                      <w:szCs w:val="18"/>
                      <w:highlight w:val="none"/>
                      <w:lang w:val="en-US" w:eastAsia="zh-CN"/>
                    </w:rPr>
                    <w:t>/</w:t>
                  </w:r>
                </w:p>
                <w:p w14:paraId="738E7C8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p>
              </w:tc>
              <w:tc>
                <w:tcPr>
                  <w:tcW w:w="675" w:type="dxa"/>
                  <w:tcBorders>
                    <w:tl2br w:val="nil"/>
                    <w:tr2bl w:val="nil"/>
                  </w:tcBorders>
                  <w:noWrap w:val="0"/>
                  <w:vAlign w:val="center"/>
                </w:tcPr>
                <w:p w14:paraId="3D65C81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排放速率</w:t>
                  </w:r>
                  <w:r>
                    <w:rPr>
                      <w:rFonts w:hint="default" w:ascii="Times New Roman" w:hAnsi="Times New Roman" w:cs="Times New Roman"/>
                      <w:color w:val="auto"/>
                      <w:sz w:val="18"/>
                      <w:szCs w:val="18"/>
                      <w:highlight w:val="none"/>
                      <w:lang w:val="en-US" w:eastAsia="zh-CN"/>
                    </w:rPr>
                    <w:t>/</w:t>
                  </w:r>
                </w:p>
                <w:p w14:paraId="678EBC6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kg/h</w:t>
                  </w:r>
                </w:p>
              </w:tc>
              <w:tc>
                <w:tcPr>
                  <w:tcW w:w="645" w:type="dxa"/>
                  <w:tcBorders>
                    <w:tl2br w:val="nil"/>
                    <w:tr2bl w:val="nil"/>
                  </w:tcBorders>
                  <w:noWrap w:val="0"/>
                  <w:vAlign w:val="center"/>
                </w:tcPr>
                <w:p w14:paraId="7BCFEA3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vertAlign w:val="superscript"/>
                    </w:rPr>
                  </w:pPr>
                  <w:r>
                    <w:rPr>
                      <w:rFonts w:hint="default" w:ascii="Times New Roman" w:hAnsi="Times New Roman" w:cs="Times New Roman"/>
                      <w:color w:val="auto"/>
                      <w:sz w:val="18"/>
                      <w:szCs w:val="18"/>
                      <w:highlight w:val="none"/>
                    </w:rPr>
                    <w:t>排放量</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t/a</w:t>
                  </w:r>
                </w:p>
              </w:tc>
              <w:tc>
                <w:tcPr>
                  <w:tcW w:w="977" w:type="dxa"/>
                  <w:tcBorders>
                    <w:tl2br w:val="nil"/>
                    <w:tr2bl w:val="nil"/>
                  </w:tcBorders>
                  <w:noWrap w:val="0"/>
                  <w:vAlign w:val="center"/>
                </w:tcPr>
                <w:p w14:paraId="7D6332B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排气筒内径、高度、温度</w:t>
                  </w:r>
                </w:p>
              </w:tc>
              <w:tc>
                <w:tcPr>
                  <w:tcW w:w="740" w:type="dxa"/>
                  <w:tcBorders>
                    <w:tl2br w:val="nil"/>
                    <w:tr2bl w:val="nil"/>
                  </w:tcBorders>
                  <w:noWrap w:val="0"/>
                  <w:vAlign w:val="center"/>
                </w:tcPr>
                <w:p w14:paraId="62B91AD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编号及名称、类型</w:t>
                  </w:r>
                </w:p>
              </w:tc>
              <w:tc>
                <w:tcPr>
                  <w:tcW w:w="1257" w:type="dxa"/>
                  <w:tcBorders>
                    <w:tl2br w:val="nil"/>
                    <w:tr2bl w:val="nil"/>
                  </w:tcBorders>
                  <w:noWrap w:val="0"/>
                  <w:vAlign w:val="center"/>
                </w:tcPr>
                <w:p w14:paraId="24C6BE7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地理</w:t>
                  </w:r>
                </w:p>
                <w:p w14:paraId="5DB044A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坐标</w:t>
                  </w:r>
                </w:p>
              </w:tc>
              <w:tc>
                <w:tcPr>
                  <w:tcW w:w="416" w:type="dxa"/>
                  <w:vMerge w:val="continue"/>
                  <w:tcBorders>
                    <w:tl2br w:val="nil"/>
                    <w:tr2bl w:val="nil"/>
                  </w:tcBorders>
                  <w:noWrap w:val="0"/>
                  <w:vAlign w:val="center"/>
                </w:tcPr>
                <w:p w14:paraId="512E4C9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rPr>
                  </w:pPr>
                </w:p>
              </w:tc>
              <w:tc>
                <w:tcPr>
                  <w:tcW w:w="535" w:type="dxa"/>
                  <w:tcBorders>
                    <w:tl2br w:val="nil"/>
                    <w:tr2bl w:val="nil"/>
                  </w:tcBorders>
                  <w:noWrap w:val="0"/>
                  <w:vAlign w:val="center"/>
                </w:tcPr>
                <w:p w14:paraId="64AA56E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eastAsia="zh-CN"/>
                    </w:rPr>
                    <w:t>浓度</w:t>
                  </w:r>
                  <w:r>
                    <w:rPr>
                      <w:rFonts w:hint="default" w:ascii="Times New Roman" w:hAnsi="Times New Roman" w:cs="Times New Roman"/>
                      <w:color w:val="auto"/>
                      <w:sz w:val="18"/>
                      <w:szCs w:val="18"/>
                      <w:highlight w:val="none"/>
                      <w:lang w:val="en-US" w:eastAsia="zh-CN"/>
                    </w:rPr>
                    <w:t>/</w:t>
                  </w:r>
                </w:p>
                <w:p w14:paraId="00AACA1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lang w:val="en-US" w:eastAsia="zh-CN"/>
                    </w:rPr>
                    <w:t>3</w:t>
                  </w:r>
                </w:p>
              </w:tc>
              <w:tc>
                <w:tcPr>
                  <w:tcW w:w="440" w:type="dxa"/>
                  <w:tcBorders>
                    <w:tl2br w:val="nil"/>
                    <w:tr2bl w:val="nil"/>
                  </w:tcBorders>
                  <w:noWrap w:val="0"/>
                  <w:vAlign w:val="center"/>
                </w:tcPr>
                <w:p w14:paraId="70B871A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速率</w:t>
                  </w:r>
                  <w:r>
                    <w:rPr>
                      <w:rFonts w:hint="default" w:ascii="Times New Roman" w:hAnsi="Times New Roman" w:cs="Times New Roman"/>
                      <w:color w:val="auto"/>
                      <w:sz w:val="18"/>
                      <w:szCs w:val="18"/>
                      <w:highlight w:val="none"/>
                    </w:rPr>
                    <w:t>kg/h</w:t>
                  </w:r>
                </w:p>
              </w:tc>
            </w:tr>
            <w:tr w14:paraId="1DFDF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2" w:hRule="atLeast"/>
                <w:jc w:val="center"/>
              </w:trPr>
              <w:tc>
                <w:tcPr>
                  <w:tcW w:w="487" w:type="dxa"/>
                  <w:vMerge w:val="restart"/>
                  <w:tcBorders>
                    <w:tl2br w:val="nil"/>
                    <w:tr2bl w:val="nil"/>
                  </w:tcBorders>
                  <w:noWrap w:val="0"/>
                  <w:vAlign w:val="center"/>
                </w:tcPr>
                <w:p w14:paraId="6C68D60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olor w:val="auto"/>
                      <w:sz w:val="18"/>
                      <w:szCs w:val="18"/>
                      <w:highlight w:val="none"/>
                      <w:lang w:eastAsia="zh-CN"/>
                    </w:rPr>
                    <w:t>废机动车废液抽取</w:t>
                  </w:r>
                </w:p>
              </w:tc>
              <w:tc>
                <w:tcPr>
                  <w:tcW w:w="343" w:type="dxa"/>
                  <w:vMerge w:val="restart"/>
                  <w:tcBorders>
                    <w:tl2br w:val="nil"/>
                    <w:tr2bl w:val="nil"/>
                  </w:tcBorders>
                  <w:noWrap w:val="0"/>
                  <w:vAlign w:val="center"/>
                </w:tcPr>
                <w:p w14:paraId="29D6060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预处理车间</w:t>
                  </w:r>
                </w:p>
              </w:tc>
              <w:tc>
                <w:tcPr>
                  <w:tcW w:w="293" w:type="dxa"/>
                  <w:vMerge w:val="restart"/>
                  <w:tcBorders>
                    <w:tl2br w:val="nil"/>
                    <w:tr2bl w:val="nil"/>
                  </w:tcBorders>
                  <w:noWrap w:val="0"/>
                  <w:vAlign w:val="center"/>
                </w:tcPr>
                <w:p w14:paraId="1DFA419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非甲烷总烃</w:t>
                  </w:r>
                </w:p>
              </w:tc>
              <w:tc>
                <w:tcPr>
                  <w:tcW w:w="280" w:type="dxa"/>
                  <w:vMerge w:val="restart"/>
                  <w:tcBorders>
                    <w:tl2br w:val="nil"/>
                    <w:tr2bl w:val="nil"/>
                  </w:tcBorders>
                  <w:noWrap w:val="0"/>
                  <w:vAlign w:val="center"/>
                </w:tcPr>
                <w:p w14:paraId="0121621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产污系数法</w:t>
                  </w:r>
                </w:p>
              </w:tc>
              <w:tc>
                <w:tcPr>
                  <w:tcW w:w="562" w:type="dxa"/>
                  <w:tcBorders>
                    <w:tl2br w:val="nil"/>
                    <w:tr2bl w:val="nil"/>
                  </w:tcBorders>
                  <w:noWrap w:val="0"/>
                  <w:vAlign w:val="center"/>
                </w:tcPr>
                <w:p w14:paraId="547D5E7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7000</w:t>
                  </w:r>
                </w:p>
              </w:tc>
              <w:tc>
                <w:tcPr>
                  <w:tcW w:w="623" w:type="dxa"/>
                  <w:tcBorders>
                    <w:tl2br w:val="nil"/>
                    <w:tr2bl w:val="nil"/>
                  </w:tcBorders>
                  <w:noWrap w:val="0"/>
                  <w:vAlign w:val="center"/>
                </w:tcPr>
                <w:p w14:paraId="1353A23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35.0</w:t>
                  </w:r>
                </w:p>
              </w:tc>
              <w:tc>
                <w:tcPr>
                  <w:tcW w:w="551" w:type="dxa"/>
                  <w:tcBorders>
                    <w:tl2br w:val="nil"/>
                    <w:tr2bl w:val="nil"/>
                  </w:tcBorders>
                  <w:noWrap w:val="0"/>
                  <w:vAlign w:val="center"/>
                </w:tcPr>
                <w:p w14:paraId="1AEB4AD1">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0.245</w:t>
                  </w:r>
                </w:p>
              </w:tc>
              <w:tc>
                <w:tcPr>
                  <w:tcW w:w="461" w:type="dxa"/>
                  <w:tcBorders>
                    <w:tl2br w:val="nil"/>
                    <w:tr2bl w:val="nil"/>
                  </w:tcBorders>
                  <w:noWrap w:val="0"/>
                  <w:vAlign w:val="center"/>
                </w:tcPr>
                <w:p w14:paraId="7D68BD7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0.294</w:t>
                  </w:r>
                </w:p>
              </w:tc>
              <w:tc>
                <w:tcPr>
                  <w:tcW w:w="252" w:type="dxa"/>
                  <w:tcBorders>
                    <w:tl2br w:val="nil"/>
                    <w:tr2bl w:val="nil"/>
                  </w:tcBorders>
                  <w:noWrap w:val="0"/>
                  <w:vAlign w:val="center"/>
                </w:tcPr>
                <w:p w14:paraId="4CD5C8C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有组织</w:t>
                  </w:r>
                </w:p>
              </w:tc>
              <w:tc>
                <w:tcPr>
                  <w:tcW w:w="446" w:type="dxa"/>
                  <w:tcBorders>
                    <w:tl2br w:val="nil"/>
                    <w:tr2bl w:val="nil"/>
                  </w:tcBorders>
                  <w:noWrap w:val="0"/>
                  <w:vAlign w:val="center"/>
                </w:tcPr>
                <w:p w14:paraId="2A1F968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过滤棉+双级</w:t>
                  </w:r>
                  <w:r>
                    <w:rPr>
                      <w:rFonts w:hint="default" w:ascii="Times New Roman" w:hAnsi="Times New Roman" w:eastAsia="宋体" w:cs="Times New Roman"/>
                      <w:color w:val="auto"/>
                      <w:sz w:val="18"/>
                      <w:szCs w:val="18"/>
                      <w:highlight w:val="none"/>
                      <w:lang w:val="en-US" w:eastAsia="zh-CN"/>
                    </w:rPr>
                    <w:t>活性炭</w:t>
                  </w:r>
                  <w:r>
                    <w:rPr>
                      <w:rFonts w:hint="eastAsia" w:ascii="Times New Roman" w:hAnsi="Times New Roman" w:eastAsia="宋体" w:cs="Times New Roman"/>
                      <w:color w:val="auto"/>
                      <w:sz w:val="18"/>
                      <w:szCs w:val="18"/>
                      <w:highlight w:val="none"/>
                      <w:lang w:val="en-US" w:eastAsia="zh-CN"/>
                    </w:rPr>
                    <w:t>吸附</w:t>
                  </w:r>
                </w:p>
              </w:tc>
              <w:tc>
                <w:tcPr>
                  <w:tcW w:w="462" w:type="dxa"/>
                  <w:tcBorders>
                    <w:tl2br w:val="nil"/>
                    <w:tr2bl w:val="nil"/>
                  </w:tcBorders>
                  <w:noWrap w:val="0"/>
                  <w:vAlign w:val="center"/>
                </w:tcPr>
                <w:p w14:paraId="73C916F1">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80</w:t>
                  </w:r>
                  <w:r>
                    <w:rPr>
                      <w:rFonts w:hint="default" w:ascii="Times New Roman" w:hAnsi="Times New Roman" w:cs="Times New Roman"/>
                      <w:color w:val="auto"/>
                      <w:sz w:val="18"/>
                      <w:szCs w:val="18"/>
                      <w:highlight w:val="none"/>
                      <w:lang w:val="en-US" w:eastAsia="zh-CN"/>
                    </w:rPr>
                    <w:t>%</w:t>
                  </w:r>
                </w:p>
              </w:tc>
              <w:tc>
                <w:tcPr>
                  <w:tcW w:w="474" w:type="dxa"/>
                  <w:tcBorders>
                    <w:tl2br w:val="nil"/>
                    <w:tr2bl w:val="nil"/>
                  </w:tcBorders>
                  <w:noWrap w:val="0"/>
                  <w:vAlign w:val="center"/>
                </w:tcPr>
                <w:p w14:paraId="2D738FE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90</w:t>
                  </w:r>
                  <w:r>
                    <w:rPr>
                      <w:rFonts w:hint="default" w:ascii="Times New Roman" w:hAnsi="Times New Roman" w:cs="Times New Roman"/>
                      <w:color w:val="auto"/>
                      <w:sz w:val="18"/>
                      <w:szCs w:val="18"/>
                      <w:highlight w:val="none"/>
                      <w:lang w:val="en-US" w:eastAsia="zh-CN"/>
                    </w:rPr>
                    <w:t>%</w:t>
                  </w:r>
                </w:p>
              </w:tc>
              <w:tc>
                <w:tcPr>
                  <w:tcW w:w="375" w:type="dxa"/>
                  <w:tcBorders>
                    <w:tl2br w:val="nil"/>
                    <w:tr2bl w:val="nil"/>
                  </w:tcBorders>
                  <w:noWrap w:val="0"/>
                  <w:vAlign w:val="center"/>
                </w:tcPr>
                <w:p w14:paraId="314136E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是</w:t>
                  </w:r>
                </w:p>
              </w:tc>
              <w:tc>
                <w:tcPr>
                  <w:tcW w:w="534" w:type="dxa"/>
                  <w:tcBorders>
                    <w:tl2br w:val="nil"/>
                    <w:tr2bl w:val="nil"/>
                  </w:tcBorders>
                  <w:noWrap w:val="0"/>
                  <w:vAlign w:val="center"/>
                </w:tcPr>
                <w:p w14:paraId="48E03BF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7000</w:t>
                  </w:r>
                </w:p>
              </w:tc>
              <w:tc>
                <w:tcPr>
                  <w:tcW w:w="587" w:type="dxa"/>
                  <w:tcBorders>
                    <w:tl2br w:val="nil"/>
                    <w:tr2bl w:val="nil"/>
                  </w:tcBorders>
                  <w:noWrap w:val="0"/>
                  <w:vAlign w:val="center"/>
                </w:tcPr>
                <w:p w14:paraId="1D57E675">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3.5</w:t>
                  </w:r>
                </w:p>
              </w:tc>
              <w:tc>
                <w:tcPr>
                  <w:tcW w:w="675" w:type="dxa"/>
                  <w:tcBorders>
                    <w:tl2br w:val="nil"/>
                    <w:tr2bl w:val="nil"/>
                  </w:tcBorders>
                  <w:noWrap w:val="0"/>
                  <w:vAlign w:val="center"/>
                </w:tcPr>
                <w:p w14:paraId="17FBC02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0.0245</w:t>
                  </w:r>
                </w:p>
              </w:tc>
              <w:tc>
                <w:tcPr>
                  <w:tcW w:w="645" w:type="dxa"/>
                  <w:tcBorders>
                    <w:tl2br w:val="nil"/>
                    <w:tr2bl w:val="nil"/>
                  </w:tcBorders>
                  <w:noWrap w:val="0"/>
                  <w:vAlign w:val="center"/>
                </w:tcPr>
                <w:p w14:paraId="3B35D47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0.0294</w:t>
                  </w:r>
                </w:p>
              </w:tc>
              <w:tc>
                <w:tcPr>
                  <w:tcW w:w="977" w:type="dxa"/>
                  <w:tcBorders>
                    <w:tl2br w:val="nil"/>
                    <w:tr2bl w:val="nil"/>
                  </w:tcBorders>
                  <w:noWrap w:val="0"/>
                  <w:vAlign w:val="center"/>
                </w:tcPr>
                <w:p w14:paraId="2EB0B61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H=15m、内径0.</w:t>
                  </w:r>
                  <w:r>
                    <w:rPr>
                      <w:rFonts w:hint="eastAsia"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val="en-US" w:eastAsia="zh-CN"/>
                    </w:rPr>
                    <w:t>m、温度</w:t>
                  </w:r>
                  <w:r>
                    <w:rPr>
                      <w:rFonts w:hint="eastAsia" w:ascii="Times New Roman" w:hAnsi="Times New Roman" w:cs="Times New Roman"/>
                      <w:color w:val="auto"/>
                      <w:sz w:val="18"/>
                      <w:szCs w:val="18"/>
                      <w:highlight w:val="none"/>
                      <w:lang w:val="en-US" w:eastAsia="zh-CN"/>
                    </w:rPr>
                    <w:t>25</w:t>
                  </w:r>
                  <w:r>
                    <w:rPr>
                      <w:rFonts w:hint="default" w:ascii="Times New Roman" w:hAnsi="Times New Roman" w:cs="Times New Roman"/>
                      <w:color w:val="auto"/>
                      <w:sz w:val="18"/>
                      <w:szCs w:val="18"/>
                      <w:highlight w:val="none"/>
                      <w:lang w:val="en-US" w:eastAsia="zh-CN"/>
                    </w:rPr>
                    <w:t>℃</w:t>
                  </w:r>
                </w:p>
              </w:tc>
              <w:tc>
                <w:tcPr>
                  <w:tcW w:w="740" w:type="dxa"/>
                  <w:tcBorders>
                    <w:tl2br w:val="nil"/>
                    <w:tr2bl w:val="nil"/>
                  </w:tcBorders>
                  <w:noWrap w:val="0"/>
                  <w:vAlign w:val="center"/>
                </w:tcPr>
                <w:p w14:paraId="238D70B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DA001、一般排放口</w:t>
                  </w:r>
                </w:p>
              </w:tc>
              <w:tc>
                <w:tcPr>
                  <w:tcW w:w="1257" w:type="dxa"/>
                  <w:tcBorders>
                    <w:tl2br w:val="nil"/>
                    <w:tr2bl w:val="nil"/>
                  </w:tcBorders>
                  <w:noWrap w:val="0"/>
                  <w:vAlign w:val="center"/>
                </w:tcPr>
                <w:p w14:paraId="78A716A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经度：</w:t>
                  </w:r>
                </w:p>
                <w:p w14:paraId="0CA072A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eastAsia="zh-CN"/>
                    </w:rPr>
                  </w:pPr>
                  <w:r>
                    <w:rPr>
                      <w:rStyle w:val="22"/>
                      <w:rFonts w:hint="default" w:ascii="Times New Roman" w:hAnsi="Times New Roman" w:eastAsia="宋体" w:cs="Times New Roman"/>
                      <w:color w:val="auto"/>
                      <w:kern w:val="2"/>
                      <w:sz w:val="18"/>
                      <w:szCs w:val="18"/>
                      <w:highlight w:val="none"/>
                      <w:lang w:val="en-US" w:eastAsia="zh-CN" w:bidi="ar-SA"/>
                    </w:rPr>
                    <w:t>119°</w:t>
                  </w:r>
                  <w:r>
                    <w:rPr>
                      <w:rStyle w:val="22"/>
                      <w:rFonts w:hint="eastAsia" w:ascii="Times New Roman" w:hAnsi="Times New Roman" w:eastAsia="宋体" w:cs="Times New Roman"/>
                      <w:color w:val="auto"/>
                      <w:kern w:val="2"/>
                      <w:sz w:val="18"/>
                      <w:szCs w:val="18"/>
                      <w:highlight w:val="none"/>
                      <w:lang w:val="en-US" w:eastAsia="zh-CN" w:bidi="ar-SA"/>
                    </w:rPr>
                    <w:t>35</w:t>
                  </w:r>
                  <w:r>
                    <w:rPr>
                      <w:rStyle w:val="22"/>
                      <w:rFonts w:hint="default" w:ascii="Times New Roman" w:hAnsi="Times New Roman" w:eastAsia="宋体" w:cs="Times New Roman"/>
                      <w:color w:val="auto"/>
                      <w:kern w:val="2"/>
                      <w:sz w:val="18"/>
                      <w:szCs w:val="18"/>
                      <w:highlight w:val="none"/>
                      <w:lang w:val="en-US" w:eastAsia="zh-CN" w:bidi="ar-SA"/>
                    </w:rPr>
                    <w:t>'</w:t>
                  </w:r>
                  <w:r>
                    <w:rPr>
                      <w:rStyle w:val="22"/>
                      <w:rFonts w:hint="eastAsia" w:ascii="Times New Roman" w:hAnsi="Times New Roman" w:eastAsia="宋体" w:cs="Times New Roman"/>
                      <w:color w:val="auto"/>
                      <w:kern w:val="2"/>
                      <w:sz w:val="18"/>
                      <w:szCs w:val="18"/>
                      <w:highlight w:val="none"/>
                      <w:lang w:val="en-US" w:eastAsia="zh-CN" w:bidi="ar-SA"/>
                    </w:rPr>
                    <w:t>19.446</w:t>
                  </w:r>
                  <w:r>
                    <w:rPr>
                      <w:rStyle w:val="22"/>
                      <w:rFonts w:hint="default" w:ascii="Times New Roman" w:hAnsi="Times New Roman" w:eastAsia="宋体"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lang w:eastAsia="zh-CN"/>
                    </w:rPr>
                    <w:t>纬度：</w:t>
                  </w:r>
                </w:p>
                <w:p w14:paraId="39D3BDA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Style w:val="22"/>
                      <w:rFonts w:hint="default" w:ascii="Times New Roman" w:hAnsi="Times New Roman" w:eastAsia="宋体" w:cs="Times New Roman"/>
                      <w:color w:val="auto"/>
                      <w:kern w:val="2"/>
                      <w:sz w:val="18"/>
                      <w:szCs w:val="18"/>
                      <w:highlight w:val="none"/>
                      <w:lang w:val="en-US" w:eastAsia="zh-CN" w:bidi="ar-SA"/>
                    </w:rPr>
                    <w:t>2</w:t>
                  </w:r>
                  <w:r>
                    <w:rPr>
                      <w:rStyle w:val="22"/>
                      <w:rFonts w:hint="eastAsia" w:ascii="Times New Roman" w:hAnsi="Times New Roman" w:eastAsia="宋体" w:cs="Times New Roman"/>
                      <w:color w:val="auto"/>
                      <w:kern w:val="2"/>
                      <w:sz w:val="18"/>
                      <w:szCs w:val="18"/>
                      <w:highlight w:val="none"/>
                      <w:lang w:val="en-US" w:eastAsia="zh-CN" w:bidi="ar-SA"/>
                    </w:rPr>
                    <w:t>5</w:t>
                  </w:r>
                  <w:r>
                    <w:rPr>
                      <w:rStyle w:val="22"/>
                      <w:rFonts w:hint="default" w:ascii="Times New Roman" w:hAnsi="Times New Roman" w:eastAsia="宋体" w:cs="Times New Roman"/>
                      <w:color w:val="auto"/>
                      <w:kern w:val="2"/>
                      <w:sz w:val="18"/>
                      <w:szCs w:val="18"/>
                      <w:highlight w:val="none"/>
                      <w:lang w:val="en-US" w:eastAsia="zh-CN" w:bidi="ar-SA"/>
                    </w:rPr>
                    <w:t xml:space="preserve">° </w:t>
                  </w:r>
                  <w:r>
                    <w:rPr>
                      <w:rStyle w:val="22"/>
                      <w:rFonts w:hint="eastAsia" w:ascii="Times New Roman" w:hAnsi="Times New Roman" w:eastAsia="宋体" w:cs="Times New Roman"/>
                      <w:color w:val="auto"/>
                      <w:kern w:val="2"/>
                      <w:sz w:val="18"/>
                      <w:szCs w:val="18"/>
                      <w:highlight w:val="none"/>
                      <w:lang w:val="en-US" w:eastAsia="zh-CN" w:bidi="ar-SA"/>
                    </w:rPr>
                    <w:t>41</w:t>
                  </w:r>
                  <w:r>
                    <w:rPr>
                      <w:rStyle w:val="22"/>
                      <w:rFonts w:hint="default" w:ascii="Times New Roman" w:hAnsi="Times New Roman" w:eastAsia="宋体" w:cs="Times New Roman"/>
                      <w:color w:val="auto"/>
                      <w:kern w:val="2"/>
                      <w:sz w:val="18"/>
                      <w:szCs w:val="18"/>
                      <w:highlight w:val="none"/>
                      <w:lang w:val="en-US" w:eastAsia="zh-CN" w:bidi="ar-SA"/>
                    </w:rPr>
                    <w:t>'</w:t>
                  </w:r>
                  <w:r>
                    <w:rPr>
                      <w:rStyle w:val="22"/>
                      <w:rFonts w:hint="eastAsia" w:ascii="Times New Roman" w:hAnsi="Times New Roman" w:eastAsia="宋体" w:cs="Times New Roman"/>
                      <w:color w:val="auto"/>
                      <w:kern w:val="2"/>
                      <w:sz w:val="18"/>
                      <w:szCs w:val="18"/>
                      <w:highlight w:val="none"/>
                      <w:lang w:val="en-US" w:eastAsia="zh-CN" w:bidi="ar-SA"/>
                    </w:rPr>
                    <w:t>56.259</w:t>
                  </w:r>
                  <w:r>
                    <w:rPr>
                      <w:rStyle w:val="22"/>
                      <w:rFonts w:hint="default" w:ascii="Times New Roman" w:hAnsi="Times New Roman" w:eastAsia="宋体" w:cs="Times New Roman"/>
                      <w:color w:val="auto"/>
                      <w:kern w:val="2"/>
                      <w:sz w:val="18"/>
                      <w:szCs w:val="18"/>
                      <w:highlight w:val="none"/>
                      <w:lang w:val="en-US" w:eastAsia="zh-CN" w:bidi="ar-SA"/>
                    </w:rPr>
                    <w:t>"</w:t>
                  </w:r>
                </w:p>
              </w:tc>
              <w:tc>
                <w:tcPr>
                  <w:tcW w:w="416" w:type="dxa"/>
                  <w:tcBorders>
                    <w:tl2br w:val="nil"/>
                    <w:tr2bl w:val="nil"/>
                  </w:tcBorders>
                  <w:noWrap w:val="0"/>
                  <w:vAlign w:val="center"/>
                </w:tcPr>
                <w:p w14:paraId="4337E96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rPr>
                  </w:pPr>
                  <w:r>
                    <w:rPr>
                      <w:rFonts w:hint="eastAsia" w:ascii="Times New Roman" w:hAnsi="Times New Roman" w:cs="Times New Roman"/>
                      <w:color w:val="auto"/>
                      <w:sz w:val="18"/>
                      <w:szCs w:val="18"/>
                      <w:highlight w:val="none"/>
                      <w:lang w:val="en-US" w:eastAsia="zh-CN"/>
                    </w:rPr>
                    <w:t>1200</w:t>
                  </w:r>
                </w:p>
              </w:tc>
              <w:tc>
                <w:tcPr>
                  <w:tcW w:w="535" w:type="dxa"/>
                  <w:tcBorders>
                    <w:tl2br w:val="nil"/>
                    <w:tr2bl w:val="nil"/>
                  </w:tcBorders>
                  <w:noWrap w:val="0"/>
                  <w:vAlign w:val="center"/>
                </w:tcPr>
                <w:p w14:paraId="28E96FA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120</w:t>
                  </w:r>
                </w:p>
              </w:tc>
              <w:tc>
                <w:tcPr>
                  <w:tcW w:w="440" w:type="dxa"/>
                  <w:tcBorders>
                    <w:tl2br w:val="nil"/>
                    <w:tr2bl w:val="nil"/>
                  </w:tcBorders>
                  <w:noWrap w:val="0"/>
                  <w:vAlign w:val="center"/>
                </w:tcPr>
                <w:p w14:paraId="0D64035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5.0</w:t>
                  </w:r>
                </w:p>
              </w:tc>
            </w:tr>
            <w:tr w14:paraId="0DF02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7" w:type="dxa"/>
                  <w:vMerge w:val="continue"/>
                  <w:tcBorders>
                    <w:tl2br w:val="nil"/>
                    <w:tr2bl w:val="nil"/>
                  </w:tcBorders>
                  <w:noWrap w:val="0"/>
                  <w:vAlign w:val="center"/>
                </w:tcPr>
                <w:p w14:paraId="5FF6A33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p>
              </w:tc>
              <w:tc>
                <w:tcPr>
                  <w:tcW w:w="343" w:type="dxa"/>
                  <w:vMerge w:val="continue"/>
                  <w:tcBorders>
                    <w:tl2br w:val="nil"/>
                    <w:tr2bl w:val="nil"/>
                  </w:tcBorders>
                  <w:noWrap w:val="0"/>
                  <w:vAlign w:val="center"/>
                </w:tcPr>
                <w:p w14:paraId="76CE293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p>
              </w:tc>
              <w:tc>
                <w:tcPr>
                  <w:tcW w:w="293" w:type="dxa"/>
                  <w:vMerge w:val="continue"/>
                  <w:tcBorders>
                    <w:tl2br w:val="nil"/>
                    <w:tr2bl w:val="nil"/>
                  </w:tcBorders>
                  <w:noWrap w:val="0"/>
                  <w:vAlign w:val="center"/>
                </w:tcPr>
                <w:p w14:paraId="75DEC24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280" w:type="dxa"/>
                  <w:vMerge w:val="continue"/>
                  <w:tcBorders>
                    <w:tl2br w:val="nil"/>
                    <w:tr2bl w:val="nil"/>
                  </w:tcBorders>
                  <w:noWrap w:val="0"/>
                  <w:vAlign w:val="center"/>
                </w:tcPr>
                <w:p w14:paraId="7D154C9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562" w:type="dxa"/>
                  <w:tcBorders>
                    <w:tl2br w:val="nil"/>
                    <w:tr2bl w:val="nil"/>
                  </w:tcBorders>
                  <w:noWrap w:val="0"/>
                  <w:vAlign w:val="center"/>
                </w:tcPr>
                <w:p w14:paraId="32666B3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23" w:type="dxa"/>
                  <w:tcBorders>
                    <w:tl2br w:val="nil"/>
                    <w:tr2bl w:val="nil"/>
                  </w:tcBorders>
                  <w:noWrap w:val="0"/>
                  <w:vAlign w:val="center"/>
                </w:tcPr>
                <w:p w14:paraId="393516C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51" w:type="dxa"/>
                  <w:tcBorders>
                    <w:tl2br w:val="nil"/>
                    <w:tr2bl w:val="nil"/>
                  </w:tcBorders>
                  <w:noWrap w:val="0"/>
                  <w:vAlign w:val="center"/>
                </w:tcPr>
                <w:p w14:paraId="560A2FC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0.0617</w:t>
                  </w:r>
                </w:p>
              </w:tc>
              <w:tc>
                <w:tcPr>
                  <w:tcW w:w="461" w:type="dxa"/>
                  <w:tcBorders>
                    <w:tl2br w:val="nil"/>
                    <w:tr2bl w:val="nil"/>
                  </w:tcBorders>
                  <w:noWrap w:val="0"/>
                  <w:vAlign w:val="center"/>
                </w:tcPr>
                <w:p w14:paraId="5FE0108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0.074</w:t>
                  </w:r>
                </w:p>
              </w:tc>
              <w:tc>
                <w:tcPr>
                  <w:tcW w:w="252" w:type="dxa"/>
                  <w:tcBorders>
                    <w:tl2br w:val="nil"/>
                    <w:tr2bl w:val="nil"/>
                  </w:tcBorders>
                  <w:noWrap w:val="0"/>
                  <w:vAlign w:val="center"/>
                </w:tcPr>
                <w:p w14:paraId="6152052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无组织</w:t>
                  </w:r>
                </w:p>
              </w:tc>
              <w:tc>
                <w:tcPr>
                  <w:tcW w:w="446" w:type="dxa"/>
                  <w:tcBorders>
                    <w:tl2br w:val="nil"/>
                    <w:tr2bl w:val="nil"/>
                  </w:tcBorders>
                  <w:noWrap w:val="0"/>
                  <w:vAlign w:val="center"/>
                </w:tcPr>
                <w:p w14:paraId="1640E75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w:t>
                  </w:r>
                </w:p>
              </w:tc>
              <w:tc>
                <w:tcPr>
                  <w:tcW w:w="462" w:type="dxa"/>
                  <w:tcBorders>
                    <w:tl2br w:val="nil"/>
                    <w:tr2bl w:val="nil"/>
                  </w:tcBorders>
                  <w:noWrap w:val="0"/>
                  <w:vAlign w:val="center"/>
                </w:tcPr>
                <w:p w14:paraId="562B4E6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474" w:type="dxa"/>
                  <w:tcBorders>
                    <w:tl2br w:val="nil"/>
                    <w:tr2bl w:val="nil"/>
                  </w:tcBorders>
                  <w:noWrap w:val="0"/>
                  <w:vAlign w:val="center"/>
                </w:tcPr>
                <w:p w14:paraId="5BD32C2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w:t>
                  </w:r>
                </w:p>
              </w:tc>
              <w:tc>
                <w:tcPr>
                  <w:tcW w:w="375" w:type="dxa"/>
                  <w:tcBorders>
                    <w:tl2br w:val="nil"/>
                    <w:tr2bl w:val="nil"/>
                  </w:tcBorders>
                  <w:noWrap w:val="0"/>
                  <w:vAlign w:val="center"/>
                </w:tcPr>
                <w:p w14:paraId="06E21FC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w:t>
                  </w:r>
                </w:p>
              </w:tc>
              <w:tc>
                <w:tcPr>
                  <w:tcW w:w="534" w:type="dxa"/>
                  <w:tcBorders>
                    <w:tl2br w:val="nil"/>
                    <w:tr2bl w:val="nil"/>
                  </w:tcBorders>
                  <w:noWrap w:val="0"/>
                  <w:vAlign w:val="center"/>
                </w:tcPr>
                <w:p w14:paraId="535FD3F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87" w:type="dxa"/>
                  <w:tcBorders>
                    <w:tl2br w:val="nil"/>
                    <w:tr2bl w:val="nil"/>
                  </w:tcBorders>
                  <w:noWrap w:val="0"/>
                  <w:vAlign w:val="center"/>
                </w:tcPr>
                <w:p w14:paraId="17373ED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75" w:type="dxa"/>
                  <w:tcBorders>
                    <w:tl2br w:val="nil"/>
                    <w:tr2bl w:val="nil"/>
                  </w:tcBorders>
                  <w:noWrap w:val="0"/>
                  <w:vAlign w:val="center"/>
                </w:tcPr>
                <w:p w14:paraId="0BD7094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0.0617</w:t>
                  </w:r>
                </w:p>
              </w:tc>
              <w:tc>
                <w:tcPr>
                  <w:tcW w:w="645" w:type="dxa"/>
                  <w:tcBorders>
                    <w:tl2br w:val="nil"/>
                    <w:tr2bl w:val="nil"/>
                  </w:tcBorders>
                  <w:noWrap w:val="0"/>
                  <w:vAlign w:val="center"/>
                </w:tcPr>
                <w:p w14:paraId="4F46CC6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0.074</w:t>
                  </w:r>
                </w:p>
              </w:tc>
              <w:tc>
                <w:tcPr>
                  <w:tcW w:w="977" w:type="dxa"/>
                  <w:tcBorders>
                    <w:tl2br w:val="nil"/>
                    <w:tr2bl w:val="nil"/>
                  </w:tcBorders>
                  <w:noWrap w:val="0"/>
                  <w:vAlign w:val="center"/>
                </w:tcPr>
                <w:p w14:paraId="147C78D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740" w:type="dxa"/>
                  <w:tcBorders>
                    <w:tl2br w:val="nil"/>
                    <w:tr2bl w:val="nil"/>
                  </w:tcBorders>
                  <w:noWrap w:val="0"/>
                  <w:vAlign w:val="center"/>
                </w:tcPr>
                <w:p w14:paraId="404819B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1257" w:type="dxa"/>
                  <w:tcBorders>
                    <w:tl2br w:val="nil"/>
                    <w:tr2bl w:val="nil"/>
                  </w:tcBorders>
                  <w:noWrap w:val="0"/>
                  <w:vAlign w:val="center"/>
                </w:tcPr>
                <w:p w14:paraId="77AA692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416" w:type="dxa"/>
                  <w:tcBorders>
                    <w:tl2br w:val="nil"/>
                    <w:tr2bl w:val="nil"/>
                  </w:tcBorders>
                  <w:noWrap w:val="0"/>
                  <w:vAlign w:val="center"/>
                </w:tcPr>
                <w:p w14:paraId="1491AD2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1200</w:t>
                  </w:r>
                </w:p>
              </w:tc>
              <w:tc>
                <w:tcPr>
                  <w:tcW w:w="535" w:type="dxa"/>
                  <w:tcBorders>
                    <w:tl2br w:val="nil"/>
                    <w:tr2bl w:val="nil"/>
                  </w:tcBorders>
                  <w:noWrap w:val="0"/>
                  <w:vAlign w:val="center"/>
                </w:tcPr>
                <w:p w14:paraId="0BFFACB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lang w:val="en-US" w:eastAsia="zh-CN"/>
                    </w:rPr>
                    <w:t>.0</w:t>
                  </w:r>
                </w:p>
              </w:tc>
              <w:tc>
                <w:tcPr>
                  <w:tcW w:w="440" w:type="dxa"/>
                  <w:tcBorders>
                    <w:tl2br w:val="nil"/>
                    <w:tr2bl w:val="nil"/>
                  </w:tcBorders>
                  <w:noWrap w:val="0"/>
                  <w:vAlign w:val="center"/>
                </w:tcPr>
                <w:p w14:paraId="40128E2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w:t>
                  </w:r>
                </w:p>
              </w:tc>
            </w:tr>
            <w:tr w14:paraId="060B9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80" w:hRule="atLeast"/>
                <w:jc w:val="center"/>
              </w:trPr>
              <w:tc>
                <w:tcPr>
                  <w:tcW w:w="487" w:type="dxa"/>
                  <w:vMerge w:val="restart"/>
                  <w:tcBorders>
                    <w:tl2br w:val="nil"/>
                    <w:tr2bl w:val="nil"/>
                  </w:tcBorders>
                  <w:noWrap w:val="0"/>
                  <w:vAlign w:val="center"/>
                </w:tcPr>
                <w:p w14:paraId="64DE7EC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废变压器油抽取</w:t>
                  </w:r>
                </w:p>
              </w:tc>
              <w:tc>
                <w:tcPr>
                  <w:tcW w:w="343" w:type="dxa"/>
                  <w:vMerge w:val="restart"/>
                  <w:tcBorders>
                    <w:tl2br w:val="nil"/>
                    <w:tr2bl w:val="nil"/>
                  </w:tcBorders>
                  <w:noWrap w:val="0"/>
                  <w:vAlign w:val="center"/>
                </w:tcPr>
                <w:p w14:paraId="177EB6C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废变压器拆解车间</w:t>
                  </w:r>
                </w:p>
              </w:tc>
              <w:tc>
                <w:tcPr>
                  <w:tcW w:w="293" w:type="dxa"/>
                  <w:vMerge w:val="restart"/>
                  <w:tcBorders>
                    <w:tl2br w:val="nil"/>
                    <w:tr2bl w:val="nil"/>
                  </w:tcBorders>
                  <w:noWrap w:val="0"/>
                  <w:vAlign w:val="center"/>
                </w:tcPr>
                <w:p w14:paraId="7439AC2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非甲烷总烃</w:t>
                  </w:r>
                </w:p>
              </w:tc>
              <w:tc>
                <w:tcPr>
                  <w:tcW w:w="280" w:type="dxa"/>
                  <w:vMerge w:val="restart"/>
                  <w:tcBorders>
                    <w:tl2br w:val="nil"/>
                    <w:tr2bl w:val="nil"/>
                  </w:tcBorders>
                  <w:noWrap w:val="0"/>
                  <w:vAlign w:val="center"/>
                </w:tcPr>
                <w:p w14:paraId="6E9D498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产污系数法</w:t>
                  </w:r>
                </w:p>
              </w:tc>
              <w:tc>
                <w:tcPr>
                  <w:tcW w:w="562" w:type="dxa"/>
                  <w:tcBorders>
                    <w:tl2br w:val="nil"/>
                    <w:tr2bl w:val="nil"/>
                  </w:tcBorders>
                  <w:noWrap w:val="0"/>
                  <w:vAlign w:val="center"/>
                </w:tcPr>
                <w:p w14:paraId="5AE6FAA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3000</w:t>
                  </w:r>
                </w:p>
              </w:tc>
              <w:tc>
                <w:tcPr>
                  <w:tcW w:w="623" w:type="dxa"/>
                  <w:tcBorders>
                    <w:tl2br w:val="nil"/>
                    <w:tr2bl w:val="nil"/>
                  </w:tcBorders>
                  <w:noWrap w:val="0"/>
                  <w:vAlign w:val="center"/>
                </w:tcPr>
                <w:p w14:paraId="28CB10B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103.3</w:t>
                  </w:r>
                </w:p>
              </w:tc>
              <w:tc>
                <w:tcPr>
                  <w:tcW w:w="551" w:type="dxa"/>
                  <w:tcBorders>
                    <w:tl2br w:val="nil"/>
                    <w:tr2bl w:val="nil"/>
                  </w:tcBorders>
                  <w:noWrap w:val="0"/>
                  <w:vAlign w:val="center"/>
                </w:tcPr>
                <w:p w14:paraId="0D8AB3D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0.31</w:t>
                  </w:r>
                </w:p>
              </w:tc>
              <w:tc>
                <w:tcPr>
                  <w:tcW w:w="461" w:type="dxa"/>
                  <w:tcBorders>
                    <w:tl2br w:val="nil"/>
                    <w:tr2bl w:val="nil"/>
                  </w:tcBorders>
                  <w:noWrap w:val="0"/>
                  <w:vAlign w:val="center"/>
                </w:tcPr>
                <w:p w14:paraId="7FD9073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0.372</w:t>
                  </w:r>
                </w:p>
              </w:tc>
              <w:tc>
                <w:tcPr>
                  <w:tcW w:w="252" w:type="dxa"/>
                  <w:tcBorders>
                    <w:tl2br w:val="nil"/>
                    <w:tr2bl w:val="nil"/>
                  </w:tcBorders>
                  <w:noWrap w:val="0"/>
                  <w:vAlign w:val="center"/>
                </w:tcPr>
                <w:p w14:paraId="459B6B5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eastAsia="zh-CN"/>
                    </w:rPr>
                  </w:pPr>
                  <w:r>
                    <w:rPr>
                      <w:rFonts w:hint="eastAsia" w:ascii="Times New Roman" w:hAnsi="Times New Roman" w:cs="Times New Roman"/>
                      <w:color w:val="auto"/>
                      <w:sz w:val="18"/>
                      <w:szCs w:val="18"/>
                      <w:highlight w:val="none"/>
                      <w:lang w:eastAsia="zh-CN"/>
                    </w:rPr>
                    <w:t>有组织</w:t>
                  </w:r>
                </w:p>
              </w:tc>
              <w:tc>
                <w:tcPr>
                  <w:tcW w:w="446" w:type="dxa"/>
                  <w:tcBorders>
                    <w:tl2br w:val="nil"/>
                    <w:tr2bl w:val="nil"/>
                  </w:tcBorders>
                  <w:noWrap w:val="0"/>
                  <w:vAlign w:val="center"/>
                </w:tcPr>
                <w:p w14:paraId="23D3325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过滤棉+双级</w:t>
                  </w:r>
                  <w:r>
                    <w:rPr>
                      <w:rFonts w:hint="default" w:ascii="Times New Roman" w:hAnsi="Times New Roman" w:eastAsia="宋体" w:cs="Times New Roman"/>
                      <w:color w:val="auto"/>
                      <w:sz w:val="18"/>
                      <w:szCs w:val="18"/>
                      <w:highlight w:val="none"/>
                      <w:lang w:val="en-US" w:eastAsia="zh-CN"/>
                    </w:rPr>
                    <w:t>活性炭</w:t>
                  </w:r>
                  <w:r>
                    <w:rPr>
                      <w:rFonts w:hint="eastAsia" w:ascii="Times New Roman" w:hAnsi="Times New Roman" w:eastAsia="宋体" w:cs="Times New Roman"/>
                      <w:color w:val="auto"/>
                      <w:sz w:val="18"/>
                      <w:szCs w:val="18"/>
                      <w:highlight w:val="none"/>
                      <w:lang w:val="en-US" w:eastAsia="zh-CN"/>
                    </w:rPr>
                    <w:t>吸附</w:t>
                  </w:r>
                </w:p>
              </w:tc>
              <w:tc>
                <w:tcPr>
                  <w:tcW w:w="462" w:type="dxa"/>
                  <w:tcBorders>
                    <w:tl2br w:val="nil"/>
                    <w:tr2bl w:val="nil"/>
                  </w:tcBorders>
                  <w:noWrap w:val="0"/>
                  <w:vAlign w:val="center"/>
                </w:tcPr>
                <w:p w14:paraId="2D60CA6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80</w:t>
                  </w:r>
                  <w:r>
                    <w:rPr>
                      <w:rFonts w:hint="default" w:ascii="Times New Roman" w:hAnsi="Times New Roman" w:cs="Times New Roman"/>
                      <w:color w:val="auto"/>
                      <w:sz w:val="18"/>
                      <w:szCs w:val="18"/>
                      <w:highlight w:val="none"/>
                      <w:lang w:val="en-US" w:eastAsia="zh-CN"/>
                    </w:rPr>
                    <w:t>%</w:t>
                  </w:r>
                </w:p>
              </w:tc>
              <w:tc>
                <w:tcPr>
                  <w:tcW w:w="474" w:type="dxa"/>
                  <w:tcBorders>
                    <w:tl2br w:val="nil"/>
                    <w:tr2bl w:val="nil"/>
                  </w:tcBorders>
                  <w:noWrap w:val="0"/>
                  <w:vAlign w:val="center"/>
                </w:tcPr>
                <w:p w14:paraId="5D2D763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90</w:t>
                  </w:r>
                  <w:r>
                    <w:rPr>
                      <w:rFonts w:hint="default" w:ascii="Times New Roman" w:hAnsi="Times New Roman" w:cs="Times New Roman"/>
                      <w:color w:val="auto"/>
                      <w:sz w:val="18"/>
                      <w:szCs w:val="18"/>
                      <w:highlight w:val="none"/>
                      <w:lang w:val="en-US" w:eastAsia="zh-CN"/>
                    </w:rPr>
                    <w:t>%</w:t>
                  </w:r>
                </w:p>
              </w:tc>
              <w:tc>
                <w:tcPr>
                  <w:tcW w:w="375" w:type="dxa"/>
                  <w:tcBorders>
                    <w:tl2br w:val="nil"/>
                    <w:tr2bl w:val="nil"/>
                  </w:tcBorders>
                  <w:noWrap w:val="0"/>
                  <w:vAlign w:val="center"/>
                </w:tcPr>
                <w:p w14:paraId="0990FFA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是</w:t>
                  </w:r>
                </w:p>
              </w:tc>
              <w:tc>
                <w:tcPr>
                  <w:tcW w:w="534" w:type="dxa"/>
                  <w:tcBorders>
                    <w:tl2br w:val="nil"/>
                    <w:tr2bl w:val="nil"/>
                  </w:tcBorders>
                  <w:noWrap w:val="0"/>
                  <w:vAlign w:val="center"/>
                </w:tcPr>
                <w:p w14:paraId="39F3D64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3000</w:t>
                  </w:r>
                </w:p>
              </w:tc>
              <w:tc>
                <w:tcPr>
                  <w:tcW w:w="587" w:type="dxa"/>
                  <w:tcBorders>
                    <w:tl2br w:val="nil"/>
                    <w:tr2bl w:val="nil"/>
                  </w:tcBorders>
                  <w:noWrap w:val="0"/>
                  <w:vAlign w:val="center"/>
                </w:tcPr>
                <w:p w14:paraId="0D900D2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10.3</w:t>
                  </w:r>
                </w:p>
              </w:tc>
              <w:tc>
                <w:tcPr>
                  <w:tcW w:w="675" w:type="dxa"/>
                  <w:tcBorders>
                    <w:tl2br w:val="nil"/>
                    <w:tr2bl w:val="nil"/>
                  </w:tcBorders>
                  <w:noWrap w:val="0"/>
                  <w:vAlign w:val="center"/>
                </w:tcPr>
                <w:p w14:paraId="2E69EB1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0.031</w:t>
                  </w:r>
                </w:p>
              </w:tc>
              <w:tc>
                <w:tcPr>
                  <w:tcW w:w="645" w:type="dxa"/>
                  <w:tcBorders>
                    <w:tl2br w:val="nil"/>
                    <w:tr2bl w:val="nil"/>
                  </w:tcBorders>
                  <w:noWrap w:val="0"/>
                  <w:vAlign w:val="center"/>
                </w:tcPr>
                <w:p w14:paraId="088AED5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0.0372</w:t>
                  </w:r>
                </w:p>
              </w:tc>
              <w:tc>
                <w:tcPr>
                  <w:tcW w:w="977" w:type="dxa"/>
                  <w:tcBorders>
                    <w:tl2br w:val="nil"/>
                    <w:tr2bl w:val="nil"/>
                  </w:tcBorders>
                  <w:noWrap w:val="0"/>
                  <w:vAlign w:val="center"/>
                </w:tcPr>
                <w:p w14:paraId="0BB91005">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H=15m、内径0.</w:t>
                  </w:r>
                  <w:r>
                    <w:rPr>
                      <w:rFonts w:hint="eastAsia"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lang w:val="en-US" w:eastAsia="zh-CN"/>
                    </w:rPr>
                    <w:t>m、温度</w:t>
                  </w:r>
                  <w:r>
                    <w:rPr>
                      <w:rFonts w:hint="eastAsia" w:ascii="Times New Roman" w:hAnsi="Times New Roman" w:cs="Times New Roman"/>
                      <w:color w:val="auto"/>
                      <w:sz w:val="18"/>
                      <w:szCs w:val="18"/>
                      <w:highlight w:val="none"/>
                      <w:lang w:val="en-US" w:eastAsia="zh-CN"/>
                    </w:rPr>
                    <w:t>25</w:t>
                  </w:r>
                  <w:r>
                    <w:rPr>
                      <w:rFonts w:hint="default" w:ascii="Times New Roman" w:hAnsi="Times New Roman" w:cs="Times New Roman"/>
                      <w:color w:val="auto"/>
                      <w:sz w:val="18"/>
                      <w:szCs w:val="18"/>
                      <w:highlight w:val="none"/>
                      <w:lang w:val="en-US" w:eastAsia="zh-CN"/>
                    </w:rPr>
                    <w:t>℃</w:t>
                  </w:r>
                </w:p>
              </w:tc>
              <w:tc>
                <w:tcPr>
                  <w:tcW w:w="740" w:type="dxa"/>
                  <w:tcBorders>
                    <w:tl2br w:val="nil"/>
                    <w:tr2bl w:val="nil"/>
                  </w:tcBorders>
                  <w:noWrap w:val="0"/>
                  <w:vAlign w:val="center"/>
                </w:tcPr>
                <w:p w14:paraId="0E27D28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DA00</w:t>
                  </w:r>
                  <w:r>
                    <w:rPr>
                      <w:rFonts w:hint="eastAsia"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lang w:val="en-US" w:eastAsia="zh-CN"/>
                    </w:rPr>
                    <w:t>、一般排放口</w:t>
                  </w:r>
                </w:p>
              </w:tc>
              <w:tc>
                <w:tcPr>
                  <w:tcW w:w="1257" w:type="dxa"/>
                  <w:tcBorders>
                    <w:tl2br w:val="nil"/>
                    <w:tr2bl w:val="nil"/>
                  </w:tcBorders>
                  <w:noWrap w:val="0"/>
                  <w:vAlign w:val="center"/>
                </w:tcPr>
                <w:p w14:paraId="3E608DF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经度：</w:t>
                  </w:r>
                </w:p>
                <w:p w14:paraId="6331313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eastAsia="zh-CN"/>
                    </w:rPr>
                  </w:pPr>
                  <w:r>
                    <w:rPr>
                      <w:rStyle w:val="22"/>
                      <w:rFonts w:hint="default" w:ascii="Times New Roman" w:hAnsi="Times New Roman" w:eastAsia="宋体" w:cs="Times New Roman"/>
                      <w:color w:val="auto"/>
                      <w:kern w:val="2"/>
                      <w:sz w:val="18"/>
                      <w:szCs w:val="18"/>
                      <w:highlight w:val="none"/>
                      <w:lang w:val="en-US" w:eastAsia="zh-CN" w:bidi="ar-SA"/>
                    </w:rPr>
                    <w:t>119°</w:t>
                  </w:r>
                  <w:r>
                    <w:rPr>
                      <w:rStyle w:val="22"/>
                      <w:rFonts w:hint="eastAsia" w:ascii="Times New Roman" w:hAnsi="Times New Roman" w:eastAsia="宋体" w:cs="Times New Roman"/>
                      <w:color w:val="auto"/>
                      <w:kern w:val="2"/>
                      <w:sz w:val="18"/>
                      <w:szCs w:val="18"/>
                      <w:highlight w:val="none"/>
                      <w:lang w:val="en-US" w:eastAsia="zh-CN" w:bidi="ar-SA"/>
                    </w:rPr>
                    <w:t>35</w:t>
                  </w:r>
                  <w:r>
                    <w:rPr>
                      <w:rStyle w:val="22"/>
                      <w:rFonts w:hint="default" w:ascii="Times New Roman" w:hAnsi="Times New Roman" w:eastAsia="宋体" w:cs="Times New Roman"/>
                      <w:color w:val="auto"/>
                      <w:kern w:val="2"/>
                      <w:sz w:val="18"/>
                      <w:szCs w:val="18"/>
                      <w:highlight w:val="none"/>
                      <w:lang w:val="en-US" w:eastAsia="zh-CN" w:bidi="ar-SA"/>
                    </w:rPr>
                    <w:t>'</w:t>
                  </w:r>
                  <w:r>
                    <w:rPr>
                      <w:rStyle w:val="22"/>
                      <w:rFonts w:hint="eastAsia" w:ascii="Times New Roman" w:hAnsi="Times New Roman" w:eastAsia="宋体" w:cs="Times New Roman"/>
                      <w:color w:val="auto"/>
                      <w:kern w:val="2"/>
                      <w:sz w:val="18"/>
                      <w:szCs w:val="18"/>
                      <w:highlight w:val="none"/>
                      <w:lang w:val="en-US" w:eastAsia="zh-CN" w:bidi="ar-SA"/>
                    </w:rPr>
                    <w:t>21.841</w:t>
                  </w:r>
                  <w:r>
                    <w:rPr>
                      <w:rStyle w:val="22"/>
                      <w:rFonts w:hint="default" w:ascii="Times New Roman" w:hAnsi="Times New Roman" w:eastAsia="宋体"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lang w:eastAsia="zh-CN"/>
                    </w:rPr>
                    <w:t>纬度：</w:t>
                  </w:r>
                </w:p>
                <w:p w14:paraId="355F8C1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Style w:val="22"/>
                      <w:rFonts w:hint="default" w:ascii="Times New Roman" w:hAnsi="Times New Roman" w:eastAsia="宋体" w:cs="Times New Roman"/>
                      <w:color w:val="auto"/>
                      <w:kern w:val="2"/>
                      <w:sz w:val="18"/>
                      <w:szCs w:val="18"/>
                      <w:highlight w:val="none"/>
                      <w:lang w:val="en-US" w:eastAsia="zh-CN" w:bidi="ar-SA"/>
                    </w:rPr>
                    <w:t>2</w:t>
                  </w:r>
                  <w:r>
                    <w:rPr>
                      <w:rStyle w:val="22"/>
                      <w:rFonts w:hint="eastAsia" w:ascii="Times New Roman" w:hAnsi="Times New Roman" w:eastAsia="宋体" w:cs="Times New Roman"/>
                      <w:color w:val="auto"/>
                      <w:kern w:val="2"/>
                      <w:sz w:val="18"/>
                      <w:szCs w:val="18"/>
                      <w:highlight w:val="none"/>
                      <w:lang w:val="en-US" w:eastAsia="zh-CN" w:bidi="ar-SA"/>
                    </w:rPr>
                    <w:t>5</w:t>
                  </w:r>
                  <w:r>
                    <w:rPr>
                      <w:rStyle w:val="22"/>
                      <w:rFonts w:hint="default" w:ascii="Times New Roman" w:hAnsi="Times New Roman" w:eastAsia="宋体" w:cs="Times New Roman"/>
                      <w:color w:val="auto"/>
                      <w:kern w:val="2"/>
                      <w:sz w:val="18"/>
                      <w:szCs w:val="18"/>
                      <w:highlight w:val="none"/>
                      <w:lang w:val="en-US" w:eastAsia="zh-CN" w:bidi="ar-SA"/>
                    </w:rPr>
                    <w:t xml:space="preserve">° </w:t>
                  </w:r>
                  <w:r>
                    <w:rPr>
                      <w:rStyle w:val="22"/>
                      <w:rFonts w:hint="eastAsia" w:ascii="Times New Roman" w:hAnsi="Times New Roman" w:eastAsia="宋体" w:cs="Times New Roman"/>
                      <w:color w:val="auto"/>
                      <w:kern w:val="2"/>
                      <w:sz w:val="18"/>
                      <w:szCs w:val="18"/>
                      <w:highlight w:val="none"/>
                      <w:lang w:val="en-US" w:eastAsia="zh-CN" w:bidi="ar-SA"/>
                    </w:rPr>
                    <w:t>41</w:t>
                  </w:r>
                  <w:r>
                    <w:rPr>
                      <w:rStyle w:val="22"/>
                      <w:rFonts w:hint="default" w:ascii="Times New Roman" w:hAnsi="Times New Roman" w:eastAsia="宋体" w:cs="Times New Roman"/>
                      <w:color w:val="auto"/>
                      <w:kern w:val="2"/>
                      <w:sz w:val="18"/>
                      <w:szCs w:val="18"/>
                      <w:highlight w:val="none"/>
                      <w:lang w:val="en-US" w:eastAsia="zh-CN" w:bidi="ar-SA"/>
                    </w:rPr>
                    <w:t>'</w:t>
                  </w:r>
                  <w:r>
                    <w:rPr>
                      <w:rStyle w:val="22"/>
                      <w:rFonts w:hint="eastAsia" w:ascii="Times New Roman" w:hAnsi="Times New Roman" w:eastAsia="宋体" w:cs="Times New Roman"/>
                      <w:color w:val="auto"/>
                      <w:kern w:val="2"/>
                      <w:sz w:val="18"/>
                      <w:szCs w:val="18"/>
                      <w:highlight w:val="none"/>
                      <w:lang w:val="en-US" w:eastAsia="zh-CN" w:bidi="ar-SA"/>
                    </w:rPr>
                    <w:t>59.444</w:t>
                  </w:r>
                  <w:r>
                    <w:rPr>
                      <w:rStyle w:val="22"/>
                      <w:rFonts w:hint="default" w:ascii="Times New Roman" w:hAnsi="Times New Roman" w:eastAsia="宋体" w:cs="Times New Roman"/>
                      <w:color w:val="auto"/>
                      <w:kern w:val="2"/>
                      <w:sz w:val="18"/>
                      <w:szCs w:val="18"/>
                      <w:highlight w:val="none"/>
                      <w:lang w:val="en-US" w:eastAsia="zh-CN" w:bidi="ar-SA"/>
                    </w:rPr>
                    <w:t>"</w:t>
                  </w:r>
                </w:p>
              </w:tc>
              <w:tc>
                <w:tcPr>
                  <w:tcW w:w="416" w:type="dxa"/>
                  <w:tcBorders>
                    <w:tl2br w:val="nil"/>
                    <w:tr2bl w:val="nil"/>
                  </w:tcBorders>
                  <w:noWrap w:val="0"/>
                  <w:vAlign w:val="center"/>
                </w:tcPr>
                <w:p w14:paraId="4F8A9E3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1200</w:t>
                  </w:r>
                </w:p>
              </w:tc>
              <w:tc>
                <w:tcPr>
                  <w:tcW w:w="535" w:type="dxa"/>
                  <w:tcBorders>
                    <w:tl2br w:val="nil"/>
                    <w:tr2bl w:val="nil"/>
                  </w:tcBorders>
                  <w:noWrap w:val="0"/>
                  <w:vAlign w:val="center"/>
                </w:tcPr>
                <w:p w14:paraId="6664C03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w:t>
                  </w:r>
                </w:p>
              </w:tc>
              <w:tc>
                <w:tcPr>
                  <w:tcW w:w="440" w:type="dxa"/>
                  <w:tcBorders>
                    <w:tl2br w:val="nil"/>
                    <w:tr2bl w:val="nil"/>
                  </w:tcBorders>
                  <w:noWrap w:val="0"/>
                  <w:vAlign w:val="center"/>
                </w:tcPr>
                <w:p w14:paraId="4CDD784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r>
            <w:tr w14:paraId="17D11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7" w:type="dxa"/>
                  <w:vMerge w:val="continue"/>
                  <w:tcBorders>
                    <w:tl2br w:val="nil"/>
                    <w:tr2bl w:val="nil"/>
                  </w:tcBorders>
                  <w:noWrap w:val="0"/>
                  <w:vAlign w:val="center"/>
                </w:tcPr>
                <w:p w14:paraId="4DED75C5">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p>
              </w:tc>
              <w:tc>
                <w:tcPr>
                  <w:tcW w:w="343" w:type="dxa"/>
                  <w:vMerge w:val="continue"/>
                  <w:tcBorders>
                    <w:tl2br w:val="nil"/>
                    <w:tr2bl w:val="nil"/>
                  </w:tcBorders>
                  <w:noWrap w:val="0"/>
                  <w:vAlign w:val="center"/>
                </w:tcPr>
                <w:p w14:paraId="2104C66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p>
              </w:tc>
              <w:tc>
                <w:tcPr>
                  <w:tcW w:w="293" w:type="dxa"/>
                  <w:vMerge w:val="continue"/>
                  <w:tcBorders>
                    <w:tl2br w:val="nil"/>
                    <w:tr2bl w:val="nil"/>
                  </w:tcBorders>
                  <w:noWrap w:val="0"/>
                  <w:vAlign w:val="center"/>
                </w:tcPr>
                <w:p w14:paraId="03B1276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280" w:type="dxa"/>
                  <w:vMerge w:val="continue"/>
                  <w:tcBorders>
                    <w:tl2br w:val="nil"/>
                    <w:tr2bl w:val="nil"/>
                  </w:tcBorders>
                  <w:noWrap w:val="0"/>
                  <w:vAlign w:val="center"/>
                </w:tcPr>
                <w:p w14:paraId="5BF9356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562" w:type="dxa"/>
                  <w:tcBorders>
                    <w:tl2br w:val="nil"/>
                    <w:tr2bl w:val="nil"/>
                  </w:tcBorders>
                  <w:noWrap w:val="0"/>
                  <w:vAlign w:val="center"/>
                </w:tcPr>
                <w:p w14:paraId="35F4C3F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23" w:type="dxa"/>
                  <w:tcBorders>
                    <w:tl2br w:val="nil"/>
                    <w:tr2bl w:val="nil"/>
                  </w:tcBorders>
                  <w:noWrap w:val="0"/>
                  <w:vAlign w:val="center"/>
                </w:tcPr>
                <w:p w14:paraId="5DF2630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51" w:type="dxa"/>
                  <w:tcBorders>
                    <w:tl2br w:val="nil"/>
                    <w:tr2bl w:val="nil"/>
                  </w:tcBorders>
                  <w:noWrap w:val="0"/>
                  <w:vAlign w:val="center"/>
                </w:tcPr>
                <w:p w14:paraId="230B53F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0.0775</w:t>
                  </w:r>
                </w:p>
              </w:tc>
              <w:tc>
                <w:tcPr>
                  <w:tcW w:w="461" w:type="dxa"/>
                  <w:tcBorders>
                    <w:tl2br w:val="nil"/>
                    <w:tr2bl w:val="nil"/>
                  </w:tcBorders>
                  <w:noWrap w:val="0"/>
                  <w:vAlign w:val="center"/>
                </w:tcPr>
                <w:p w14:paraId="60293A7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0.093</w:t>
                  </w:r>
                </w:p>
              </w:tc>
              <w:tc>
                <w:tcPr>
                  <w:tcW w:w="252" w:type="dxa"/>
                  <w:tcBorders>
                    <w:tl2br w:val="nil"/>
                    <w:tr2bl w:val="nil"/>
                  </w:tcBorders>
                  <w:noWrap w:val="0"/>
                  <w:vAlign w:val="center"/>
                </w:tcPr>
                <w:p w14:paraId="692E09F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eastAsia="zh-CN"/>
                    </w:rPr>
                  </w:pPr>
                  <w:r>
                    <w:rPr>
                      <w:rFonts w:hint="eastAsia" w:ascii="Times New Roman" w:hAnsi="Times New Roman" w:cs="Times New Roman"/>
                      <w:color w:val="auto"/>
                      <w:sz w:val="18"/>
                      <w:szCs w:val="18"/>
                      <w:highlight w:val="none"/>
                      <w:lang w:eastAsia="zh-CN"/>
                    </w:rPr>
                    <w:t>无组织</w:t>
                  </w:r>
                </w:p>
              </w:tc>
              <w:tc>
                <w:tcPr>
                  <w:tcW w:w="446" w:type="dxa"/>
                  <w:tcBorders>
                    <w:tl2br w:val="nil"/>
                    <w:tr2bl w:val="nil"/>
                  </w:tcBorders>
                  <w:noWrap w:val="0"/>
                  <w:vAlign w:val="center"/>
                </w:tcPr>
                <w:p w14:paraId="2BC92EC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462" w:type="dxa"/>
                  <w:tcBorders>
                    <w:tl2br w:val="nil"/>
                    <w:tr2bl w:val="nil"/>
                  </w:tcBorders>
                  <w:noWrap w:val="0"/>
                  <w:vAlign w:val="center"/>
                </w:tcPr>
                <w:p w14:paraId="66F30A0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474" w:type="dxa"/>
                  <w:tcBorders>
                    <w:tl2br w:val="nil"/>
                    <w:tr2bl w:val="nil"/>
                  </w:tcBorders>
                  <w:noWrap w:val="0"/>
                  <w:vAlign w:val="center"/>
                </w:tcPr>
                <w:p w14:paraId="7FAB8D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375" w:type="dxa"/>
                  <w:tcBorders>
                    <w:tl2br w:val="nil"/>
                    <w:tr2bl w:val="nil"/>
                  </w:tcBorders>
                  <w:noWrap w:val="0"/>
                  <w:vAlign w:val="center"/>
                </w:tcPr>
                <w:p w14:paraId="0F6BA5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534" w:type="dxa"/>
                  <w:tcBorders>
                    <w:tl2br w:val="nil"/>
                    <w:tr2bl w:val="nil"/>
                  </w:tcBorders>
                  <w:noWrap w:val="0"/>
                  <w:vAlign w:val="center"/>
                </w:tcPr>
                <w:p w14:paraId="5A7975C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87" w:type="dxa"/>
                  <w:tcBorders>
                    <w:tl2br w:val="nil"/>
                    <w:tr2bl w:val="nil"/>
                  </w:tcBorders>
                  <w:noWrap w:val="0"/>
                  <w:vAlign w:val="center"/>
                </w:tcPr>
                <w:p w14:paraId="5391CD0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75" w:type="dxa"/>
                  <w:tcBorders>
                    <w:tl2br w:val="nil"/>
                    <w:tr2bl w:val="nil"/>
                  </w:tcBorders>
                  <w:noWrap w:val="0"/>
                  <w:vAlign w:val="center"/>
                </w:tcPr>
                <w:p w14:paraId="5B7D9CA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0.0775</w:t>
                  </w:r>
                </w:p>
              </w:tc>
              <w:tc>
                <w:tcPr>
                  <w:tcW w:w="645" w:type="dxa"/>
                  <w:tcBorders>
                    <w:tl2br w:val="nil"/>
                    <w:tr2bl w:val="nil"/>
                  </w:tcBorders>
                  <w:noWrap w:val="0"/>
                  <w:vAlign w:val="center"/>
                </w:tcPr>
                <w:p w14:paraId="267CCF3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0.093</w:t>
                  </w:r>
                </w:p>
              </w:tc>
              <w:tc>
                <w:tcPr>
                  <w:tcW w:w="977" w:type="dxa"/>
                  <w:tcBorders>
                    <w:tl2br w:val="nil"/>
                    <w:tr2bl w:val="nil"/>
                  </w:tcBorders>
                  <w:noWrap w:val="0"/>
                  <w:vAlign w:val="center"/>
                </w:tcPr>
                <w:p w14:paraId="7EAFE92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740" w:type="dxa"/>
                  <w:tcBorders>
                    <w:tl2br w:val="nil"/>
                    <w:tr2bl w:val="nil"/>
                  </w:tcBorders>
                  <w:noWrap w:val="0"/>
                  <w:vAlign w:val="center"/>
                </w:tcPr>
                <w:p w14:paraId="6036EE0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1257" w:type="dxa"/>
                  <w:tcBorders>
                    <w:tl2br w:val="nil"/>
                    <w:tr2bl w:val="nil"/>
                  </w:tcBorders>
                  <w:noWrap w:val="0"/>
                  <w:vAlign w:val="center"/>
                </w:tcPr>
                <w:p w14:paraId="4824D30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416" w:type="dxa"/>
                  <w:tcBorders>
                    <w:tl2br w:val="nil"/>
                    <w:tr2bl w:val="nil"/>
                  </w:tcBorders>
                  <w:noWrap w:val="0"/>
                  <w:vAlign w:val="center"/>
                </w:tcPr>
                <w:p w14:paraId="0866F23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1200</w:t>
                  </w:r>
                </w:p>
              </w:tc>
              <w:tc>
                <w:tcPr>
                  <w:tcW w:w="535" w:type="dxa"/>
                  <w:tcBorders>
                    <w:tl2br w:val="nil"/>
                    <w:tr2bl w:val="nil"/>
                  </w:tcBorders>
                  <w:noWrap w:val="0"/>
                  <w:vAlign w:val="center"/>
                </w:tcPr>
                <w:p w14:paraId="4167712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lang w:val="en-US" w:eastAsia="zh-CN"/>
                    </w:rPr>
                    <w:t>.0</w:t>
                  </w:r>
                </w:p>
              </w:tc>
              <w:tc>
                <w:tcPr>
                  <w:tcW w:w="440" w:type="dxa"/>
                  <w:tcBorders>
                    <w:tl2br w:val="nil"/>
                    <w:tr2bl w:val="nil"/>
                  </w:tcBorders>
                  <w:noWrap w:val="0"/>
                  <w:vAlign w:val="center"/>
                </w:tcPr>
                <w:p w14:paraId="5F404CE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14:paraId="633C5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7" w:type="dxa"/>
                  <w:tcBorders>
                    <w:tl2br w:val="nil"/>
                    <w:tr2bl w:val="nil"/>
                  </w:tcBorders>
                  <w:noWrap w:val="0"/>
                  <w:vAlign w:val="center"/>
                </w:tcPr>
                <w:p w14:paraId="4CF87C5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废机动车切割、</w:t>
                  </w:r>
                </w:p>
              </w:tc>
              <w:tc>
                <w:tcPr>
                  <w:tcW w:w="343" w:type="dxa"/>
                  <w:tcBorders>
                    <w:tl2br w:val="nil"/>
                    <w:tr2bl w:val="nil"/>
                  </w:tcBorders>
                  <w:noWrap w:val="0"/>
                  <w:vAlign w:val="center"/>
                </w:tcPr>
                <w:p w14:paraId="0B24B70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大小车拆解车间</w:t>
                  </w:r>
                </w:p>
              </w:tc>
              <w:tc>
                <w:tcPr>
                  <w:tcW w:w="293" w:type="dxa"/>
                  <w:tcBorders>
                    <w:tl2br w:val="nil"/>
                    <w:tr2bl w:val="nil"/>
                  </w:tcBorders>
                  <w:noWrap w:val="0"/>
                  <w:vAlign w:val="center"/>
                </w:tcPr>
                <w:p w14:paraId="340569E1">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颗粒物</w:t>
                  </w:r>
                </w:p>
              </w:tc>
              <w:tc>
                <w:tcPr>
                  <w:tcW w:w="280" w:type="dxa"/>
                  <w:tcBorders>
                    <w:tl2br w:val="nil"/>
                    <w:tr2bl w:val="nil"/>
                  </w:tcBorders>
                  <w:noWrap w:val="0"/>
                  <w:vAlign w:val="center"/>
                </w:tcPr>
                <w:p w14:paraId="7B4A4F6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产污系数法</w:t>
                  </w:r>
                </w:p>
              </w:tc>
              <w:tc>
                <w:tcPr>
                  <w:tcW w:w="562" w:type="dxa"/>
                  <w:tcBorders>
                    <w:tl2br w:val="nil"/>
                    <w:tr2bl w:val="nil"/>
                  </w:tcBorders>
                  <w:noWrap w:val="0"/>
                  <w:vAlign w:val="center"/>
                </w:tcPr>
                <w:p w14:paraId="218D555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23" w:type="dxa"/>
                  <w:tcBorders>
                    <w:tl2br w:val="nil"/>
                    <w:tr2bl w:val="nil"/>
                  </w:tcBorders>
                  <w:noWrap w:val="0"/>
                  <w:vAlign w:val="center"/>
                </w:tcPr>
                <w:p w14:paraId="589420D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51" w:type="dxa"/>
                  <w:tcBorders>
                    <w:tl2br w:val="nil"/>
                    <w:tr2bl w:val="nil"/>
                  </w:tcBorders>
                  <w:noWrap w:val="0"/>
                  <w:vAlign w:val="center"/>
                </w:tcPr>
                <w:p w14:paraId="0516E42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0.0317</w:t>
                  </w:r>
                </w:p>
              </w:tc>
              <w:tc>
                <w:tcPr>
                  <w:tcW w:w="461" w:type="dxa"/>
                  <w:tcBorders>
                    <w:tl2br w:val="nil"/>
                    <w:tr2bl w:val="nil"/>
                  </w:tcBorders>
                  <w:noWrap w:val="0"/>
                  <w:vAlign w:val="center"/>
                </w:tcPr>
                <w:p w14:paraId="2F54771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0.038</w:t>
                  </w:r>
                </w:p>
              </w:tc>
              <w:tc>
                <w:tcPr>
                  <w:tcW w:w="252" w:type="dxa"/>
                  <w:tcBorders>
                    <w:tl2br w:val="nil"/>
                    <w:tr2bl w:val="nil"/>
                  </w:tcBorders>
                  <w:noWrap w:val="0"/>
                  <w:vAlign w:val="center"/>
                </w:tcPr>
                <w:p w14:paraId="3A93C71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eastAsia="zh-CN"/>
                    </w:rPr>
                  </w:pPr>
                  <w:r>
                    <w:rPr>
                      <w:rFonts w:hint="eastAsia" w:ascii="Times New Roman" w:hAnsi="Times New Roman" w:cs="Times New Roman"/>
                      <w:color w:val="auto"/>
                      <w:sz w:val="18"/>
                      <w:szCs w:val="18"/>
                      <w:highlight w:val="none"/>
                      <w:lang w:eastAsia="zh-CN"/>
                    </w:rPr>
                    <w:t>无组织</w:t>
                  </w:r>
                </w:p>
              </w:tc>
              <w:tc>
                <w:tcPr>
                  <w:tcW w:w="446" w:type="dxa"/>
                  <w:tcBorders>
                    <w:tl2br w:val="nil"/>
                    <w:tr2bl w:val="nil"/>
                  </w:tcBorders>
                  <w:noWrap w:val="0"/>
                  <w:vAlign w:val="center"/>
                </w:tcPr>
                <w:p w14:paraId="6504430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移动布袋除尘器、室内重力沉降</w:t>
                  </w:r>
                </w:p>
              </w:tc>
              <w:tc>
                <w:tcPr>
                  <w:tcW w:w="462" w:type="dxa"/>
                  <w:tcBorders>
                    <w:tl2br w:val="nil"/>
                    <w:tr2bl w:val="nil"/>
                  </w:tcBorders>
                  <w:noWrap w:val="0"/>
                  <w:vAlign w:val="center"/>
                </w:tcPr>
                <w:p w14:paraId="5790DE7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移动布袋除尘器</w:t>
                  </w:r>
                  <w:r>
                    <w:rPr>
                      <w:rFonts w:hint="eastAsia" w:ascii="Times New Roman" w:hAnsi="Times New Roman" w:cs="Times New Roman"/>
                      <w:color w:val="auto"/>
                      <w:kern w:val="2"/>
                      <w:sz w:val="18"/>
                      <w:szCs w:val="18"/>
                      <w:highlight w:val="none"/>
                      <w:lang w:val="en-US" w:eastAsia="zh-CN" w:bidi="ar-SA"/>
                    </w:rPr>
                    <w:t>75%</w:t>
                  </w:r>
                </w:p>
              </w:tc>
              <w:tc>
                <w:tcPr>
                  <w:tcW w:w="474" w:type="dxa"/>
                  <w:tcBorders>
                    <w:tl2br w:val="nil"/>
                    <w:tr2bl w:val="nil"/>
                  </w:tcBorders>
                  <w:noWrap w:val="0"/>
                  <w:vAlign w:val="center"/>
                </w:tcPr>
                <w:p w14:paraId="5BC7936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移动布袋除尘器90%，重力沉降80%</w:t>
                  </w:r>
                </w:p>
              </w:tc>
              <w:tc>
                <w:tcPr>
                  <w:tcW w:w="375" w:type="dxa"/>
                  <w:tcBorders>
                    <w:tl2br w:val="nil"/>
                    <w:tr2bl w:val="nil"/>
                  </w:tcBorders>
                  <w:noWrap w:val="0"/>
                  <w:vAlign w:val="center"/>
                </w:tcPr>
                <w:p w14:paraId="1A170F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是</w:t>
                  </w:r>
                </w:p>
              </w:tc>
              <w:tc>
                <w:tcPr>
                  <w:tcW w:w="534" w:type="dxa"/>
                  <w:tcBorders>
                    <w:tl2br w:val="nil"/>
                    <w:tr2bl w:val="nil"/>
                  </w:tcBorders>
                  <w:noWrap w:val="0"/>
                  <w:vAlign w:val="center"/>
                </w:tcPr>
                <w:p w14:paraId="4EEACC5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87" w:type="dxa"/>
                  <w:tcBorders>
                    <w:tl2br w:val="nil"/>
                    <w:tr2bl w:val="nil"/>
                  </w:tcBorders>
                  <w:noWrap w:val="0"/>
                  <w:vAlign w:val="center"/>
                </w:tcPr>
                <w:p w14:paraId="2D31B23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75" w:type="dxa"/>
                  <w:tcBorders>
                    <w:tl2br w:val="nil"/>
                    <w:tr2bl w:val="nil"/>
                  </w:tcBorders>
                  <w:noWrap w:val="0"/>
                  <w:vAlign w:val="center"/>
                </w:tcPr>
                <w:p w14:paraId="5EAC30D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0.0021</w:t>
                  </w:r>
                </w:p>
              </w:tc>
              <w:tc>
                <w:tcPr>
                  <w:tcW w:w="645" w:type="dxa"/>
                  <w:tcBorders>
                    <w:tl2br w:val="nil"/>
                    <w:tr2bl w:val="nil"/>
                  </w:tcBorders>
                  <w:noWrap w:val="0"/>
                  <w:vAlign w:val="center"/>
                </w:tcPr>
                <w:p w14:paraId="5CEE43E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0.0025</w:t>
                  </w:r>
                </w:p>
              </w:tc>
              <w:tc>
                <w:tcPr>
                  <w:tcW w:w="977" w:type="dxa"/>
                  <w:tcBorders>
                    <w:tl2br w:val="nil"/>
                    <w:tr2bl w:val="nil"/>
                  </w:tcBorders>
                  <w:noWrap w:val="0"/>
                  <w:vAlign w:val="center"/>
                </w:tcPr>
                <w:p w14:paraId="5E950C1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740" w:type="dxa"/>
                  <w:tcBorders>
                    <w:tl2br w:val="nil"/>
                    <w:tr2bl w:val="nil"/>
                  </w:tcBorders>
                  <w:noWrap w:val="0"/>
                  <w:vAlign w:val="center"/>
                </w:tcPr>
                <w:p w14:paraId="20C0B4C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1257" w:type="dxa"/>
                  <w:tcBorders>
                    <w:tl2br w:val="nil"/>
                    <w:tr2bl w:val="nil"/>
                  </w:tcBorders>
                  <w:noWrap w:val="0"/>
                  <w:vAlign w:val="center"/>
                </w:tcPr>
                <w:p w14:paraId="6786FB7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416" w:type="dxa"/>
                  <w:tcBorders>
                    <w:tl2br w:val="nil"/>
                    <w:tr2bl w:val="nil"/>
                  </w:tcBorders>
                  <w:noWrap w:val="0"/>
                  <w:vAlign w:val="center"/>
                </w:tcPr>
                <w:p w14:paraId="7215A7D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1200</w:t>
                  </w:r>
                </w:p>
              </w:tc>
              <w:tc>
                <w:tcPr>
                  <w:tcW w:w="535" w:type="dxa"/>
                  <w:tcBorders>
                    <w:tl2br w:val="nil"/>
                    <w:tr2bl w:val="nil"/>
                  </w:tcBorders>
                  <w:noWrap w:val="0"/>
                  <w:vAlign w:val="center"/>
                </w:tcPr>
                <w:p w14:paraId="7F72FB4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440" w:type="dxa"/>
                  <w:tcBorders>
                    <w:tl2br w:val="nil"/>
                    <w:tr2bl w:val="nil"/>
                  </w:tcBorders>
                  <w:noWrap w:val="0"/>
                  <w:vAlign w:val="center"/>
                </w:tcPr>
                <w:p w14:paraId="2F08FEA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r w14:paraId="3B930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7" w:type="dxa"/>
                  <w:tcBorders>
                    <w:tl2br w:val="nil"/>
                    <w:tr2bl w:val="nil"/>
                  </w:tcBorders>
                  <w:noWrap w:val="0"/>
                  <w:vAlign w:val="center"/>
                </w:tcPr>
                <w:p w14:paraId="350E20C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废机动车剪切、打包</w:t>
                  </w:r>
                </w:p>
              </w:tc>
              <w:tc>
                <w:tcPr>
                  <w:tcW w:w="343" w:type="dxa"/>
                  <w:tcBorders>
                    <w:tl2br w:val="nil"/>
                    <w:tr2bl w:val="nil"/>
                  </w:tcBorders>
                  <w:noWrap w:val="0"/>
                  <w:vAlign w:val="center"/>
                </w:tcPr>
                <w:p w14:paraId="5DD68365">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大小车拆解车间</w:t>
                  </w:r>
                </w:p>
              </w:tc>
              <w:tc>
                <w:tcPr>
                  <w:tcW w:w="293" w:type="dxa"/>
                  <w:tcBorders>
                    <w:tl2br w:val="nil"/>
                    <w:tr2bl w:val="nil"/>
                  </w:tcBorders>
                  <w:noWrap w:val="0"/>
                  <w:vAlign w:val="center"/>
                </w:tcPr>
                <w:p w14:paraId="006B617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颗粒物</w:t>
                  </w:r>
                </w:p>
              </w:tc>
              <w:tc>
                <w:tcPr>
                  <w:tcW w:w="280" w:type="dxa"/>
                  <w:tcBorders>
                    <w:tl2br w:val="nil"/>
                    <w:tr2bl w:val="nil"/>
                  </w:tcBorders>
                  <w:noWrap w:val="0"/>
                  <w:vAlign w:val="center"/>
                </w:tcPr>
                <w:p w14:paraId="35CA101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产污系数法</w:t>
                  </w:r>
                </w:p>
              </w:tc>
              <w:tc>
                <w:tcPr>
                  <w:tcW w:w="562" w:type="dxa"/>
                  <w:tcBorders>
                    <w:tl2br w:val="nil"/>
                    <w:tr2bl w:val="nil"/>
                  </w:tcBorders>
                  <w:noWrap w:val="0"/>
                  <w:vAlign w:val="center"/>
                </w:tcPr>
                <w:p w14:paraId="5228F89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23" w:type="dxa"/>
                  <w:tcBorders>
                    <w:tl2br w:val="nil"/>
                    <w:tr2bl w:val="nil"/>
                  </w:tcBorders>
                  <w:noWrap w:val="0"/>
                  <w:vAlign w:val="center"/>
                </w:tcPr>
                <w:p w14:paraId="52C8954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51" w:type="dxa"/>
                  <w:tcBorders>
                    <w:tl2br w:val="nil"/>
                    <w:tr2bl w:val="nil"/>
                  </w:tcBorders>
                  <w:noWrap w:val="0"/>
                  <w:vAlign w:val="center"/>
                </w:tcPr>
                <w:p w14:paraId="578C870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0.21</w:t>
                  </w:r>
                </w:p>
              </w:tc>
              <w:tc>
                <w:tcPr>
                  <w:tcW w:w="461" w:type="dxa"/>
                  <w:tcBorders>
                    <w:tl2br w:val="nil"/>
                    <w:tr2bl w:val="nil"/>
                  </w:tcBorders>
                  <w:noWrap w:val="0"/>
                  <w:vAlign w:val="center"/>
                </w:tcPr>
                <w:p w14:paraId="7123889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0.252</w:t>
                  </w:r>
                </w:p>
              </w:tc>
              <w:tc>
                <w:tcPr>
                  <w:tcW w:w="252" w:type="dxa"/>
                  <w:tcBorders>
                    <w:tl2br w:val="nil"/>
                    <w:tr2bl w:val="nil"/>
                  </w:tcBorders>
                  <w:noWrap w:val="0"/>
                  <w:vAlign w:val="center"/>
                </w:tcPr>
                <w:p w14:paraId="633F7D0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无组织</w:t>
                  </w:r>
                </w:p>
              </w:tc>
              <w:tc>
                <w:tcPr>
                  <w:tcW w:w="446" w:type="dxa"/>
                  <w:tcBorders>
                    <w:tl2br w:val="nil"/>
                    <w:tr2bl w:val="nil"/>
                  </w:tcBorders>
                  <w:noWrap w:val="0"/>
                  <w:vAlign w:val="center"/>
                </w:tcPr>
                <w:p w14:paraId="5A1FB29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室内重力沉降</w:t>
                  </w:r>
                </w:p>
              </w:tc>
              <w:tc>
                <w:tcPr>
                  <w:tcW w:w="462" w:type="dxa"/>
                  <w:tcBorders>
                    <w:tl2br w:val="nil"/>
                    <w:tr2bl w:val="nil"/>
                  </w:tcBorders>
                  <w:noWrap w:val="0"/>
                  <w:vAlign w:val="center"/>
                </w:tcPr>
                <w:p w14:paraId="02EA4E3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474" w:type="dxa"/>
                  <w:tcBorders>
                    <w:tl2br w:val="nil"/>
                    <w:tr2bl w:val="nil"/>
                  </w:tcBorders>
                  <w:noWrap w:val="0"/>
                  <w:vAlign w:val="center"/>
                </w:tcPr>
                <w:p w14:paraId="50F6319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重力沉降80%</w:t>
                  </w:r>
                </w:p>
              </w:tc>
              <w:tc>
                <w:tcPr>
                  <w:tcW w:w="375" w:type="dxa"/>
                  <w:tcBorders>
                    <w:tl2br w:val="nil"/>
                    <w:tr2bl w:val="nil"/>
                  </w:tcBorders>
                  <w:noWrap w:val="0"/>
                  <w:vAlign w:val="center"/>
                </w:tcPr>
                <w:p w14:paraId="253C91E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534" w:type="dxa"/>
                  <w:tcBorders>
                    <w:tl2br w:val="nil"/>
                    <w:tr2bl w:val="nil"/>
                  </w:tcBorders>
                  <w:noWrap w:val="0"/>
                  <w:vAlign w:val="center"/>
                </w:tcPr>
                <w:p w14:paraId="7B343D9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87" w:type="dxa"/>
                  <w:tcBorders>
                    <w:tl2br w:val="nil"/>
                    <w:tr2bl w:val="nil"/>
                  </w:tcBorders>
                  <w:noWrap w:val="0"/>
                  <w:vAlign w:val="center"/>
                </w:tcPr>
                <w:p w14:paraId="06B8D73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75" w:type="dxa"/>
                  <w:tcBorders>
                    <w:tl2br w:val="nil"/>
                    <w:tr2bl w:val="nil"/>
                  </w:tcBorders>
                  <w:noWrap w:val="0"/>
                  <w:vAlign w:val="center"/>
                </w:tcPr>
                <w:p w14:paraId="2D38EC9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0.042</w:t>
                  </w:r>
                </w:p>
              </w:tc>
              <w:tc>
                <w:tcPr>
                  <w:tcW w:w="645" w:type="dxa"/>
                  <w:tcBorders>
                    <w:tl2br w:val="nil"/>
                    <w:tr2bl w:val="nil"/>
                  </w:tcBorders>
                  <w:noWrap w:val="0"/>
                  <w:vAlign w:val="center"/>
                </w:tcPr>
                <w:p w14:paraId="0339D91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0.0504</w:t>
                  </w:r>
                </w:p>
              </w:tc>
              <w:tc>
                <w:tcPr>
                  <w:tcW w:w="977" w:type="dxa"/>
                  <w:tcBorders>
                    <w:tl2br w:val="nil"/>
                    <w:tr2bl w:val="nil"/>
                  </w:tcBorders>
                  <w:noWrap w:val="0"/>
                  <w:vAlign w:val="center"/>
                </w:tcPr>
                <w:p w14:paraId="132B95A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740" w:type="dxa"/>
                  <w:tcBorders>
                    <w:tl2br w:val="nil"/>
                    <w:tr2bl w:val="nil"/>
                  </w:tcBorders>
                  <w:noWrap w:val="0"/>
                  <w:vAlign w:val="center"/>
                </w:tcPr>
                <w:p w14:paraId="4E4BD99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1257" w:type="dxa"/>
                  <w:tcBorders>
                    <w:tl2br w:val="nil"/>
                    <w:tr2bl w:val="nil"/>
                  </w:tcBorders>
                  <w:noWrap w:val="0"/>
                  <w:vAlign w:val="center"/>
                </w:tcPr>
                <w:p w14:paraId="7F83CDF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416" w:type="dxa"/>
                  <w:tcBorders>
                    <w:tl2br w:val="nil"/>
                    <w:tr2bl w:val="nil"/>
                  </w:tcBorders>
                  <w:noWrap w:val="0"/>
                  <w:vAlign w:val="center"/>
                </w:tcPr>
                <w:p w14:paraId="4661D18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1200</w:t>
                  </w:r>
                </w:p>
              </w:tc>
              <w:tc>
                <w:tcPr>
                  <w:tcW w:w="535" w:type="dxa"/>
                  <w:tcBorders>
                    <w:tl2br w:val="nil"/>
                    <w:tr2bl w:val="nil"/>
                  </w:tcBorders>
                  <w:noWrap w:val="0"/>
                  <w:vAlign w:val="center"/>
                </w:tcPr>
                <w:p w14:paraId="24F407E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440" w:type="dxa"/>
                  <w:tcBorders>
                    <w:tl2br w:val="nil"/>
                    <w:tr2bl w:val="nil"/>
                  </w:tcBorders>
                  <w:noWrap w:val="0"/>
                  <w:vAlign w:val="center"/>
                </w:tcPr>
                <w:p w14:paraId="17F53675">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r w14:paraId="541F4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7" w:type="dxa"/>
                  <w:tcBorders>
                    <w:tl2br w:val="nil"/>
                    <w:tr2bl w:val="nil"/>
                  </w:tcBorders>
                  <w:noWrap w:val="0"/>
                  <w:vAlign w:val="center"/>
                </w:tcPr>
                <w:p w14:paraId="32AE74C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废电机切割</w:t>
                  </w:r>
                </w:p>
              </w:tc>
              <w:tc>
                <w:tcPr>
                  <w:tcW w:w="343" w:type="dxa"/>
                  <w:tcBorders>
                    <w:tl2br w:val="nil"/>
                    <w:tr2bl w:val="nil"/>
                  </w:tcBorders>
                  <w:noWrap w:val="0"/>
                  <w:vAlign w:val="center"/>
                </w:tcPr>
                <w:p w14:paraId="231E1EB1">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废电机拆解车间</w:t>
                  </w:r>
                </w:p>
              </w:tc>
              <w:tc>
                <w:tcPr>
                  <w:tcW w:w="293" w:type="dxa"/>
                  <w:tcBorders>
                    <w:tl2br w:val="nil"/>
                    <w:tr2bl w:val="nil"/>
                  </w:tcBorders>
                  <w:noWrap w:val="0"/>
                  <w:vAlign w:val="center"/>
                </w:tcPr>
                <w:p w14:paraId="4BBA378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颗粒物</w:t>
                  </w:r>
                </w:p>
              </w:tc>
              <w:tc>
                <w:tcPr>
                  <w:tcW w:w="280" w:type="dxa"/>
                  <w:tcBorders>
                    <w:tl2br w:val="nil"/>
                    <w:tr2bl w:val="nil"/>
                  </w:tcBorders>
                  <w:noWrap w:val="0"/>
                  <w:vAlign w:val="center"/>
                </w:tcPr>
                <w:p w14:paraId="4908D02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产污系数法</w:t>
                  </w:r>
                </w:p>
              </w:tc>
              <w:tc>
                <w:tcPr>
                  <w:tcW w:w="562" w:type="dxa"/>
                  <w:tcBorders>
                    <w:tl2br w:val="nil"/>
                    <w:tr2bl w:val="nil"/>
                  </w:tcBorders>
                  <w:noWrap w:val="0"/>
                  <w:vAlign w:val="center"/>
                </w:tcPr>
                <w:p w14:paraId="31BCB10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23" w:type="dxa"/>
                  <w:tcBorders>
                    <w:tl2br w:val="nil"/>
                    <w:tr2bl w:val="nil"/>
                  </w:tcBorders>
                  <w:noWrap w:val="0"/>
                  <w:vAlign w:val="center"/>
                </w:tcPr>
                <w:p w14:paraId="61C6B12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51" w:type="dxa"/>
                  <w:tcBorders>
                    <w:tl2br w:val="nil"/>
                    <w:tr2bl w:val="nil"/>
                  </w:tcBorders>
                  <w:noWrap w:val="0"/>
                  <w:vAlign w:val="center"/>
                </w:tcPr>
                <w:p w14:paraId="2534217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0.005</w:t>
                  </w:r>
                </w:p>
              </w:tc>
              <w:tc>
                <w:tcPr>
                  <w:tcW w:w="461" w:type="dxa"/>
                  <w:tcBorders>
                    <w:tl2br w:val="nil"/>
                    <w:tr2bl w:val="nil"/>
                  </w:tcBorders>
                  <w:noWrap w:val="0"/>
                  <w:vAlign w:val="center"/>
                </w:tcPr>
                <w:p w14:paraId="450CAB45">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0.006</w:t>
                  </w:r>
                </w:p>
              </w:tc>
              <w:tc>
                <w:tcPr>
                  <w:tcW w:w="252" w:type="dxa"/>
                  <w:tcBorders>
                    <w:tl2br w:val="nil"/>
                    <w:tr2bl w:val="nil"/>
                  </w:tcBorders>
                  <w:noWrap w:val="0"/>
                  <w:vAlign w:val="center"/>
                </w:tcPr>
                <w:p w14:paraId="2E60B31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eastAsia="zh-CN"/>
                    </w:rPr>
                  </w:pPr>
                  <w:r>
                    <w:rPr>
                      <w:rFonts w:hint="eastAsia" w:ascii="Times New Roman" w:hAnsi="Times New Roman" w:cs="Times New Roman"/>
                      <w:color w:val="auto"/>
                      <w:sz w:val="18"/>
                      <w:szCs w:val="18"/>
                      <w:highlight w:val="none"/>
                      <w:lang w:eastAsia="zh-CN"/>
                    </w:rPr>
                    <w:t>无组织</w:t>
                  </w:r>
                </w:p>
              </w:tc>
              <w:tc>
                <w:tcPr>
                  <w:tcW w:w="446" w:type="dxa"/>
                  <w:tcBorders>
                    <w:tl2br w:val="nil"/>
                    <w:tr2bl w:val="nil"/>
                  </w:tcBorders>
                  <w:noWrap w:val="0"/>
                  <w:vAlign w:val="center"/>
                </w:tcPr>
                <w:p w14:paraId="6747EE9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移动布袋除尘器、室内重力沉降</w:t>
                  </w:r>
                </w:p>
              </w:tc>
              <w:tc>
                <w:tcPr>
                  <w:tcW w:w="462" w:type="dxa"/>
                  <w:tcBorders>
                    <w:tl2br w:val="nil"/>
                    <w:tr2bl w:val="nil"/>
                  </w:tcBorders>
                  <w:noWrap w:val="0"/>
                  <w:vAlign w:val="center"/>
                </w:tcPr>
                <w:p w14:paraId="3BCCF8B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移动布袋除尘器</w:t>
                  </w:r>
                  <w:r>
                    <w:rPr>
                      <w:rFonts w:hint="eastAsia" w:ascii="Times New Roman" w:hAnsi="Times New Roman" w:cs="Times New Roman"/>
                      <w:color w:val="auto"/>
                      <w:kern w:val="2"/>
                      <w:sz w:val="18"/>
                      <w:szCs w:val="18"/>
                      <w:highlight w:val="none"/>
                      <w:lang w:val="en-US" w:eastAsia="zh-CN" w:bidi="ar-SA"/>
                    </w:rPr>
                    <w:t>75%</w:t>
                  </w:r>
                </w:p>
              </w:tc>
              <w:tc>
                <w:tcPr>
                  <w:tcW w:w="474" w:type="dxa"/>
                  <w:tcBorders>
                    <w:tl2br w:val="nil"/>
                    <w:tr2bl w:val="nil"/>
                  </w:tcBorders>
                  <w:noWrap w:val="0"/>
                  <w:vAlign w:val="center"/>
                </w:tcPr>
                <w:p w14:paraId="763C577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移动布袋除尘器90%，重力沉降80%</w:t>
                  </w:r>
                </w:p>
              </w:tc>
              <w:tc>
                <w:tcPr>
                  <w:tcW w:w="375" w:type="dxa"/>
                  <w:tcBorders>
                    <w:tl2br w:val="nil"/>
                    <w:tr2bl w:val="nil"/>
                  </w:tcBorders>
                  <w:noWrap w:val="0"/>
                  <w:vAlign w:val="center"/>
                </w:tcPr>
                <w:p w14:paraId="0FEDDFE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是</w:t>
                  </w:r>
                </w:p>
              </w:tc>
              <w:tc>
                <w:tcPr>
                  <w:tcW w:w="534" w:type="dxa"/>
                  <w:tcBorders>
                    <w:tl2br w:val="nil"/>
                    <w:tr2bl w:val="nil"/>
                  </w:tcBorders>
                  <w:noWrap w:val="0"/>
                  <w:vAlign w:val="center"/>
                </w:tcPr>
                <w:p w14:paraId="6888501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87" w:type="dxa"/>
                  <w:tcBorders>
                    <w:tl2br w:val="nil"/>
                    <w:tr2bl w:val="nil"/>
                  </w:tcBorders>
                  <w:noWrap w:val="0"/>
                  <w:vAlign w:val="center"/>
                </w:tcPr>
                <w:p w14:paraId="09343465">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75" w:type="dxa"/>
                  <w:tcBorders>
                    <w:tl2br w:val="nil"/>
                    <w:tr2bl w:val="nil"/>
                  </w:tcBorders>
                  <w:noWrap w:val="0"/>
                  <w:vAlign w:val="center"/>
                </w:tcPr>
                <w:p w14:paraId="6F42E5C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0.0003</w:t>
                  </w:r>
                </w:p>
              </w:tc>
              <w:tc>
                <w:tcPr>
                  <w:tcW w:w="645" w:type="dxa"/>
                  <w:tcBorders>
                    <w:tl2br w:val="nil"/>
                    <w:tr2bl w:val="nil"/>
                  </w:tcBorders>
                  <w:noWrap w:val="0"/>
                  <w:vAlign w:val="center"/>
                </w:tcPr>
                <w:p w14:paraId="7181FE1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0.0004</w:t>
                  </w:r>
                </w:p>
              </w:tc>
              <w:tc>
                <w:tcPr>
                  <w:tcW w:w="977" w:type="dxa"/>
                  <w:tcBorders>
                    <w:tl2br w:val="nil"/>
                    <w:tr2bl w:val="nil"/>
                  </w:tcBorders>
                  <w:noWrap w:val="0"/>
                  <w:vAlign w:val="center"/>
                </w:tcPr>
                <w:p w14:paraId="5BAE003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740" w:type="dxa"/>
                  <w:tcBorders>
                    <w:tl2br w:val="nil"/>
                    <w:tr2bl w:val="nil"/>
                  </w:tcBorders>
                  <w:noWrap w:val="0"/>
                  <w:vAlign w:val="center"/>
                </w:tcPr>
                <w:p w14:paraId="33283E21">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1257" w:type="dxa"/>
                  <w:tcBorders>
                    <w:tl2br w:val="nil"/>
                    <w:tr2bl w:val="nil"/>
                  </w:tcBorders>
                  <w:noWrap w:val="0"/>
                  <w:vAlign w:val="center"/>
                </w:tcPr>
                <w:p w14:paraId="2084DBA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416" w:type="dxa"/>
                  <w:tcBorders>
                    <w:tl2br w:val="nil"/>
                    <w:tr2bl w:val="nil"/>
                  </w:tcBorders>
                  <w:noWrap w:val="0"/>
                  <w:vAlign w:val="center"/>
                </w:tcPr>
                <w:p w14:paraId="3707BD6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1200</w:t>
                  </w:r>
                </w:p>
              </w:tc>
              <w:tc>
                <w:tcPr>
                  <w:tcW w:w="535" w:type="dxa"/>
                  <w:tcBorders>
                    <w:tl2br w:val="nil"/>
                    <w:tr2bl w:val="nil"/>
                  </w:tcBorders>
                  <w:noWrap w:val="0"/>
                  <w:vAlign w:val="center"/>
                </w:tcPr>
                <w:p w14:paraId="0E30BB5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440" w:type="dxa"/>
                  <w:tcBorders>
                    <w:tl2br w:val="nil"/>
                    <w:tr2bl w:val="nil"/>
                  </w:tcBorders>
                  <w:noWrap w:val="0"/>
                  <w:vAlign w:val="center"/>
                </w:tcPr>
                <w:p w14:paraId="4347FBB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r w14:paraId="3B30A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7" w:type="dxa"/>
                  <w:tcBorders>
                    <w:tl2br w:val="nil"/>
                    <w:tr2bl w:val="nil"/>
                  </w:tcBorders>
                  <w:noWrap w:val="0"/>
                  <w:vAlign w:val="center"/>
                </w:tcPr>
                <w:p w14:paraId="45C3D6C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废变压器切割</w:t>
                  </w:r>
                </w:p>
              </w:tc>
              <w:tc>
                <w:tcPr>
                  <w:tcW w:w="343" w:type="dxa"/>
                  <w:tcBorders>
                    <w:tl2br w:val="nil"/>
                    <w:tr2bl w:val="nil"/>
                  </w:tcBorders>
                  <w:noWrap w:val="0"/>
                  <w:vAlign w:val="center"/>
                </w:tcPr>
                <w:p w14:paraId="0EDA7CA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废变压器拆解车间</w:t>
                  </w:r>
                </w:p>
              </w:tc>
              <w:tc>
                <w:tcPr>
                  <w:tcW w:w="293" w:type="dxa"/>
                  <w:tcBorders>
                    <w:tl2br w:val="nil"/>
                    <w:tr2bl w:val="nil"/>
                  </w:tcBorders>
                  <w:noWrap w:val="0"/>
                  <w:vAlign w:val="center"/>
                </w:tcPr>
                <w:p w14:paraId="419CE0F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颗粒物</w:t>
                  </w:r>
                </w:p>
              </w:tc>
              <w:tc>
                <w:tcPr>
                  <w:tcW w:w="280" w:type="dxa"/>
                  <w:tcBorders>
                    <w:tl2br w:val="nil"/>
                    <w:tr2bl w:val="nil"/>
                  </w:tcBorders>
                  <w:noWrap w:val="0"/>
                  <w:vAlign w:val="center"/>
                </w:tcPr>
                <w:p w14:paraId="34D2925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产污系数法</w:t>
                  </w:r>
                </w:p>
              </w:tc>
              <w:tc>
                <w:tcPr>
                  <w:tcW w:w="562" w:type="dxa"/>
                  <w:tcBorders>
                    <w:tl2br w:val="nil"/>
                    <w:tr2bl w:val="nil"/>
                  </w:tcBorders>
                  <w:noWrap w:val="0"/>
                  <w:vAlign w:val="center"/>
                </w:tcPr>
                <w:p w14:paraId="475821A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23" w:type="dxa"/>
                  <w:tcBorders>
                    <w:tl2br w:val="nil"/>
                    <w:tr2bl w:val="nil"/>
                  </w:tcBorders>
                  <w:noWrap w:val="0"/>
                  <w:vAlign w:val="center"/>
                </w:tcPr>
                <w:p w14:paraId="4968E64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51" w:type="dxa"/>
                  <w:tcBorders>
                    <w:tl2br w:val="nil"/>
                    <w:tr2bl w:val="nil"/>
                  </w:tcBorders>
                  <w:noWrap w:val="0"/>
                  <w:vAlign w:val="center"/>
                </w:tcPr>
                <w:p w14:paraId="642EEB2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0.0067</w:t>
                  </w:r>
                </w:p>
              </w:tc>
              <w:tc>
                <w:tcPr>
                  <w:tcW w:w="461" w:type="dxa"/>
                  <w:tcBorders>
                    <w:tl2br w:val="nil"/>
                    <w:tr2bl w:val="nil"/>
                  </w:tcBorders>
                  <w:noWrap w:val="0"/>
                  <w:vAlign w:val="center"/>
                </w:tcPr>
                <w:p w14:paraId="6EF45B36">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0.008</w:t>
                  </w:r>
                </w:p>
              </w:tc>
              <w:tc>
                <w:tcPr>
                  <w:tcW w:w="252" w:type="dxa"/>
                  <w:tcBorders>
                    <w:tl2br w:val="nil"/>
                    <w:tr2bl w:val="nil"/>
                  </w:tcBorders>
                  <w:noWrap w:val="0"/>
                  <w:vAlign w:val="center"/>
                </w:tcPr>
                <w:p w14:paraId="320A994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eastAsia="zh-CN"/>
                    </w:rPr>
                  </w:pPr>
                  <w:r>
                    <w:rPr>
                      <w:rFonts w:hint="eastAsia" w:ascii="Times New Roman" w:hAnsi="Times New Roman" w:cs="Times New Roman"/>
                      <w:color w:val="auto"/>
                      <w:sz w:val="18"/>
                      <w:szCs w:val="18"/>
                      <w:highlight w:val="none"/>
                      <w:lang w:eastAsia="zh-CN"/>
                    </w:rPr>
                    <w:t>无组织</w:t>
                  </w:r>
                </w:p>
              </w:tc>
              <w:tc>
                <w:tcPr>
                  <w:tcW w:w="446" w:type="dxa"/>
                  <w:tcBorders>
                    <w:tl2br w:val="nil"/>
                    <w:tr2bl w:val="nil"/>
                  </w:tcBorders>
                  <w:noWrap w:val="0"/>
                  <w:vAlign w:val="center"/>
                </w:tcPr>
                <w:p w14:paraId="42974B8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移动布袋除尘器、室内重力沉降</w:t>
                  </w:r>
                </w:p>
              </w:tc>
              <w:tc>
                <w:tcPr>
                  <w:tcW w:w="462" w:type="dxa"/>
                  <w:tcBorders>
                    <w:tl2br w:val="nil"/>
                    <w:tr2bl w:val="nil"/>
                  </w:tcBorders>
                  <w:noWrap w:val="0"/>
                  <w:vAlign w:val="center"/>
                </w:tcPr>
                <w:p w14:paraId="739B70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移动布袋除尘器</w:t>
                  </w:r>
                  <w:r>
                    <w:rPr>
                      <w:rFonts w:hint="eastAsia" w:ascii="Times New Roman" w:hAnsi="Times New Roman" w:cs="Times New Roman"/>
                      <w:color w:val="auto"/>
                      <w:kern w:val="2"/>
                      <w:sz w:val="18"/>
                      <w:szCs w:val="18"/>
                      <w:highlight w:val="none"/>
                      <w:lang w:val="en-US" w:eastAsia="zh-CN" w:bidi="ar-SA"/>
                    </w:rPr>
                    <w:t>75%</w:t>
                  </w:r>
                </w:p>
              </w:tc>
              <w:tc>
                <w:tcPr>
                  <w:tcW w:w="474" w:type="dxa"/>
                  <w:tcBorders>
                    <w:tl2br w:val="nil"/>
                    <w:tr2bl w:val="nil"/>
                  </w:tcBorders>
                  <w:noWrap w:val="0"/>
                  <w:vAlign w:val="center"/>
                </w:tcPr>
                <w:p w14:paraId="4BB4748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移动布袋除尘器90%，重力沉降80%</w:t>
                  </w:r>
                </w:p>
              </w:tc>
              <w:tc>
                <w:tcPr>
                  <w:tcW w:w="375" w:type="dxa"/>
                  <w:tcBorders>
                    <w:tl2br w:val="nil"/>
                    <w:tr2bl w:val="nil"/>
                  </w:tcBorders>
                  <w:noWrap w:val="0"/>
                  <w:vAlign w:val="center"/>
                </w:tcPr>
                <w:p w14:paraId="3A9E90E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是</w:t>
                  </w:r>
                </w:p>
              </w:tc>
              <w:tc>
                <w:tcPr>
                  <w:tcW w:w="534" w:type="dxa"/>
                  <w:tcBorders>
                    <w:tl2br w:val="nil"/>
                    <w:tr2bl w:val="nil"/>
                  </w:tcBorders>
                  <w:noWrap w:val="0"/>
                  <w:vAlign w:val="center"/>
                </w:tcPr>
                <w:p w14:paraId="69444AB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87" w:type="dxa"/>
                  <w:tcBorders>
                    <w:tl2br w:val="nil"/>
                    <w:tr2bl w:val="nil"/>
                  </w:tcBorders>
                  <w:noWrap w:val="0"/>
                  <w:vAlign w:val="center"/>
                </w:tcPr>
                <w:p w14:paraId="31650F5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75" w:type="dxa"/>
                  <w:tcBorders>
                    <w:tl2br w:val="nil"/>
                    <w:tr2bl w:val="nil"/>
                  </w:tcBorders>
                  <w:noWrap w:val="0"/>
                  <w:vAlign w:val="center"/>
                </w:tcPr>
                <w:p w14:paraId="1EBF5E5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0.0004</w:t>
                  </w:r>
                </w:p>
              </w:tc>
              <w:tc>
                <w:tcPr>
                  <w:tcW w:w="645" w:type="dxa"/>
                  <w:tcBorders>
                    <w:tl2br w:val="nil"/>
                    <w:tr2bl w:val="nil"/>
                  </w:tcBorders>
                  <w:noWrap w:val="0"/>
                  <w:vAlign w:val="center"/>
                </w:tcPr>
                <w:p w14:paraId="0FA01775">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0.0005</w:t>
                  </w:r>
                </w:p>
              </w:tc>
              <w:tc>
                <w:tcPr>
                  <w:tcW w:w="977" w:type="dxa"/>
                  <w:tcBorders>
                    <w:tl2br w:val="nil"/>
                    <w:tr2bl w:val="nil"/>
                  </w:tcBorders>
                  <w:noWrap w:val="0"/>
                  <w:vAlign w:val="center"/>
                </w:tcPr>
                <w:p w14:paraId="6986A37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740" w:type="dxa"/>
                  <w:tcBorders>
                    <w:tl2br w:val="nil"/>
                    <w:tr2bl w:val="nil"/>
                  </w:tcBorders>
                  <w:noWrap w:val="0"/>
                  <w:vAlign w:val="center"/>
                </w:tcPr>
                <w:p w14:paraId="0A904E4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1257" w:type="dxa"/>
                  <w:tcBorders>
                    <w:tl2br w:val="nil"/>
                    <w:tr2bl w:val="nil"/>
                  </w:tcBorders>
                  <w:noWrap w:val="0"/>
                  <w:vAlign w:val="center"/>
                </w:tcPr>
                <w:p w14:paraId="4752CE8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416" w:type="dxa"/>
                  <w:tcBorders>
                    <w:tl2br w:val="nil"/>
                    <w:tr2bl w:val="nil"/>
                  </w:tcBorders>
                  <w:noWrap w:val="0"/>
                  <w:vAlign w:val="center"/>
                </w:tcPr>
                <w:p w14:paraId="7FF9A9B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1200</w:t>
                  </w:r>
                </w:p>
              </w:tc>
              <w:tc>
                <w:tcPr>
                  <w:tcW w:w="535" w:type="dxa"/>
                  <w:tcBorders>
                    <w:tl2br w:val="nil"/>
                    <w:tr2bl w:val="nil"/>
                  </w:tcBorders>
                  <w:noWrap w:val="0"/>
                  <w:vAlign w:val="center"/>
                </w:tcPr>
                <w:p w14:paraId="25B116B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440" w:type="dxa"/>
                  <w:tcBorders>
                    <w:tl2br w:val="nil"/>
                    <w:tr2bl w:val="nil"/>
                  </w:tcBorders>
                  <w:noWrap w:val="0"/>
                  <w:vAlign w:val="center"/>
                </w:tcPr>
                <w:p w14:paraId="3D85288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r w14:paraId="546D1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7" w:type="dxa"/>
                  <w:vMerge w:val="restart"/>
                  <w:tcBorders>
                    <w:tl2br w:val="nil"/>
                    <w:tr2bl w:val="nil"/>
                  </w:tcBorders>
                  <w:noWrap w:val="0"/>
                  <w:vAlign w:val="center"/>
                </w:tcPr>
                <w:p w14:paraId="4173320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危险废物暂存</w:t>
                  </w:r>
                </w:p>
              </w:tc>
              <w:tc>
                <w:tcPr>
                  <w:tcW w:w="343" w:type="dxa"/>
                  <w:vMerge w:val="restart"/>
                  <w:tcBorders>
                    <w:tl2br w:val="nil"/>
                    <w:tr2bl w:val="nil"/>
                  </w:tcBorders>
                  <w:noWrap w:val="0"/>
                  <w:vAlign w:val="center"/>
                </w:tcPr>
                <w:p w14:paraId="0188B19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危废暂存间</w:t>
                  </w:r>
                </w:p>
              </w:tc>
              <w:tc>
                <w:tcPr>
                  <w:tcW w:w="293" w:type="dxa"/>
                  <w:vMerge w:val="restart"/>
                  <w:tcBorders>
                    <w:tl2br w:val="nil"/>
                    <w:tr2bl w:val="nil"/>
                  </w:tcBorders>
                  <w:noWrap w:val="0"/>
                  <w:vAlign w:val="center"/>
                </w:tcPr>
                <w:p w14:paraId="2FAC690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非甲烷总烃</w:t>
                  </w:r>
                </w:p>
              </w:tc>
              <w:tc>
                <w:tcPr>
                  <w:tcW w:w="280" w:type="dxa"/>
                  <w:vMerge w:val="restart"/>
                  <w:tcBorders>
                    <w:tl2br w:val="nil"/>
                    <w:tr2bl w:val="nil"/>
                  </w:tcBorders>
                  <w:noWrap w:val="0"/>
                  <w:vAlign w:val="center"/>
                </w:tcPr>
                <w:p w14:paraId="722461D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产污系数法</w:t>
                  </w:r>
                </w:p>
              </w:tc>
              <w:tc>
                <w:tcPr>
                  <w:tcW w:w="562" w:type="dxa"/>
                  <w:tcBorders>
                    <w:tl2br w:val="nil"/>
                    <w:tr2bl w:val="nil"/>
                  </w:tcBorders>
                  <w:noWrap w:val="0"/>
                  <w:vAlign w:val="center"/>
                </w:tcPr>
                <w:p w14:paraId="5B8FD21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2500</w:t>
                  </w:r>
                </w:p>
              </w:tc>
              <w:tc>
                <w:tcPr>
                  <w:tcW w:w="623" w:type="dxa"/>
                  <w:tcBorders>
                    <w:tl2br w:val="nil"/>
                    <w:tr2bl w:val="nil"/>
                  </w:tcBorders>
                  <w:noWrap w:val="0"/>
                  <w:vAlign w:val="center"/>
                </w:tcPr>
                <w:p w14:paraId="48E93E8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15.3</w:t>
                  </w:r>
                </w:p>
              </w:tc>
              <w:tc>
                <w:tcPr>
                  <w:tcW w:w="551" w:type="dxa"/>
                  <w:tcBorders>
                    <w:tl2br w:val="nil"/>
                    <w:tr2bl w:val="nil"/>
                  </w:tcBorders>
                  <w:noWrap w:val="0"/>
                  <w:vAlign w:val="center"/>
                </w:tcPr>
                <w:p w14:paraId="464B8F8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0.0382</w:t>
                  </w:r>
                </w:p>
              </w:tc>
              <w:tc>
                <w:tcPr>
                  <w:tcW w:w="461" w:type="dxa"/>
                  <w:tcBorders>
                    <w:tl2br w:val="nil"/>
                    <w:tr2bl w:val="nil"/>
                  </w:tcBorders>
                  <w:noWrap w:val="0"/>
                  <w:vAlign w:val="center"/>
                </w:tcPr>
                <w:p w14:paraId="563EC64F">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0.275</w:t>
                  </w:r>
                </w:p>
              </w:tc>
              <w:tc>
                <w:tcPr>
                  <w:tcW w:w="252" w:type="dxa"/>
                  <w:tcBorders>
                    <w:tl2br w:val="nil"/>
                    <w:tr2bl w:val="nil"/>
                  </w:tcBorders>
                  <w:noWrap w:val="0"/>
                  <w:vAlign w:val="center"/>
                </w:tcPr>
                <w:p w14:paraId="31F0283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eastAsia="zh-CN"/>
                    </w:rPr>
                    <w:t>有组织</w:t>
                  </w:r>
                </w:p>
              </w:tc>
              <w:tc>
                <w:tcPr>
                  <w:tcW w:w="446" w:type="dxa"/>
                  <w:tcBorders>
                    <w:tl2br w:val="nil"/>
                    <w:tr2bl w:val="nil"/>
                  </w:tcBorders>
                  <w:noWrap w:val="0"/>
                  <w:vAlign w:val="center"/>
                </w:tcPr>
                <w:p w14:paraId="64DD20D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双级</w:t>
                  </w:r>
                  <w:r>
                    <w:rPr>
                      <w:rFonts w:hint="default" w:ascii="Times New Roman" w:hAnsi="Times New Roman" w:eastAsia="宋体" w:cs="Times New Roman"/>
                      <w:color w:val="auto"/>
                      <w:sz w:val="18"/>
                      <w:szCs w:val="18"/>
                      <w:highlight w:val="none"/>
                      <w:lang w:val="en-US" w:eastAsia="zh-CN"/>
                    </w:rPr>
                    <w:t>活性炭</w:t>
                  </w:r>
                  <w:r>
                    <w:rPr>
                      <w:rFonts w:hint="eastAsia" w:ascii="Times New Roman" w:hAnsi="Times New Roman" w:eastAsia="宋体" w:cs="Times New Roman"/>
                      <w:color w:val="auto"/>
                      <w:sz w:val="18"/>
                      <w:szCs w:val="18"/>
                      <w:highlight w:val="none"/>
                      <w:lang w:val="en-US" w:eastAsia="zh-CN"/>
                    </w:rPr>
                    <w:t>吸附</w:t>
                  </w:r>
                </w:p>
              </w:tc>
              <w:tc>
                <w:tcPr>
                  <w:tcW w:w="462" w:type="dxa"/>
                  <w:tcBorders>
                    <w:tl2br w:val="nil"/>
                    <w:tr2bl w:val="nil"/>
                  </w:tcBorders>
                  <w:noWrap w:val="0"/>
                  <w:vAlign w:val="center"/>
                </w:tcPr>
                <w:p w14:paraId="59EC353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80</w:t>
                  </w:r>
                  <w:r>
                    <w:rPr>
                      <w:rFonts w:hint="default" w:ascii="Times New Roman" w:hAnsi="Times New Roman" w:cs="Times New Roman"/>
                      <w:color w:val="auto"/>
                      <w:sz w:val="18"/>
                      <w:szCs w:val="18"/>
                      <w:highlight w:val="none"/>
                      <w:lang w:val="en-US" w:eastAsia="zh-CN"/>
                    </w:rPr>
                    <w:t>%</w:t>
                  </w:r>
                </w:p>
              </w:tc>
              <w:tc>
                <w:tcPr>
                  <w:tcW w:w="474" w:type="dxa"/>
                  <w:tcBorders>
                    <w:tl2br w:val="nil"/>
                    <w:tr2bl w:val="nil"/>
                  </w:tcBorders>
                  <w:noWrap w:val="0"/>
                  <w:vAlign w:val="center"/>
                </w:tcPr>
                <w:p w14:paraId="3CF1034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90</w:t>
                  </w:r>
                  <w:r>
                    <w:rPr>
                      <w:rFonts w:hint="default" w:ascii="Times New Roman" w:hAnsi="Times New Roman" w:cs="Times New Roman"/>
                      <w:color w:val="auto"/>
                      <w:sz w:val="18"/>
                      <w:szCs w:val="18"/>
                      <w:highlight w:val="none"/>
                      <w:lang w:val="en-US" w:eastAsia="zh-CN"/>
                    </w:rPr>
                    <w:t>%</w:t>
                  </w:r>
                </w:p>
              </w:tc>
              <w:tc>
                <w:tcPr>
                  <w:tcW w:w="375" w:type="dxa"/>
                  <w:tcBorders>
                    <w:tl2br w:val="nil"/>
                    <w:tr2bl w:val="nil"/>
                  </w:tcBorders>
                  <w:noWrap w:val="0"/>
                  <w:vAlign w:val="center"/>
                </w:tcPr>
                <w:p w14:paraId="1028D87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是</w:t>
                  </w:r>
                </w:p>
              </w:tc>
              <w:tc>
                <w:tcPr>
                  <w:tcW w:w="534" w:type="dxa"/>
                  <w:tcBorders>
                    <w:tl2br w:val="nil"/>
                    <w:tr2bl w:val="nil"/>
                  </w:tcBorders>
                  <w:noWrap w:val="0"/>
                  <w:vAlign w:val="center"/>
                </w:tcPr>
                <w:p w14:paraId="56D63C5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2500</w:t>
                  </w:r>
                </w:p>
              </w:tc>
              <w:tc>
                <w:tcPr>
                  <w:tcW w:w="587" w:type="dxa"/>
                  <w:tcBorders>
                    <w:tl2br w:val="nil"/>
                    <w:tr2bl w:val="nil"/>
                  </w:tcBorders>
                  <w:noWrap w:val="0"/>
                  <w:vAlign w:val="center"/>
                </w:tcPr>
                <w:p w14:paraId="5F50B25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1.5</w:t>
                  </w:r>
                </w:p>
              </w:tc>
              <w:tc>
                <w:tcPr>
                  <w:tcW w:w="675" w:type="dxa"/>
                  <w:tcBorders>
                    <w:tl2br w:val="nil"/>
                    <w:tr2bl w:val="nil"/>
                  </w:tcBorders>
                  <w:noWrap w:val="0"/>
                  <w:vAlign w:val="center"/>
                </w:tcPr>
                <w:p w14:paraId="2941AD4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0.0038</w:t>
                  </w:r>
                </w:p>
              </w:tc>
              <w:tc>
                <w:tcPr>
                  <w:tcW w:w="645" w:type="dxa"/>
                  <w:tcBorders>
                    <w:tl2br w:val="nil"/>
                    <w:tr2bl w:val="nil"/>
                  </w:tcBorders>
                  <w:noWrap w:val="0"/>
                  <w:vAlign w:val="center"/>
                </w:tcPr>
                <w:p w14:paraId="33EF15F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0.0275</w:t>
                  </w:r>
                </w:p>
              </w:tc>
              <w:tc>
                <w:tcPr>
                  <w:tcW w:w="977" w:type="dxa"/>
                  <w:tcBorders>
                    <w:tl2br w:val="nil"/>
                    <w:tr2bl w:val="nil"/>
                  </w:tcBorders>
                  <w:noWrap w:val="0"/>
                  <w:vAlign w:val="center"/>
                </w:tcPr>
                <w:p w14:paraId="5ACF2A7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H=15m、内径0.</w:t>
                  </w:r>
                  <w:r>
                    <w:rPr>
                      <w:rFonts w:hint="eastAsia"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val="en-US" w:eastAsia="zh-CN"/>
                    </w:rPr>
                    <w:t>m、温度</w:t>
                  </w:r>
                  <w:r>
                    <w:rPr>
                      <w:rFonts w:hint="eastAsia" w:ascii="Times New Roman" w:hAnsi="Times New Roman" w:cs="Times New Roman"/>
                      <w:color w:val="auto"/>
                      <w:sz w:val="18"/>
                      <w:szCs w:val="18"/>
                      <w:highlight w:val="none"/>
                      <w:lang w:val="en-US" w:eastAsia="zh-CN"/>
                    </w:rPr>
                    <w:t>25</w:t>
                  </w:r>
                  <w:r>
                    <w:rPr>
                      <w:rFonts w:hint="default" w:ascii="Times New Roman" w:hAnsi="Times New Roman" w:cs="Times New Roman"/>
                      <w:color w:val="auto"/>
                      <w:sz w:val="18"/>
                      <w:szCs w:val="18"/>
                      <w:highlight w:val="none"/>
                      <w:lang w:val="en-US" w:eastAsia="zh-CN"/>
                    </w:rPr>
                    <w:t>℃</w:t>
                  </w:r>
                </w:p>
              </w:tc>
              <w:tc>
                <w:tcPr>
                  <w:tcW w:w="740" w:type="dxa"/>
                  <w:tcBorders>
                    <w:tl2br w:val="nil"/>
                    <w:tr2bl w:val="nil"/>
                  </w:tcBorders>
                  <w:noWrap w:val="0"/>
                  <w:vAlign w:val="center"/>
                </w:tcPr>
                <w:p w14:paraId="19D0B79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DA00</w:t>
                  </w:r>
                  <w:r>
                    <w:rPr>
                      <w:rFonts w:hint="eastAsia"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val="en-US" w:eastAsia="zh-CN"/>
                    </w:rPr>
                    <w:t>、一般排放口</w:t>
                  </w:r>
                </w:p>
              </w:tc>
              <w:tc>
                <w:tcPr>
                  <w:tcW w:w="1257" w:type="dxa"/>
                  <w:tcBorders>
                    <w:tl2br w:val="nil"/>
                    <w:tr2bl w:val="nil"/>
                  </w:tcBorders>
                  <w:noWrap w:val="0"/>
                  <w:vAlign w:val="center"/>
                </w:tcPr>
                <w:p w14:paraId="3F04E343">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经度：</w:t>
                  </w:r>
                </w:p>
                <w:p w14:paraId="41A27CF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eastAsia="zh-CN"/>
                    </w:rPr>
                  </w:pPr>
                  <w:r>
                    <w:rPr>
                      <w:rStyle w:val="22"/>
                      <w:rFonts w:hint="default" w:ascii="Times New Roman" w:hAnsi="Times New Roman" w:eastAsia="宋体" w:cs="Times New Roman"/>
                      <w:color w:val="auto"/>
                      <w:kern w:val="2"/>
                      <w:sz w:val="18"/>
                      <w:szCs w:val="18"/>
                      <w:highlight w:val="none"/>
                      <w:lang w:val="en-US" w:eastAsia="zh-CN" w:bidi="ar-SA"/>
                    </w:rPr>
                    <w:t>119°</w:t>
                  </w:r>
                  <w:r>
                    <w:rPr>
                      <w:rStyle w:val="22"/>
                      <w:rFonts w:hint="eastAsia" w:ascii="Times New Roman" w:hAnsi="Times New Roman" w:eastAsia="宋体" w:cs="Times New Roman"/>
                      <w:color w:val="auto"/>
                      <w:kern w:val="2"/>
                      <w:sz w:val="18"/>
                      <w:szCs w:val="18"/>
                      <w:highlight w:val="none"/>
                      <w:lang w:val="en-US" w:eastAsia="zh-CN" w:bidi="ar-SA"/>
                    </w:rPr>
                    <w:t>35</w:t>
                  </w:r>
                  <w:r>
                    <w:rPr>
                      <w:rStyle w:val="22"/>
                      <w:rFonts w:hint="default" w:ascii="Times New Roman" w:hAnsi="Times New Roman" w:eastAsia="宋体" w:cs="Times New Roman"/>
                      <w:color w:val="auto"/>
                      <w:kern w:val="2"/>
                      <w:sz w:val="18"/>
                      <w:szCs w:val="18"/>
                      <w:highlight w:val="none"/>
                      <w:lang w:val="en-US" w:eastAsia="zh-CN" w:bidi="ar-SA"/>
                    </w:rPr>
                    <w:t>'</w:t>
                  </w:r>
                  <w:r>
                    <w:rPr>
                      <w:rStyle w:val="22"/>
                      <w:rFonts w:hint="eastAsia" w:ascii="Times New Roman" w:hAnsi="Times New Roman" w:eastAsia="宋体" w:cs="Times New Roman"/>
                      <w:color w:val="auto"/>
                      <w:kern w:val="2"/>
                      <w:sz w:val="18"/>
                      <w:szCs w:val="18"/>
                      <w:highlight w:val="none"/>
                      <w:lang w:val="en-US" w:eastAsia="zh-CN" w:bidi="ar-SA"/>
                    </w:rPr>
                    <w:t>03.784</w:t>
                  </w:r>
                  <w:r>
                    <w:rPr>
                      <w:rStyle w:val="22"/>
                      <w:rFonts w:hint="default" w:ascii="Times New Roman" w:hAnsi="Times New Roman" w:eastAsia="宋体"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lang w:eastAsia="zh-CN"/>
                    </w:rPr>
                    <w:t>纬度：</w:t>
                  </w:r>
                </w:p>
                <w:p w14:paraId="43A4747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Style w:val="22"/>
                      <w:rFonts w:hint="default" w:ascii="Times New Roman" w:hAnsi="Times New Roman" w:eastAsia="宋体" w:cs="Times New Roman"/>
                      <w:color w:val="auto"/>
                      <w:kern w:val="2"/>
                      <w:sz w:val="18"/>
                      <w:szCs w:val="18"/>
                      <w:highlight w:val="none"/>
                      <w:lang w:val="en-US" w:eastAsia="zh-CN" w:bidi="ar-SA"/>
                    </w:rPr>
                    <w:t>2</w:t>
                  </w:r>
                  <w:r>
                    <w:rPr>
                      <w:rStyle w:val="22"/>
                      <w:rFonts w:hint="eastAsia" w:ascii="Times New Roman" w:hAnsi="Times New Roman" w:eastAsia="宋体" w:cs="Times New Roman"/>
                      <w:color w:val="auto"/>
                      <w:kern w:val="2"/>
                      <w:sz w:val="18"/>
                      <w:szCs w:val="18"/>
                      <w:highlight w:val="none"/>
                      <w:lang w:val="en-US" w:eastAsia="zh-CN" w:bidi="ar-SA"/>
                    </w:rPr>
                    <w:t>5</w:t>
                  </w:r>
                  <w:r>
                    <w:rPr>
                      <w:rStyle w:val="22"/>
                      <w:rFonts w:hint="default" w:ascii="Times New Roman" w:hAnsi="Times New Roman" w:eastAsia="宋体" w:cs="Times New Roman"/>
                      <w:color w:val="auto"/>
                      <w:kern w:val="2"/>
                      <w:sz w:val="18"/>
                      <w:szCs w:val="18"/>
                      <w:highlight w:val="none"/>
                      <w:lang w:val="en-US" w:eastAsia="zh-CN" w:bidi="ar-SA"/>
                    </w:rPr>
                    <w:t xml:space="preserve">° </w:t>
                  </w:r>
                  <w:r>
                    <w:rPr>
                      <w:rStyle w:val="22"/>
                      <w:rFonts w:hint="eastAsia" w:ascii="Times New Roman" w:hAnsi="Times New Roman" w:eastAsia="宋体" w:cs="Times New Roman"/>
                      <w:color w:val="auto"/>
                      <w:kern w:val="2"/>
                      <w:sz w:val="18"/>
                      <w:szCs w:val="18"/>
                      <w:highlight w:val="none"/>
                      <w:lang w:val="en-US" w:eastAsia="zh-CN" w:bidi="ar-SA"/>
                    </w:rPr>
                    <w:t>42</w:t>
                  </w:r>
                  <w:r>
                    <w:rPr>
                      <w:rStyle w:val="22"/>
                      <w:rFonts w:hint="default" w:ascii="Times New Roman" w:hAnsi="Times New Roman" w:eastAsia="宋体" w:cs="Times New Roman"/>
                      <w:color w:val="auto"/>
                      <w:kern w:val="2"/>
                      <w:sz w:val="18"/>
                      <w:szCs w:val="18"/>
                      <w:highlight w:val="none"/>
                      <w:lang w:val="en-US" w:eastAsia="zh-CN" w:bidi="ar-SA"/>
                    </w:rPr>
                    <w:t>'</w:t>
                  </w:r>
                  <w:r>
                    <w:rPr>
                      <w:rStyle w:val="22"/>
                      <w:rFonts w:hint="eastAsia" w:ascii="Times New Roman" w:hAnsi="Times New Roman" w:eastAsia="宋体" w:cs="Times New Roman"/>
                      <w:color w:val="auto"/>
                      <w:kern w:val="2"/>
                      <w:sz w:val="18"/>
                      <w:szCs w:val="18"/>
                      <w:highlight w:val="none"/>
                      <w:lang w:val="en-US" w:eastAsia="zh-CN" w:bidi="ar-SA"/>
                    </w:rPr>
                    <w:t>10.772</w:t>
                  </w:r>
                  <w:r>
                    <w:rPr>
                      <w:rStyle w:val="22"/>
                      <w:rFonts w:hint="default" w:ascii="Times New Roman" w:hAnsi="Times New Roman" w:eastAsia="宋体" w:cs="Times New Roman"/>
                      <w:color w:val="auto"/>
                      <w:kern w:val="2"/>
                      <w:sz w:val="18"/>
                      <w:szCs w:val="18"/>
                      <w:highlight w:val="none"/>
                      <w:lang w:val="en-US" w:eastAsia="zh-CN" w:bidi="ar-SA"/>
                    </w:rPr>
                    <w:t>"</w:t>
                  </w:r>
                </w:p>
              </w:tc>
              <w:tc>
                <w:tcPr>
                  <w:tcW w:w="416" w:type="dxa"/>
                  <w:tcBorders>
                    <w:tl2br w:val="nil"/>
                    <w:tr2bl w:val="nil"/>
                  </w:tcBorders>
                  <w:noWrap w:val="0"/>
                  <w:vAlign w:val="center"/>
                </w:tcPr>
                <w:p w14:paraId="1AE32455">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7200</w:t>
                  </w:r>
                </w:p>
              </w:tc>
              <w:tc>
                <w:tcPr>
                  <w:tcW w:w="535" w:type="dxa"/>
                  <w:tcBorders>
                    <w:tl2br w:val="nil"/>
                    <w:tr2bl w:val="nil"/>
                  </w:tcBorders>
                  <w:noWrap w:val="0"/>
                  <w:vAlign w:val="center"/>
                </w:tcPr>
                <w:p w14:paraId="2E09569A">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w:t>
                  </w:r>
                </w:p>
              </w:tc>
              <w:tc>
                <w:tcPr>
                  <w:tcW w:w="440" w:type="dxa"/>
                  <w:tcBorders>
                    <w:tl2br w:val="nil"/>
                    <w:tr2bl w:val="nil"/>
                  </w:tcBorders>
                  <w:noWrap w:val="0"/>
                  <w:vAlign w:val="center"/>
                </w:tcPr>
                <w:p w14:paraId="7ABABEC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w:t>
                  </w:r>
                </w:p>
              </w:tc>
            </w:tr>
            <w:tr w14:paraId="1971D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7" w:type="dxa"/>
                  <w:vMerge w:val="continue"/>
                  <w:tcBorders>
                    <w:tl2br w:val="nil"/>
                    <w:tr2bl w:val="nil"/>
                  </w:tcBorders>
                  <w:noWrap w:val="0"/>
                  <w:vAlign w:val="center"/>
                </w:tcPr>
                <w:p w14:paraId="131D1F1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p>
              </w:tc>
              <w:tc>
                <w:tcPr>
                  <w:tcW w:w="343" w:type="dxa"/>
                  <w:vMerge w:val="continue"/>
                  <w:tcBorders>
                    <w:tl2br w:val="nil"/>
                    <w:tr2bl w:val="nil"/>
                  </w:tcBorders>
                  <w:noWrap w:val="0"/>
                  <w:vAlign w:val="center"/>
                </w:tcPr>
                <w:p w14:paraId="5333C395">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p>
              </w:tc>
              <w:tc>
                <w:tcPr>
                  <w:tcW w:w="293" w:type="dxa"/>
                  <w:vMerge w:val="continue"/>
                  <w:tcBorders>
                    <w:tl2br w:val="nil"/>
                    <w:tr2bl w:val="nil"/>
                  </w:tcBorders>
                  <w:noWrap w:val="0"/>
                  <w:vAlign w:val="center"/>
                </w:tcPr>
                <w:p w14:paraId="5EE7981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p>
              </w:tc>
              <w:tc>
                <w:tcPr>
                  <w:tcW w:w="280" w:type="dxa"/>
                  <w:vMerge w:val="continue"/>
                  <w:tcBorders>
                    <w:tl2br w:val="nil"/>
                    <w:tr2bl w:val="nil"/>
                  </w:tcBorders>
                  <w:noWrap w:val="0"/>
                  <w:vAlign w:val="center"/>
                </w:tcPr>
                <w:p w14:paraId="328A3F1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p>
              </w:tc>
              <w:tc>
                <w:tcPr>
                  <w:tcW w:w="562" w:type="dxa"/>
                  <w:tcBorders>
                    <w:tl2br w:val="nil"/>
                    <w:tr2bl w:val="nil"/>
                  </w:tcBorders>
                  <w:noWrap w:val="0"/>
                  <w:vAlign w:val="center"/>
                </w:tcPr>
                <w:p w14:paraId="0BA18E9E">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23" w:type="dxa"/>
                  <w:tcBorders>
                    <w:tl2br w:val="nil"/>
                    <w:tr2bl w:val="nil"/>
                  </w:tcBorders>
                  <w:noWrap w:val="0"/>
                  <w:vAlign w:val="center"/>
                </w:tcPr>
                <w:p w14:paraId="54012278">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51" w:type="dxa"/>
                  <w:tcBorders>
                    <w:tl2br w:val="nil"/>
                    <w:tr2bl w:val="nil"/>
                  </w:tcBorders>
                  <w:noWrap w:val="0"/>
                  <w:vAlign w:val="center"/>
                </w:tcPr>
                <w:p w14:paraId="5B2C6224">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0.0096</w:t>
                  </w:r>
                </w:p>
              </w:tc>
              <w:tc>
                <w:tcPr>
                  <w:tcW w:w="461" w:type="dxa"/>
                  <w:tcBorders>
                    <w:tl2br w:val="nil"/>
                    <w:tr2bl w:val="nil"/>
                  </w:tcBorders>
                  <w:noWrap w:val="0"/>
                  <w:vAlign w:val="center"/>
                </w:tcPr>
                <w:p w14:paraId="3F3F93E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0.069</w:t>
                  </w:r>
                </w:p>
              </w:tc>
              <w:tc>
                <w:tcPr>
                  <w:tcW w:w="252" w:type="dxa"/>
                  <w:tcBorders>
                    <w:tl2br w:val="nil"/>
                    <w:tr2bl w:val="nil"/>
                  </w:tcBorders>
                  <w:noWrap w:val="0"/>
                  <w:vAlign w:val="center"/>
                </w:tcPr>
                <w:p w14:paraId="6E61C491">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eastAsia="zh-CN"/>
                    </w:rPr>
                    <w:t>无组织</w:t>
                  </w:r>
                </w:p>
              </w:tc>
              <w:tc>
                <w:tcPr>
                  <w:tcW w:w="446" w:type="dxa"/>
                  <w:tcBorders>
                    <w:tl2br w:val="nil"/>
                    <w:tr2bl w:val="nil"/>
                  </w:tcBorders>
                  <w:noWrap w:val="0"/>
                  <w:vAlign w:val="center"/>
                </w:tcPr>
                <w:p w14:paraId="194AC4C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462" w:type="dxa"/>
                  <w:tcBorders>
                    <w:tl2br w:val="nil"/>
                    <w:tr2bl w:val="nil"/>
                  </w:tcBorders>
                  <w:noWrap w:val="0"/>
                  <w:vAlign w:val="center"/>
                </w:tcPr>
                <w:p w14:paraId="54906EC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ar-SA"/>
                    </w:rPr>
                    <w:t>/</w:t>
                  </w:r>
                </w:p>
              </w:tc>
              <w:tc>
                <w:tcPr>
                  <w:tcW w:w="474" w:type="dxa"/>
                  <w:tcBorders>
                    <w:tl2br w:val="nil"/>
                    <w:tr2bl w:val="nil"/>
                  </w:tcBorders>
                  <w:noWrap w:val="0"/>
                  <w:vAlign w:val="center"/>
                </w:tcPr>
                <w:p w14:paraId="64B5F17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375" w:type="dxa"/>
                  <w:tcBorders>
                    <w:tl2br w:val="nil"/>
                    <w:tr2bl w:val="nil"/>
                  </w:tcBorders>
                  <w:noWrap w:val="0"/>
                  <w:vAlign w:val="center"/>
                </w:tcPr>
                <w:p w14:paraId="2652E99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534" w:type="dxa"/>
                  <w:tcBorders>
                    <w:tl2br w:val="nil"/>
                    <w:tr2bl w:val="nil"/>
                  </w:tcBorders>
                  <w:noWrap w:val="0"/>
                  <w:vAlign w:val="center"/>
                </w:tcPr>
                <w:p w14:paraId="54B7C49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587" w:type="dxa"/>
                  <w:tcBorders>
                    <w:tl2br w:val="nil"/>
                    <w:tr2bl w:val="nil"/>
                  </w:tcBorders>
                  <w:noWrap w:val="0"/>
                  <w:vAlign w:val="center"/>
                </w:tcPr>
                <w:p w14:paraId="2A81AE5B">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c>
                <w:tcPr>
                  <w:tcW w:w="675" w:type="dxa"/>
                  <w:tcBorders>
                    <w:tl2br w:val="nil"/>
                    <w:tr2bl w:val="nil"/>
                  </w:tcBorders>
                  <w:noWrap w:val="0"/>
                  <w:vAlign w:val="center"/>
                </w:tcPr>
                <w:p w14:paraId="622EFD60">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0.0096</w:t>
                  </w:r>
                </w:p>
              </w:tc>
              <w:tc>
                <w:tcPr>
                  <w:tcW w:w="645" w:type="dxa"/>
                  <w:tcBorders>
                    <w:tl2br w:val="nil"/>
                    <w:tr2bl w:val="nil"/>
                  </w:tcBorders>
                  <w:noWrap w:val="0"/>
                  <w:vAlign w:val="center"/>
                </w:tcPr>
                <w:p w14:paraId="5997930D">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0.069</w:t>
                  </w:r>
                </w:p>
              </w:tc>
              <w:tc>
                <w:tcPr>
                  <w:tcW w:w="977" w:type="dxa"/>
                  <w:tcBorders>
                    <w:tl2br w:val="nil"/>
                    <w:tr2bl w:val="nil"/>
                  </w:tcBorders>
                  <w:noWrap w:val="0"/>
                  <w:vAlign w:val="center"/>
                </w:tcPr>
                <w:p w14:paraId="3BF225D2">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740" w:type="dxa"/>
                  <w:tcBorders>
                    <w:tl2br w:val="nil"/>
                    <w:tr2bl w:val="nil"/>
                  </w:tcBorders>
                  <w:noWrap w:val="0"/>
                  <w:vAlign w:val="center"/>
                </w:tcPr>
                <w:p w14:paraId="567659F9">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1257" w:type="dxa"/>
                  <w:tcBorders>
                    <w:tl2br w:val="nil"/>
                    <w:tr2bl w:val="nil"/>
                  </w:tcBorders>
                  <w:noWrap w:val="0"/>
                  <w:vAlign w:val="center"/>
                </w:tcPr>
                <w:p w14:paraId="1C54CE75">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416" w:type="dxa"/>
                  <w:tcBorders>
                    <w:tl2br w:val="nil"/>
                    <w:tr2bl w:val="nil"/>
                  </w:tcBorders>
                  <w:noWrap w:val="0"/>
                  <w:vAlign w:val="center"/>
                </w:tcPr>
                <w:p w14:paraId="49B296DC">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7200</w:t>
                  </w:r>
                </w:p>
              </w:tc>
              <w:tc>
                <w:tcPr>
                  <w:tcW w:w="535" w:type="dxa"/>
                  <w:tcBorders>
                    <w:tl2br w:val="nil"/>
                    <w:tr2bl w:val="nil"/>
                  </w:tcBorders>
                  <w:noWrap w:val="0"/>
                  <w:vAlign w:val="center"/>
                </w:tcPr>
                <w:p w14:paraId="5A8AD98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lang w:val="en-US" w:eastAsia="zh-CN"/>
                    </w:rPr>
                    <w:t>.0</w:t>
                  </w:r>
                </w:p>
              </w:tc>
              <w:tc>
                <w:tcPr>
                  <w:tcW w:w="440" w:type="dxa"/>
                  <w:tcBorders>
                    <w:tl2br w:val="nil"/>
                    <w:tr2bl w:val="nil"/>
                  </w:tcBorders>
                  <w:noWrap w:val="0"/>
                  <w:vAlign w:val="center"/>
                </w:tcPr>
                <w:p w14:paraId="403173A7">
                  <w:pPr>
                    <w:pStyle w:val="48"/>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bl>
          <w:p w14:paraId="36109E12">
            <w:pPr>
              <w:adjustRightInd w:val="0"/>
              <w:snapToGrid w:val="0"/>
              <w:spacing w:line="320" w:lineRule="exact"/>
              <w:ind w:firstLine="720" w:firstLineChars="300"/>
              <w:jc w:val="left"/>
              <w:rPr>
                <w:rFonts w:hint="default" w:ascii="Times New Roman" w:hAnsi="Times New Roman" w:eastAsia="黑体" w:cs="Times New Roman"/>
                <w:color w:val="auto"/>
                <w:sz w:val="24"/>
                <w:szCs w:val="24"/>
                <w:vertAlign w:val="baseline"/>
                <w:lang w:eastAsia="zh-CN"/>
              </w:rPr>
            </w:pPr>
          </w:p>
        </w:tc>
      </w:tr>
    </w:tbl>
    <w:p w14:paraId="0D40631E">
      <w:pPr>
        <w:pStyle w:val="17"/>
        <w:numPr>
          <w:ilvl w:val="0"/>
          <w:numId w:val="0"/>
        </w:numPr>
        <w:jc w:val="both"/>
        <w:outlineLvl w:val="0"/>
        <w:rPr>
          <w:rFonts w:hint="default" w:ascii="Times New Roman" w:hAnsi="Times New Roman" w:eastAsia="黑体" w:cs="Times New Roman"/>
          <w:snapToGrid w:val="0"/>
          <w:color w:val="auto"/>
          <w:sz w:val="30"/>
          <w:szCs w:val="30"/>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223C7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81" w:hRule="atLeast"/>
          <w:jc w:val="center"/>
        </w:trPr>
        <w:tc>
          <w:tcPr>
            <w:tcW w:w="746" w:type="dxa"/>
            <w:noWrap w:val="0"/>
            <w:tcMar>
              <w:left w:w="28" w:type="dxa"/>
              <w:right w:w="28" w:type="dxa"/>
            </w:tcMar>
            <w:vAlign w:val="center"/>
          </w:tcPr>
          <w:p w14:paraId="1214EA4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45E732A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2FC3AF6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134EB566">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32E92BE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5E74DB2B">
            <w:pPr>
              <w:adjustRightInd w:val="0"/>
              <w:snapToGrid w:val="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Cs w:val="21"/>
              </w:rPr>
              <w:t>措施</w:t>
            </w:r>
          </w:p>
        </w:tc>
        <w:tc>
          <w:tcPr>
            <w:tcW w:w="8162" w:type="dxa"/>
            <w:noWrap w:val="0"/>
            <w:vAlign w:val="center"/>
          </w:tcPr>
          <w:p w14:paraId="78600570">
            <w:pPr>
              <w:spacing w:line="360" w:lineRule="auto"/>
              <w:rPr>
                <w:rFonts w:ascii="Times New Roman" w:hAnsi="Times New Roman"/>
                <w:b/>
                <w:color w:val="auto"/>
                <w:kern w:val="0"/>
                <w:sz w:val="24"/>
              </w:rPr>
            </w:pPr>
            <w:r>
              <w:rPr>
                <w:rFonts w:ascii="Times New Roman" w:hAnsi="Times New Roman"/>
                <w:b/>
                <w:color w:val="auto"/>
                <w:kern w:val="0"/>
                <w:sz w:val="24"/>
              </w:rPr>
              <w:t>4.</w:t>
            </w:r>
            <w:r>
              <w:rPr>
                <w:rFonts w:hint="eastAsia" w:ascii="Times New Roman" w:hAnsi="Times New Roman"/>
                <w:b/>
                <w:color w:val="auto"/>
                <w:kern w:val="0"/>
                <w:sz w:val="24"/>
                <w:lang w:val="en-US" w:eastAsia="zh-CN"/>
              </w:rPr>
              <w:t>2</w:t>
            </w:r>
            <w:r>
              <w:rPr>
                <w:rFonts w:ascii="Times New Roman" w:hAnsi="Times New Roman"/>
                <w:b/>
                <w:color w:val="auto"/>
                <w:kern w:val="0"/>
                <w:sz w:val="24"/>
              </w:rPr>
              <w:t xml:space="preserve">.2 </w:t>
            </w:r>
            <w:r>
              <w:rPr>
                <w:rFonts w:hint="eastAsia" w:ascii="Times New Roman" w:hAnsi="Times New Roman"/>
                <w:b/>
                <w:color w:val="auto"/>
                <w:kern w:val="0"/>
                <w:sz w:val="24"/>
              </w:rPr>
              <w:t>非正常排放</w:t>
            </w:r>
          </w:p>
          <w:p w14:paraId="28DED86E">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textAlignment w:val="bottom"/>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项目正常情况为常年生产状态，年工作日300天，实行昼间制，8h/d，夜间不生产，本次非正常排放情况考虑废气</w:t>
            </w:r>
            <w:r>
              <w:rPr>
                <w:rFonts w:hint="eastAsia" w:cs="Times New Roman"/>
                <w:color w:val="auto"/>
                <w:kern w:val="0"/>
                <w:sz w:val="24"/>
                <w:szCs w:val="20"/>
                <w:lang w:val="en-US" w:eastAsia="zh-CN" w:bidi="ar-SA"/>
              </w:rPr>
              <w:t>处理</w:t>
            </w:r>
            <w:r>
              <w:rPr>
                <w:rFonts w:hint="eastAsia" w:ascii="Times New Roman" w:hAnsi="Times New Roman" w:eastAsia="宋体" w:cs="Times New Roman"/>
                <w:color w:val="auto"/>
                <w:kern w:val="0"/>
                <w:sz w:val="24"/>
                <w:szCs w:val="20"/>
                <w:lang w:val="en-US" w:eastAsia="zh-CN" w:bidi="ar-SA"/>
              </w:rPr>
              <w:t>设施发生故障</w:t>
            </w:r>
            <w:r>
              <w:rPr>
                <w:rFonts w:hint="eastAsia" w:cs="Times New Roman"/>
                <w:color w:val="auto"/>
                <w:kern w:val="0"/>
                <w:sz w:val="24"/>
                <w:szCs w:val="20"/>
                <w:lang w:val="en-US" w:eastAsia="zh-CN" w:bidi="ar-SA"/>
              </w:rPr>
              <w:t>，废气处理达不到设计效率，由于项目废气处理设施主要为双级活性炭、布袋除尘，故障时主要为活性炭局部堵塞、布袋局部破损等，基本不会完全失效，本次非正常工况按废气处理设施处理效率下降至按50%计</w:t>
            </w:r>
            <w:r>
              <w:rPr>
                <w:rFonts w:hint="eastAsia" w:ascii="Times New Roman" w:hAnsi="Times New Roman" w:eastAsia="宋体" w:cs="Times New Roman"/>
                <w:color w:val="auto"/>
                <w:kern w:val="0"/>
                <w:sz w:val="24"/>
                <w:szCs w:val="20"/>
                <w:lang w:val="en-US" w:eastAsia="zh-CN" w:bidi="ar-SA"/>
              </w:rPr>
              <w:t>，非正常排放时间1h计算，非正常排放量核算见4.2-2。</w:t>
            </w:r>
          </w:p>
          <w:p w14:paraId="3940BAC1">
            <w:pPr>
              <w:adjustRightInd w:val="0"/>
              <w:snapToGrid w:val="0"/>
              <w:spacing w:before="120" w:beforeLines="50"/>
              <w:jc w:val="center"/>
              <w:rPr>
                <w:rFonts w:hint="default" w:ascii="Times New Roman" w:hAnsi="Times New Roman" w:eastAsia="黑体" w:cs="Times New Roman"/>
                <w:color w:val="auto"/>
                <w:sz w:val="24"/>
                <w:szCs w:val="22"/>
              </w:rPr>
            </w:pPr>
            <w:r>
              <w:rPr>
                <w:rFonts w:hint="default" w:ascii="Times New Roman" w:hAnsi="Times New Roman" w:eastAsia="黑体" w:cs="Times New Roman"/>
                <w:color w:val="auto"/>
                <w:sz w:val="24"/>
                <w:szCs w:val="22"/>
              </w:rPr>
              <w:t>表4.</w:t>
            </w:r>
            <w:r>
              <w:rPr>
                <w:rFonts w:hint="eastAsia" w:ascii="Times New Roman" w:hAnsi="Times New Roman" w:eastAsia="黑体" w:cs="Times New Roman"/>
                <w:color w:val="auto"/>
                <w:sz w:val="24"/>
                <w:szCs w:val="22"/>
                <w:lang w:val="en-US" w:eastAsia="zh-CN"/>
              </w:rPr>
              <w:t>2-2</w:t>
            </w:r>
            <w:r>
              <w:rPr>
                <w:rFonts w:hint="default" w:ascii="Times New Roman" w:hAnsi="Times New Roman" w:eastAsia="黑体" w:cs="Times New Roman"/>
                <w:color w:val="auto"/>
                <w:sz w:val="24"/>
                <w:szCs w:val="22"/>
              </w:rPr>
              <w:t xml:space="preserve"> 项目废气污染物非正常排放核算表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38"/>
              <w:gridCol w:w="973"/>
              <w:gridCol w:w="666"/>
              <w:gridCol w:w="971"/>
              <w:gridCol w:w="1007"/>
              <w:gridCol w:w="800"/>
              <w:gridCol w:w="810"/>
              <w:gridCol w:w="660"/>
              <w:gridCol w:w="695"/>
            </w:tblGrid>
            <w:tr w14:paraId="421F5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noWrap w:val="0"/>
                  <w:vAlign w:val="center"/>
                </w:tcPr>
                <w:p w14:paraId="4F0844B2">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序号</w:t>
                  </w:r>
                </w:p>
              </w:tc>
              <w:tc>
                <w:tcPr>
                  <w:tcW w:w="590" w:type="pct"/>
                  <w:noWrap w:val="0"/>
                  <w:vAlign w:val="center"/>
                </w:tcPr>
                <w:p w14:paraId="449F0494">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污染源</w:t>
                  </w:r>
                </w:p>
              </w:tc>
              <w:tc>
                <w:tcPr>
                  <w:tcW w:w="612" w:type="pct"/>
                  <w:noWrap w:val="0"/>
                  <w:vAlign w:val="center"/>
                </w:tcPr>
                <w:p w14:paraId="11D5DB23">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color w:val="auto"/>
                      <w:kern w:val="0"/>
                      <w:sz w:val="21"/>
                      <w:szCs w:val="21"/>
                      <w:lang w:bidi="ar"/>
                    </w:rPr>
                    <w:t>非正常排放原因</w:t>
                  </w:r>
                </w:p>
              </w:tc>
              <w:tc>
                <w:tcPr>
                  <w:tcW w:w="419" w:type="pct"/>
                  <w:noWrap w:val="0"/>
                  <w:vAlign w:val="center"/>
                </w:tcPr>
                <w:p w14:paraId="6441B046">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污染物</w:t>
                  </w:r>
                </w:p>
              </w:tc>
              <w:tc>
                <w:tcPr>
                  <w:tcW w:w="610" w:type="pct"/>
                  <w:noWrap w:val="0"/>
                  <w:vAlign w:val="center"/>
                </w:tcPr>
                <w:p w14:paraId="411F114A">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非正常排放</w:t>
                  </w:r>
                  <w:r>
                    <w:rPr>
                      <w:rFonts w:hint="default" w:ascii="Times New Roman" w:hAnsi="Times New Roman" w:cs="Times New Roman"/>
                      <w:color w:val="auto"/>
                      <w:kern w:val="0"/>
                      <w:sz w:val="21"/>
                      <w:szCs w:val="21"/>
                      <w:lang w:bidi="ar"/>
                    </w:rPr>
                    <w:t>浓度(mg/m</w:t>
                  </w:r>
                  <w:r>
                    <w:rPr>
                      <w:rFonts w:hint="default" w:ascii="Times New Roman" w:hAnsi="Times New Roman" w:cs="Times New Roman"/>
                      <w:color w:val="auto"/>
                      <w:kern w:val="0"/>
                      <w:sz w:val="21"/>
                      <w:szCs w:val="21"/>
                      <w:vertAlign w:val="superscript"/>
                      <w:lang w:bidi="ar"/>
                    </w:rPr>
                    <w:t>3</w:t>
                  </w:r>
                  <w:r>
                    <w:rPr>
                      <w:rFonts w:hint="default" w:ascii="Times New Roman" w:hAnsi="Times New Roman" w:cs="Times New Roman"/>
                      <w:color w:val="auto"/>
                      <w:kern w:val="0"/>
                      <w:sz w:val="21"/>
                      <w:szCs w:val="21"/>
                      <w:lang w:bidi="ar"/>
                    </w:rPr>
                    <w:t>)</w:t>
                  </w:r>
                </w:p>
              </w:tc>
              <w:tc>
                <w:tcPr>
                  <w:tcW w:w="633" w:type="pct"/>
                  <w:noWrap w:val="0"/>
                  <w:vAlign w:val="center"/>
                </w:tcPr>
                <w:p w14:paraId="3F1EA415">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color w:val="auto"/>
                      <w:kern w:val="0"/>
                      <w:sz w:val="21"/>
                      <w:szCs w:val="21"/>
                      <w:lang w:bidi="ar"/>
                    </w:rPr>
                    <w:t>非正常排放速率(kg/h)</w:t>
                  </w:r>
                </w:p>
              </w:tc>
              <w:tc>
                <w:tcPr>
                  <w:tcW w:w="503" w:type="pct"/>
                  <w:noWrap w:val="0"/>
                  <w:vAlign w:val="center"/>
                </w:tcPr>
                <w:p w14:paraId="2868A3BD">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color w:val="auto"/>
                      <w:kern w:val="0"/>
                      <w:sz w:val="21"/>
                      <w:szCs w:val="21"/>
                      <w:lang w:bidi="ar"/>
                    </w:rPr>
                    <w:t>单次持续时间/h</w:t>
                  </w:r>
                </w:p>
              </w:tc>
              <w:tc>
                <w:tcPr>
                  <w:tcW w:w="509" w:type="pct"/>
                  <w:noWrap w:val="0"/>
                  <w:vAlign w:val="center"/>
                </w:tcPr>
                <w:p w14:paraId="4E9EC39A">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color w:val="auto"/>
                      <w:kern w:val="0"/>
                      <w:sz w:val="21"/>
                      <w:szCs w:val="21"/>
                      <w:lang w:bidi="ar"/>
                    </w:rPr>
                    <w:t>排放量kg</w:t>
                  </w:r>
                </w:p>
              </w:tc>
              <w:tc>
                <w:tcPr>
                  <w:tcW w:w="415" w:type="pct"/>
                  <w:noWrap w:val="0"/>
                  <w:vAlign w:val="center"/>
                </w:tcPr>
                <w:p w14:paraId="2A5E0752">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color w:val="auto"/>
                      <w:kern w:val="0"/>
                      <w:sz w:val="21"/>
                      <w:szCs w:val="21"/>
                      <w:lang w:bidi="ar"/>
                    </w:rPr>
                    <w:t>年发生频次/次</w:t>
                  </w:r>
                </w:p>
              </w:tc>
              <w:tc>
                <w:tcPr>
                  <w:tcW w:w="437" w:type="pct"/>
                  <w:noWrap w:val="0"/>
                  <w:vAlign w:val="center"/>
                </w:tcPr>
                <w:p w14:paraId="0440F60A">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color w:val="auto"/>
                      <w:kern w:val="0"/>
                      <w:sz w:val="21"/>
                      <w:szCs w:val="21"/>
                      <w:lang w:bidi="ar"/>
                    </w:rPr>
                    <w:t>应对措施</w:t>
                  </w:r>
                </w:p>
              </w:tc>
            </w:tr>
            <w:tr w14:paraId="094C4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noWrap w:val="0"/>
                  <w:vAlign w:val="center"/>
                </w:tcPr>
                <w:p w14:paraId="4B54F5B2">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1</w:t>
                  </w:r>
                </w:p>
              </w:tc>
              <w:tc>
                <w:tcPr>
                  <w:tcW w:w="590" w:type="pct"/>
                  <w:noWrap w:val="0"/>
                  <w:vAlign w:val="center"/>
                </w:tcPr>
                <w:p w14:paraId="2F636232">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eastAsia="宋体" w:cs="Times New Roman"/>
                      <w:snapToGrid w:val="0"/>
                      <w:color w:val="auto"/>
                      <w:kern w:val="18"/>
                      <w:sz w:val="21"/>
                      <w:szCs w:val="21"/>
                      <w:lang w:val="en-US" w:eastAsia="zh-CN"/>
                    </w:rPr>
                  </w:pPr>
                  <w:r>
                    <w:rPr>
                      <w:rFonts w:hint="default" w:ascii="Times New Roman" w:hAnsi="Times New Roman" w:cs="Times New Roman"/>
                      <w:color w:val="auto"/>
                      <w:kern w:val="0"/>
                      <w:sz w:val="21"/>
                      <w:szCs w:val="21"/>
                      <w:lang w:val="en-US" w:eastAsia="zh-CN" w:bidi="ar"/>
                    </w:rPr>
                    <w:t>DA00</w:t>
                  </w:r>
                  <w:r>
                    <w:rPr>
                      <w:rFonts w:hint="eastAsia" w:ascii="Times New Roman" w:hAnsi="Times New Roman" w:cs="Times New Roman"/>
                      <w:color w:val="auto"/>
                      <w:kern w:val="0"/>
                      <w:sz w:val="21"/>
                      <w:szCs w:val="21"/>
                      <w:lang w:val="en-US" w:eastAsia="zh-CN" w:bidi="ar"/>
                    </w:rPr>
                    <w:t>1预处理废液抽取废气</w:t>
                  </w:r>
                </w:p>
              </w:tc>
              <w:tc>
                <w:tcPr>
                  <w:tcW w:w="612" w:type="pct"/>
                  <w:noWrap w:val="0"/>
                  <w:vAlign w:val="center"/>
                </w:tcPr>
                <w:p w14:paraId="3F10FFEC">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双级活性炭吸附装置故障</w:t>
                  </w:r>
                </w:p>
              </w:tc>
              <w:tc>
                <w:tcPr>
                  <w:tcW w:w="419" w:type="pct"/>
                  <w:noWrap w:val="0"/>
                  <w:vAlign w:val="center"/>
                </w:tcPr>
                <w:p w14:paraId="12EEB035">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非甲烷总烃</w:t>
                  </w:r>
                </w:p>
              </w:tc>
              <w:tc>
                <w:tcPr>
                  <w:tcW w:w="610" w:type="pct"/>
                  <w:noWrap w:val="0"/>
                  <w:vAlign w:val="center"/>
                </w:tcPr>
                <w:p w14:paraId="3631910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17.5</w:t>
                  </w:r>
                </w:p>
              </w:tc>
              <w:tc>
                <w:tcPr>
                  <w:tcW w:w="633" w:type="pct"/>
                  <w:noWrap w:val="0"/>
                  <w:vAlign w:val="center"/>
                </w:tcPr>
                <w:p w14:paraId="496E59D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0.1225</w:t>
                  </w:r>
                </w:p>
              </w:tc>
              <w:tc>
                <w:tcPr>
                  <w:tcW w:w="503" w:type="pct"/>
                  <w:noWrap w:val="0"/>
                  <w:vAlign w:val="center"/>
                </w:tcPr>
                <w:p w14:paraId="491E4952">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eastAsia="宋体" w:cs="Times New Roman"/>
                      <w:snapToGrid w:val="0"/>
                      <w:color w:val="auto"/>
                      <w:kern w:val="18"/>
                      <w:sz w:val="21"/>
                      <w:szCs w:val="21"/>
                      <w:lang w:val="en-US" w:eastAsia="zh-CN"/>
                    </w:rPr>
                  </w:pPr>
                  <w:r>
                    <w:rPr>
                      <w:rFonts w:hint="default" w:ascii="Times New Roman" w:hAnsi="Times New Roman" w:eastAsia="宋体" w:cs="Times New Roman"/>
                      <w:snapToGrid w:val="0"/>
                      <w:color w:val="auto"/>
                      <w:kern w:val="18"/>
                      <w:sz w:val="21"/>
                      <w:szCs w:val="21"/>
                      <w:lang w:val="en-US" w:eastAsia="zh-CN"/>
                    </w:rPr>
                    <w:t>1</w:t>
                  </w:r>
                </w:p>
              </w:tc>
              <w:tc>
                <w:tcPr>
                  <w:tcW w:w="509" w:type="pct"/>
                  <w:noWrap w:val="0"/>
                  <w:vAlign w:val="center"/>
                </w:tcPr>
                <w:p w14:paraId="1E176E4B">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0.1225</w:t>
                  </w:r>
                </w:p>
              </w:tc>
              <w:tc>
                <w:tcPr>
                  <w:tcW w:w="415" w:type="pct"/>
                  <w:noWrap w:val="0"/>
                  <w:vAlign w:val="center"/>
                </w:tcPr>
                <w:p w14:paraId="3BA47677">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1</w:t>
                  </w:r>
                </w:p>
              </w:tc>
              <w:tc>
                <w:tcPr>
                  <w:tcW w:w="437" w:type="pct"/>
                  <w:noWrap w:val="0"/>
                  <w:vAlign w:val="center"/>
                </w:tcPr>
                <w:p w14:paraId="317A40EF">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立即停止作业</w:t>
                  </w:r>
                </w:p>
              </w:tc>
            </w:tr>
            <w:tr w14:paraId="222D0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66" w:type="pct"/>
                  <w:noWrap w:val="0"/>
                  <w:vAlign w:val="center"/>
                </w:tcPr>
                <w:p w14:paraId="3D8FE5EB">
                  <w:pPr>
                    <w:pStyle w:val="41"/>
                    <w:keepNext w:val="0"/>
                    <w:keepLines w:val="0"/>
                    <w:pageBreakBefore w:val="0"/>
                    <w:kinsoku/>
                    <w:wordWrap/>
                    <w:overflowPunct/>
                    <w:topLinePunct w:val="0"/>
                    <w:autoSpaceDE/>
                    <w:autoSpaceDN/>
                    <w:bidi w:val="0"/>
                    <w:snapToGrid/>
                    <w:spacing w:line="340" w:lineRule="exact"/>
                    <w:textAlignment w:val="auto"/>
                    <w:rPr>
                      <w:rFonts w:hint="eastAsia" w:ascii="Times New Roman" w:hAnsi="Times New Roman" w:eastAsia="宋体"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2</w:t>
                  </w:r>
                </w:p>
              </w:tc>
              <w:tc>
                <w:tcPr>
                  <w:tcW w:w="590" w:type="pct"/>
                  <w:noWrap w:val="0"/>
                  <w:vAlign w:val="center"/>
                </w:tcPr>
                <w:p w14:paraId="3EDD17F3">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DA002废变压器油抽取废气</w:t>
                  </w:r>
                </w:p>
              </w:tc>
              <w:tc>
                <w:tcPr>
                  <w:tcW w:w="612" w:type="pct"/>
                  <w:noWrap w:val="0"/>
                  <w:vAlign w:val="center"/>
                </w:tcPr>
                <w:p w14:paraId="27526A11">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双级活性炭吸附装置故障</w:t>
                  </w:r>
                </w:p>
              </w:tc>
              <w:tc>
                <w:tcPr>
                  <w:tcW w:w="419" w:type="pct"/>
                  <w:noWrap w:val="0"/>
                  <w:vAlign w:val="center"/>
                </w:tcPr>
                <w:p w14:paraId="0D9B29DA">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非甲烷总烃</w:t>
                  </w:r>
                </w:p>
              </w:tc>
              <w:tc>
                <w:tcPr>
                  <w:tcW w:w="610" w:type="pct"/>
                  <w:noWrap w:val="0"/>
                  <w:vAlign w:val="center"/>
                </w:tcPr>
                <w:p w14:paraId="2642B8AE">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51.6</w:t>
                  </w:r>
                </w:p>
              </w:tc>
              <w:tc>
                <w:tcPr>
                  <w:tcW w:w="633" w:type="pct"/>
                  <w:noWrap w:val="0"/>
                  <w:vAlign w:val="center"/>
                </w:tcPr>
                <w:p w14:paraId="30C7CA6E">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0.155</w:t>
                  </w:r>
                </w:p>
              </w:tc>
              <w:tc>
                <w:tcPr>
                  <w:tcW w:w="503" w:type="pct"/>
                  <w:noWrap w:val="0"/>
                  <w:vAlign w:val="center"/>
                </w:tcPr>
                <w:p w14:paraId="35C9FFC9">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1</w:t>
                  </w:r>
                </w:p>
              </w:tc>
              <w:tc>
                <w:tcPr>
                  <w:tcW w:w="509" w:type="pct"/>
                  <w:noWrap w:val="0"/>
                  <w:vAlign w:val="center"/>
                </w:tcPr>
                <w:p w14:paraId="2B048019">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0.155</w:t>
                  </w:r>
                </w:p>
              </w:tc>
              <w:tc>
                <w:tcPr>
                  <w:tcW w:w="415" w:type="pct"/>
                  <w:noWrap w:val="0"/>
                  <w:vAlign w:val="center"/>
                </w:tcPr>
                <w:p w14:paraId="550090B4">
                  <w:pPr>
                    <w:pStyle w:val="41"/>
                    <w:keepNext w:val="0"/>
                    <w:keepLines w:val="0"/>
                    <w:pageBreakBefore w:val="0"/>
                    <w:kinsoku/>
                    <w:wordWrap/>
                    <w:overflowPunct/>
                    <w:topLinePunct w:val="0"/>
                    <w:autoSpaceDE/>
                    <w:autoSpaceDN/>
                    <w:bidi w:val="0"/>
                    <w:snapToGrid/>
                    <w:spacing w:line="340" w:lineRule="exact"/>
                    <w:ind w:firstLine="0" w:firstLineChars="0"/>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1</w:t>
                  </w:r>
                </w:p>
              </w:tc>
              <w:tc>
                <w:tcPr>
                  <w:tcW w:w="437" w:type="pct"/>
                  <w:noWrap w:val="0"/>
                  <w:vAlign w:val="center"/>
                </w:tcPr>
                <w:p w14:paraId="51A95E0A">
                  <w:pPr>
                    <w:pStyle w:val="41"/>
                    <w:keepNext w:val="0"/>
                    <w:keepLines w:val="0"/>
                    <w:pageBreakBefore w:val="0"/>
                    <w:kinsoku/>
                    <w:wordWrap/>
                    <w:overflowPunct/>
                    <w:topLinePunct w:val="0"/>
                    <w:autoSpaceDE/>
                    <w:autoSpaceDN/>
                    <w:bidi w:val="0"/>
                    <w:snapToGrid/>
                    <w:spacing w:line="340" w:lineRule="exact"/>
                    <w:ind w:firstLine="0" w:firstLineChars="0"/>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立即停止作业</w:t>
                  </w:r>
                </w:p>
              </w:tc>
            </w:tr>
            <w:tr w14:paraId="13593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noWrap w:val="0"/>
                  <w:vAlign w:val="center"/>
                </w:tcPr>
                <w:p w14:paraId="6F0C0EE3">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3</w:t>
                  </w:r>
                </w:p>
              </w:tc>
              <w:tc>
                <w:tcPr>
                  <w:tcW w:w="590" w:type="pct"/>
                  <w:noWrap w:val="0"/>
                  <w:vAlign w:val="center"/>
                </w:tcPr>
                <w:p w14:paraId="55929FC8">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DA003危废暂存废气</w:t>
                  </w:r>
                </w:p>
              </w:tc>
              <w:tc>
                <w:tcPr>
                  <w:tcW w:w="612" w:type="pct"/>
                  <w:noWrap w:val="0"/>
                  <w:vAlign w:val="center"/>
                </w:tcPr>
                <w:p w14:paraId="574203DD">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双级活性炭吸附装置故障</w:t>
                  </w:r>
                </w:p>
              </w:tc>
              <w:tc>
                <w:tcPr>
                  <w:tcW w:w="419" w:type="pct"/>
                  <w:noWrap w:val="0"/>
                  <w:vAlign w:val="center"/>
                </w:tcPr>
                <w:p w14:paraId="3A97E488">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非甲烷总烃</w:t>
                  </w:r>
                </w:p>
              </w:tc>
              <w:tc>
                <w:tcPr>
                  <w:tcW w:w="610" w:type="pct"/>
                  <w:noWrap w:val="0"/>
                  <w:vAlign w:val="center"/>
                </w:tcPr>
                <w:p w14:paraId="10680890">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7.65</w:t>
                  </w:r>
                </w:p>
              </w:tc>
              <w:tc>
                <w:tcPr>
                  <w:tcW w:w="633" w:type="pct"/>
                  <w:noWrap w:val="0"/>
                  <w:vAlign w:val="center"/>
                </w:tcPr>
                <w:p w14:paraId="7F57AFBE">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0.0191</w:t>
                  </w:r>
                </w:p>
              </w:tc>
              <w:tc>
                <w:tcPr>
                  <w:tcW w:w="503" w:type="pct"/>
                  <w:noWrap w:val="0"/>
                  <w:vAlign w:val="center"/>
                </w:tcPr>
                <w:p w14:paraId="6E604365">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1</w:t>
                  </w:r>
                </w:p>
              </w:tc>
              <w:tc>
                <w:tcPr>
                  <w:tcW w:w="509" w:type="pct"/>
                  <w:noWrap w:val="0"/>
                  <w:vAlign w:val="center"/>
                </w:tcPr>
                <w:p w14:paraId="382CFD71">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0.0191</w:t>
                  </w:r>
                </w:p>
              </w:tc>
              <w:tc>
                <w:tcPr>
                  <w:tcW w:w="415" w:type="pct"/>
                  <w:noWrap w:val="0"/>
                  <w:vAlign w:val="center"/>
                </w:tcPr>
                <w:p w14:paraId="6BAD6D28">
                  <w:pPr>
                    <w:pStyle w:val="41"/>
                    <w:keepNext w:val="0"/>
                    <w:keepLines w:val="0"/>
                    <w:pageBreakBefore w:val="0"/>
                    <w:kinsoku/>
                    <w:wordWrap/>
                    <w:overflowPunct/>
                    <w:topLinePunct w:val="0"/>
                    <w:autoSpaceDE/>
                    <w:autoSpaceDN/>
                    <w:bidi w:val="0"/>
                    <w:snapToGrid/>
                    <w:spacing w:line="340" w:lineRule="exact"/>
                    <w:ind w:firstLine="0" w:firstLineChars="0"/>
                    <w:textAlignment w:val="auto"/>
                    <w:rPr>
                      <w:rFonts w:hint="eastAsia"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1</w:t>
                  </w:r>
                </w:p>
              </w:tc>
              <w:tc>
                <w:tcPr>
                  <w:tcW w:w="437" w:type="pct"/>
                  <w:noWrap w:val="0"/>
                  <w:vAlign w:val="center"/>
                </w:tcPr>
                <w:p w14:paraId="76B8CFBE">
                  <w:pPr>
                    <w:pStyle w:val="41"/>
                    <w:keepNext w:val="0"/>
                    <w:keepLines w:val="0"/>
                    <w:pageBreakBefore w:val="0"/>
                    <w:kinsoku/>
                    <w:wordWrap/>
                    <w:overflowPunct/>
                    <w:topLinePunct w:val="0"/>
                    <w:autoSpaceDE/>
                    <w:autoSpaceDN/>
                    <w:bidi w:val="0"/>
                    <w:snapToGrid/>
                    <w:spacing w:line="340" w:lineRule="exact"/>
                    <w:ind w:firstLine="0" w:firstLineChars="0"/>
                    <w:textAlignment w:val="auto"/>
                    <w:rPr>
                      <w:rFonts w:hint="eastAsia" w:ascii="Times New Roman" w:hAnsi="Times New Roman" w:eastAsia="宋体" w:cs="Times New Roman"/>
                      <w:snapToGrid w:val="0"/>
                      <w:color w:val="auto"/>
                      <w:kern w:val="18"/>
                      <w:sz w:val="21"/>
                      <w:szCs w:val="21"/>
                      <w:lang w:val="en-US" w:eastAsia="zh-CN"/>
                    </w:rPr>
                  </w:pPr>
                  <w:r>
                    <w:rPr>
                      <w:rFonts w:hint="default" w:ascii="Times New Roman" w:hAnsi="Times New Roman" w:eastAsia="宋体" w:cs="Times New Roman"/>
                      <w:snapToGrid w:val="0"/>
                      <w:color w:val="auto"/>
                      <w:kern w:val="18"/>
                      <w:sz w:val="21"/>
                      <w:szCs w:val="21"/>
                    </w:rPr>
                    <w:t>立即</w:t>
                  </w:r>
                  <w:r>
                    <w:rPr>
                      <w:rFonts w:hint="eastAsia" w:ascii="Times New Roman" w:hAnsi="Times New Roman" w:eastAsia="宋体" w:cs="Times New Roman"/>
                      <w:snapToGrid w:val="0"/>
                      <w:color w:val="auto"/>
                      <w:kern w:val="18"/>
                      <w:sz w:val="21"/>
                      <w:szCs w:val="21"/>
                      <w:lang w:val="en-US" w:eastAsia="zh-CN"/>
                    </w:rPr>
                    <w:t>维修</w:t>
                  </w:r>
                </w:p>
              </w:tc>
            </w:tr>
            <w:tr w14:paraId="1CDE5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noWrap w:val="0"/>
                  <w:vAlign w:val="center"/>
                </w:tcPr>
                <w:p w14:paraId="099C8C60">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4</w:t>
                  </w:r>
                </w:p>
              </w:tc>
              <w:tc>
                <w:tcPr>
                  <w:tcW w:w="590" w:type="pct"/>
                  <w:noWrap w:val="0"/>
                  <w:vAlign w:val="center"/>
                </w:tcPr>
                <w:p w14:paraId="30461A29">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大小车拆解车间</w:t>
                  </w:r>
                </w:p>
              </w:tc>
              <w:tc>
                <w:tcPr>
                  <w:tcW w:w="612" w:type="pct"/>
                  <w:noWrap w:val="0"/>
                  <w:vAlign w:val="center"/>
                </w:tcPr>
                <w:p w14:paraId="608630AF">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移动布袋除尘器故障</w:t>
                  </w:r>
                </w:p>
              </w:tc>
              <w:tc>
                <w:tcPr>
                  <w:tcW w:w="419" w:type="pct"/>
                  <w:noWrap w:val="0"/>
                  <w:vAlign w:val="center"/>
                </w:tcPr>
                <w:p w14:paraId="45AC8C93">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颗粒物</w:t>
                  </w:r>
                </w:p>
              </w:tc>
              <w:tc>
                <w:tcPr>
                  <w:tcW w:w="610" w:type="pct"/>
                  <w:noWrap w:val="0"/>
                  <w:vAlign w:val="center"/>
                </w:tcPr>
                <w:p w14:paraId="1879DF3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33" w:type="pct"/>
                  <w:noWrap w:val="0"/>
                  <w:vAlign w:val="center"/>
                </w:tcPr>
                <w:p w14:paraId="3553D7BE">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0.0040</w:t>
                  </w:r>
                </w:p>
              </w:tc>
              <w:tc>
                <w:tcPr>
                  <w:tcW w:w="503" w:type="pct"/>
                  <w:noWrap w:val="0"/>
                  <w:vAlign w:val="center"/>
                </w:tcPr>
                <w:p w14:paraId="3351996A">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1</w:t>
                  </w:r>
                </w:p>
              </w:tc>
              <w:tc>
                <w:tcPr>
                  <w:tcW w:w="509" w:type="pct"/>
                  <w:noWrap w:val="0"/>
                  <w:vAlign w:val="center"/>
                </w:tcPr>
                <w:p w14:paraId="37EEBA01">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0.0040</w:t>
                  </w:r>
                </w:p>
              </w:tc>
              <w:tc>
                <w:tcPr>
                  <w:tcW w:w="415" w:type="pct"/>
                  <w:noWrap w:val="0"/>
                  <w:vAlign w:val="center"/>
                </w:tcPr>
                <w:p w14:paraId="4865609D">
                  <w:pPr>
                    <w:pStyle w:val="41"/>
                    <w:keepNext w:val="0"/>
                    <w:keepLines w:val="0"/>
                    <w:pageBreakBefore w:val="0"/>
                    <w:kinsoku/>
                    <w:wordWrap/>
                    <w:overflowPunct/>
                    <w:topLinePunct w:val="0"/>
                    <w:autoSpaceDE/>
                    <w:autoSpaceDN/>
                    <w:bidi w:val="0"/>
                    <w:snapToGrid/>
                    <w:spacing w:line="340" w:lineRule="exact"/>
                    <w:ind w:firstLine="0" w:firstLineChars="0"/>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1</w:t>
                  </w:r>
                </w:p>
              </w:tc>
              <w:tc>
                <w:tcPr>
                  <w:tcW w:w="437" w:type="pct"/>
                  <w:noWrap w:val="0"/>
                  <w:vAlign w:val="center"/>
                </w:tcPr>
                <w:p w14:paraId="008D8858">
                  <w:pPr>
                    <w:pStyle w:val="41"/>
                    <w:keepNext w:val="0"/>
                    <w:keepLines w:val="0"/>
                    <w:pageBreakBefore w:val="0"/>
                    <w:kinsoku/>
                    <w:wordWrap/>
                    <w:overflowPunct/>
                    <w:topLinePunct w:val="0"/>
                    <w:autoSpaceDE/>
                    <w:autoSpaceDN/>
                    <w:bidi w:val="0"/>
                    <w:snapToGrid/>
                    <w:spacing w:line="340" w:lineRule="exact"/>
                    <w:ind w:firstLine="0" w:firstLineChars="0"/>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立即停止作业</w:t>
                  </w:r>
                </w:p>
              </w:tc>
            </w:tr>
            <w:tr w14:paraId="19794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noWrap w:val="0"/>
                  <w:vAlign w:val="center"/>
                </w:tcPr>
                <w:p w14:paraId="0FCE337A">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5</w:t>
                  </w:r>
                </w:p>
              </w:tc>
              <w:tc>
                <w:tcPr>
                  <w:tcW w:w="590" w:type="pct"/>
                  <w:noWrap w:val="0"/>
                  <w:vAlign w:val="center"/>
                </w:tcPr>
                <w:p w14:paraId="5CDCC296">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废电机拆解车间</w:t>
                  </w:r>
                </w:p>
              </w:tc>
              <w:tc>
                <w:tcPr>
                  <w:tcW w:w="612" w:type="pct"/>
                  <w:noWrap w:val="0"/>
                  <w:vAlign w:val="center"/>
                </w:tcPr>
                <w:p w14:paraId="77B80E9E">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移动布袋除尘器故障</w:t>
                  </w:r>
                </w:p>
              </w:tc>
              <w:tc>
                <w:tcPr>
                  <w:tcW w:w="419" w:type="pct"/>
                  <w:noWrap w:val="0"/>
                  <w:vAlign w:val="center"/>
                </w:tcPr>
                <w:p w14:paraId="4660D61E">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颗粒物</w:t>
                  </w:r>
                </w:p>
              </w:tc>
              <w:tc>
                <w:tcPr>
                  <w:tcW w:w="610" w:type="pct"/>
                  <w:noWrap w:val="0"/>
                  <w:vAlign w:val="center"/>
                </w:tcPr>
                <w:p w14:paraId="3348A87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33" w:type="pct"/>
                  <w:noWrap w:val="0"/>
                  <w:vAlign w:val="center"/>
                </w:tcPr>
                <w:p w14:paraId="337CC78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0.0006</w:t>
                  </w:r>
                </w:p>
              </w:tc>
              <w:tc>
                <w:tcPr>
                  <w:tcW w:w="503" w:type="pct"/>
                  <w:noWrap w:val="0"/>
                  <w:vAlign w:val="center"/>
                </w:tcPr>
                <w:p w14:paraId="28477BC9">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1</w:t>
                  </w:r>
                </w:p>
              </w:tc>
              <w:tc>
                <w:tcPr>
                  <w:tcW w:w="509" w:type="pct"/>
                  <w:noWrap w:val="0"/>
                  <w:vAlign w:val="center"/>
                </w:tcPr>
                <w:p w14:paraId="546D5A1E">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0.0006</w:t>
                  </w:r>
                </w:p>
              </w:tc>
              <w:tc>
                <w:tcPr>
                  <w:tcW w:w="415" w:type="pct"/>
                  <w:noWrap w:val="0"/>
                  <w:vAlign w:val="center"/>
                </w:tcPr>
                <w:p w14:paraId="65EDD788">
                  <w:pPr>
                    <w:pStyle w:val="41"/>
                    <w:keepNext w:val="0"/>
                    <w:keepLines w:val="0"/>
                    <w:pageBreakBefore w:val="0"/>
                    <w:kinsoku/>
                    <w:wordWrap/>
                    <w:overflowPunct/>
                    <w:topLinePunct w:val="0"/>
                    <w:autoSpaceDE/>
                    <w:autoSpaceDN/>
                    <w:bidi w:val="0"/>
                    <w:snapToGrid/>
                    <w:spacing w:line="340" w:lineRule="exact"/>
                    <w:ind w:firstLine="0" w:firstLineChars="0"/>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1</w:t>
                  </w:r>
                </w:p>
              </w:tc>
              <w:tc>
                <w:tcPr>
                  <w:tcW w:w="437" w:type="pct"/>
                  <w:noWrap w:val="0"/>
                  <w:vAlign w:val="center"/>
                </w:tcPr>
                <w:p w14:paraId="47D83CBA">
                  <w:pPr>
                    <w:pStyle w:val="41"/>
                    <w:keepNext w:val="0"/>
                    <w:keepLines w:val="0"/>
                    <w:pageBreakBefore w:val="0"/>
                    <w:kinsoku/>
                    <w:wordWrap/>
                    <w:overflowPunct/>
                    <w:topLinePunct w:val="0"/>
                    <w:autoSpaceDE/>
                    <w:autoSpaceDN/>
                    <w:bidi w:val="0"/>
                    <w:snapToGrid/>
                    <w:spacing w:line="340" w:lineRule="exact"/>
                    <w:ind w:firstLine="0" w:firstLineChars="0"/>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立即停止作业</w:t>
                  </w:r>
                </w:p>
              </w:tc>
            </w:tr>
            <w:tr w14:paraId="6D575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noWrap w:val="0"/>
                  <w:vAlign w:val="center"/>
                </w:tcPr>
                <w:p w14:paraId="233450F0">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6</w:t>
                  </w:r>
                </w:p>
              </w:tc>
              <w:tc>
                <w:tcPr>
                  <w:tcW w:w="590" w:type="pct"/>
                  <w:noWrap w:val="0"/>
                  <w:vAlign w:val="center"/>
                </w:tcPr>
                <w:p w14:paraId="6B6C37C7">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废变压器拆解车间</w:t>
                  </w:r>
                </w:p>
              </w:tc>
              <w:tc>
                <w:tcPr>
                  <w:tcW w:w="612" w:type="pct"/>
                  <w:noWrap w:val="0"/>
                  <w:vAlign w:val="center"/>
                </w:tcPr>
                <w:p w14:paraId="2E464937">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移动布袋除尘器故障</w:t>
                  </w:r>
                </w:p>
              </w:tc>
              <w:tc>
                <w:tcPr>
                  <w:tcW w:w="419" w:type="pct"/>
                  <w:noWrap w:val="0"/>
                  <w:vAlign w:val="center"/>
                </w:tcPr>
                <w:p w14:paraId="0552FF9A">
                  <w:pPr>
                    <w:keepNext w:val="0"/>
                    <w:keepLines w:val="0"/>
                    <w:pageBreakBefore w:val="0"/>
                    <w:widowControl/>
                    <w:kinsoku/>
                    <w:wordWrap/>
                    <w:overflowPunct/>
                    <w:topLinePunct w:val="0"/>
                    <w:autoSpaceDE/>
                    <w:autoSpaceDN/>
                    <w:bidi w:val="0"/>
                    <w:spacing w:line="340" w:lineRule="exact"/>
                    <w:jc w:val="center"/>
                    <w:textAlignment w:val="auto"/>
                    <w:rPr>
                      <w:rFonts w:hint="eastAsia" w:ascii="Times New Roman" w:hAnsi="Times New Roman" w:cs="Times New Roman"/>
                      <w:snapToGrid w:val="0"/>
                      <w:color w:val="auto"/>
                      <w:kern w:val="18"/>
                      <w:sz w:val="21"/>
                      <w:szCs w:val="21"/>
                      <w:lang w:val="en-US" w:eastAsia="zh-CN"/>
                    </w:rPr>
                  </w:pPr>
                  <w:r>
                    <w:rPr>
                      <w:rFonts w:hint="eastAsia" w:ascii="Times New Roman" w:hAnsi="Times New Roman" w:cs="Times New Roman"/>
                      <w:snapToGrid w:val="0"/>
                      <w:color w:val="auto"/>
                      <w:kern w:val="18"/>
                      <w:sz w:val="21"/>
                      <w:szCs w:val="21"/>
                      <w:lang w:val="en-US" w:eastAsia="zh-CN"/>
                    </w:rPr>
                    <w:t>颗粒物</w:t>
                  </w:r>
                </w:p>
              </w:tc>
              <w:tc>
                <w:tcPr>
                  <w:tcW w:w="610" w:type="pct"/>
                  <w:noWrap w:val="0"/>
                  <w:vAlign w:val="center"/>
                </w:tcPr>
                <w:p w14:paraId="497CD6EA">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33" w:type="pct"/>
                  <w:noWrap w:val="0"/>
                  <w:vAlign w:val="center"/>
                </w:tcPr>
                <w:p w14:paraId="553A049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0.0008</w:t>
                  </w:r>
                </w:p>
              </w:tc>
              <w:tc>
                <w:tcPr>
                  <w:tcW w:w="503" w:type="pct"/>
                  <w:noWrap w:val="0"/>
                  <w:vAlign w:val="center"/>
                </w:tcPr>
                <w:p w14:paraId="379BC375">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1</w:t>
                  </w:r>
                </w:p>
              </w:tc>
              <w:tc>
                <w:tcPr>
                  <w:tcW w:w="509" w:type="pct"/>
                  <w:noWrap w:val="0"/>
                  <w:vAlign w:val="center"/>
                </w:tcPr>
                <w:p w14:paraId="0378EFCA">
                  <w:pPr>
                    <w:pStyle w:val="41"/>
                    <w:keepNext w:val="0"/>
                    <w:keepLines w:val="0"/>
                    <w:pageBreakBefore w:val="0"/>
                    <w:kinsoku/>
                    <w:wordWrap/>
                    <w:overflowPunct/>
                    <w:topLinePunct w:val="0"/>
                    <w:autoSpaceDE/>
                    <w:autoSpaceDN/>
                    <w:bidi w:val="0"/>
                    <w:snapToGrid/>
                    <w:spacing w:line="340" w:lineRule="exac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0.0008</w:t>
                  </w:r>
                </w:p>
              </w:tc>
              <w:tc>
                <w:tcPr>
                  <w:tcW w:w="415" w:type="pct"/>
                  <w:noWrap w:val="0"/>
                  <w:vAlign w:val="center"/>
                </w:tcPr>
                <w:p w14:paraId="4F1424CE">
                  <w:pPr>
                    <w:pStyle w:val="41"/>
                    <w:keepNext w:val="0"/>
                    <w:keepLines w:val="0"/>
                    <w:pageBreakBefore w:val="0"/>
                    <w:kinsoku/>
                    <w:wordWrap/>
                    <w:overflowPunct/>
                    <w:topLinePunct w:val="0"/>
                    <w:autoSpaceDE/>
                    <w:autoSpaceDN/>
                    <w:bidi w:val="0"/>
                    <w:snapToGrid/>
                    <w:spacing w:line="340" w:lineRule="exact"/>
                    <w:ind w:firstLine="0" w:firstLineChars="0"/>
                    <w:textAlignment w:val="auto"/>
                    <w:rPr>
                      <w:rFonts w:hint="eastAsia"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1</w:t>
                  </w:r>
                </w:p>
              </w:tc>
              <w:tc>
                <w:tcPr>
                  <w:tcW w:w="437" w:type="pct"/>
                  <w:noWrap w:val="0"/>
                  <w:vAlign w:val="center"/>
                </w:tcPr>
                <w:p w14:paraId="1FACE600">
                  <w:pPr>
                    <w:pStyle w:val="41"/>
                    <w:keepNext w:val="0"/>
                    <w:keepLines w:val="0"/>
                    <w:pageBreakBefore w:val="0"/>
                    <w:kinsoku/>
                    <w:wordWrap/>
                    <w:overflowPunct/>
                    <w:topLinePunct w:val="0"/>
                    <w:autoSpaceDE/>
                    <w:autoSpaceDN/>
                    <w:bidi w:val="0"/>
                    <w:snapToGrid/>
                    <w:spacing w:line="340" w:lineRule="exact"/>
                    <w:ind w:firstLine="0" w:firstLineChars="0"/>
                    <w:textAlignment w:val="auto"/>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立即停止作业</w:t>
                  </w:r>
                </w:p>
              </w:tc>
            </w:tr>
          </w:tbl>
          <w:p w14:paraId="00715F09">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textAlignment w:val="bottom"/>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由表4.2-2可知，本项目采用废气设施在故障等情况发生时，废气污染源排放源强有所增加，对周边大气环境不利影响程度有较大增加。建设单位应立即停止相应生产工序作业，待设备修复正常后再重新投产，因此，采取以上应对措施后，非正常排放对周边影响是短暂的，但是建设单位依然要尽量避免，日常落实设备维护，定期更换清理过滤布袋，更换吸附活性炭，保证处理效率。</w:t>
            </w:r>
          </w:p>
          <w:p w14:paraId="07D2042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kern w:val="0"/>
                <w:sz w:val="24"/>
                <w:lang w:val="en-US" w:eastAsia="zh-CN"/>
              </w:rPr>
              <w:t>4.</w:t>
            </w:r>
            <w:r>
              <w:rPr>
                <w:rFonts w:hint="eastAsia" w:ascii="Times New Roman" w:hAnsi="Times New Roman" w:eastAsia="宋体" w:cs="Times New Roman"/>
                <w:b/>
                <w:bCs w:val="0"/>
                <w:color w:val="auto"/>
                <w:kern w:val="0"/>
                <w:sz w:val="24"/>
                <w:lang w:val="en-US" w:eastAsia="zh-CN"/>
              </w:rPr>
              <w:t>2</w:t>
            </w:r>
            <w:r>
              <w:rPr>
                <w:rFonts w:hint="default" w:ascii="Times New Roman" w:hAnsi="Times New Roman" w:eastAsia="宋体" w:cs="Times New Roman"/>
                <w:b/>
                <w:bCs w:val="0"/>
                <w:color w:val="auto"/>
                <w:kern w:val="0"/>
                <w:sz w:val="24"/>
                <w:lang w:val="en-US" w:eastAsia="zh-CN"/>
              </w:rPr>
              <w:t>.</w:t>
            </w:r>
            <w:r>
              <w:rPr>
                <w:rFonts w:hint="eastAsia" w:ascii="Times New Roman" w:hAnsi="Times New Roman" w:eastAsia="宋体" w:cs="Times New Roman"/>
                <w:b/>
                <w:bCs w:val="0"/>
                <w:color w:val="auto"/>
                <w:kern w:val="0"/>
                <w:sz w:val="24"/>
                <w:lang w:val="en-US" w:eastAsia="zh-CN"/>
              </w:rPr>
              <w:t>3</w:t>
            </w:r>
            <w:r>
              <w:rPr>
                <w:rFonts w:hint="default" w:ascii="Times New Roman" w:hAnsi="Times New Roman" w:eastAsia="宋体" w:cs="Times New Roman"/>
                <w:b/>
                <w:bCs w:val="0"/>
                <w:color w:val="auto"/>
                <w:kern w:val="0"/>
                <w:sz w:val="24"/>
              </w:rPr>
              <w:t>运营期大气影响和污染防治措施</w:t>
            </w:r>
            <w:r>
              <w:rPr>
                <w:rFonts w:hint="eastAsia" w:ascii="Times New Roman" w:hAnsi="Times New Roman" w:eastAsia="宋体" w:cs="Times New Roman"/>
                <w:b/>
                <w:bCs w:val="0"/>
                <w:color w:val="auto"/>
                <w:kern w:val="0"/>
                <w:sz w:val="24"/>
                <w:lang w:eastAsia="zh-CN"/>
              </w:rPr>
              <w:t>可行性</w:t>
            </w:r>
            <w:r>
              <w:rPr>
                <w:rFonts w:hint="default" w:ascii="Times New Roman" w:hAnsi="Times New Roman" w:eastAsia="宋体" w:cs="Times New Roman"/>
                <w:b/>
                <w:bCs w:val="0"/>
                <w:color w:val="auto"/>
                <w:kern w:val="0"/>
                <w:sz w:val="24"/>
              </w:rPr>
              <w:t>分析</w:t>
            </w:r>
          </w:p>
          <w:p w14:paraId="1843BFF4">
            <w:pPr>
              <w:keepNext w:val="0"/>
              <w:keepLines w:val="0"/>
              <w:pageBreakBefore w:val="0"/>
              <w:widowControl w:val="0"/>
              <w:kinsoku/>
              <w:wordWrap/>
              <w:overflowPunct/>
              <w:topLinePunct w:val="0"/>
              <w:autoSpaceDE w:val="0"/>
              <w:autoSpaceDN w:val="0"/>
              <w:bidi w:val="0"/>
              <w:adjustRightInd/>
              <w:snapToGrid/>
              <w:spacing w:line="360" w:lineRule="auto"/>
              <w:jc w:val="left"/>
              <w:textAlignment w:val="bottom"/>
              <w:rPr>
                <w:rFonts w:hint="default" w:ascii="Times New Roman" w:hAnsi="Times New Roman" w:eastAsia="宋体" w:cs="Times New Roman"/>
                <w:color w:val="auto"/>
                <w:kern w:val="0"/>
                <w:sz w:val="24"/>
                <w:lang w:val="en-US" w:eastAsia="zh-CN" w:bidi="ar"/>
              </w:rPr>
            </w:pPr>
            <w:r>
              <w:rPr>
                <w:rFonts w:hint="eastAsia" w:ascii="Times New Roman" w:hAnsi="Times New Roman" w:eastAsia="宋体" w:cs="Times New Roman"/>
                <w:b/>
                <w:bCs/>
                <w:color w:val="auto"/>
                <w:kern w:val="0"/>
                <w:sz w:val="24"/>
                <w:szCs w:val="20"/>
                <w:lang w:val="en-US" w:eastAsia="zh-CN" w:bidi="ar-SA"/>
              </w:rPr>
              <w:t>4.2.3.1 废气预测影响分析</w:t>
            </w:r>
          </w:p>
          <w:p w14:paraId="0640808C">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由于本项目厂区西北侧离居民区较近，因此本评价对项目运营期废气污染物排放对周边主要居民区影响进行预测分析。</w:t>
            </w:r>
          </w:p>
          <w:p w14:paraId="4038513B">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（1）预测因子筛选</w:t>
            </w:r>
          </w:p>
          <w:p w14:paraId="6ED87FC7">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本次预测因子详见表4.2-3。</w:t>
            </w:r>
          </w:p>
          <w:p w14:paraId="0A5CDC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黑体" w:cs="Times New Roman"/>
                <w:color w:val="auto"/>
                <w:sz w:val="24"/>
                <w:szCs w:val="22"/>
                <w:lang w:eastAsia="zh-CN"/>
              </w:rPr>
            </w:pPr>
            <w:r>
              <w:rPr>
                <w:rFonts w:hint="default" w:ascii="Times New Roman" w:hAnsi="Times New Roman" w:eastAsia="黑体" w:cs="Times New Roman"/>
                <w:color w:val="auto"/>
                <w:sz w:val="24"/>
                <w:szCs w:val="22"/>
              </w:rPr>
              <w:t>表4.</w:t>
            </w:r>
            <w:r>
              <w:rPr>
                <w:rFonts w:hint="eastAsia" w:ascii="Times New Roman" w:hAnsi="Times New Roman" w:eastAsia="黑体" w:cs="Times New Roman"/>
                <w:color w:val="auto"/>
                <w:sz w:val="24"/>
                <w:szCs w:val="22"/>
                <w:lang w:val="en-US" w:eastAsia="zh-CN"/>
              </w:rPr>
              <w:t>2-3</w:t>
            </w:r>
            <w:r>
              <w:rPr>
                <w:rFonts w:hint="default" w:ascii="Times New Roman" w:hAnsi="Times New Roman" w:eastAsia="黑体" w:cs="Times New Roman"/>
                <w:color w:val="auto"/>
                <w:sz w:val="24"/>
                <w:szCs w:val="22"/>
              </w:rPr>
              <w:t xml:space="preserve">  </w:t>
            </w:r>
            <w:r>
              <w:rPr>
                <w:rFonts w:hint="eastAsia" w:ascii="Times New Roman" w:hAnsi="Times New Roman" w:eastAsia="黑体" w:cs="Times New Roman"/>
                <w:color w:val="auto"/>
                <w:sz w:val="24"/>
                <w:szCs w:val="22"/>
                <w:lang w:eastAsia="zh-CN"/>
              </w:rPr>
              <w:t>预测因子筛选</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200"/>
              <w:gridCol w:w="1573"/>
              <w:gridCol w:w="1240"/>
              <w:gridCol w:w="1347"/>
              <w:gridCol w:w="1107"/>
              <w:gridCol w:w="810"/>
            </w:tblGrid>
            <w:tr w14:paraId="34420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noWrap w:val="0"/>
                  <w:vAlign w:val="center"/>
                </w:tcPr>
                <w:p w14:paraId="3FC383D0">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序号</w:t>
                  </w:r>
                </w:p>
              </w:tc>
              <w:tc>
                <w:tcPr>
                  <w:tcW w:w="1200" w:type="dxa"/>
                  <w:noWrap w:val="0"/>
                  <w:vAlign w:val="center"/>
                </w:tcPr>
                <w:p w14:paraId="45890747">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车间</w:t>
                  </w:r>
                </w:p>
              </w:tc>
              <w:tc>
                <w:tcPr>
                  <w:tcW w:w="1573" w:type="dxa"/>
                  <w:noWrap w:val="0"/>
                  <w:vAlign w:val="center"/>
                </w:tcPr>
                <w:p w14:paraId="59EB40C0">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工序</w:t>
                  </w:r>
                </w:p>
              </w:tc>
              <w:tc>
                <w:tcPr>
                  <w:tcW w:w="1240" w:type="dxa"/>
                  <w:noWrap w:val="0"/>
                  <w:vAlign w:val="center"/>
                </w:tcPr>
                <w:p w14:paraId="12089644">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污染物</w:t>
                  </w:r>
                </w:p>
              </w:tc>
              <w:tc>
                <w:tcPr>
                  <w:tcW w:w="1347" w:type="dxa"/>
                  <w:noWrap w:val="0"/>
                  <w:vAlign w:val="center"/>
                </w:tcPr>
                <w:p w14:paraId="1BE6E7B5">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排放方式</w:t>
                  </w:r>
                </w:p>
              </w:tc>
              <w:tc>
                <w:tcPr>
                  <w:tcW w:w="1107" w:type="dxa"/>
                  <w:noWrap w:val="0"/>
                  <w:vAlign w:val="center"/>
                </w:tcPr>
                <w:p w14:paraId="654E845B">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是否纳入本次预测</w:t>
                  </w:r>
                </w:p>
              </w:tc>
              <w:tc>
                <w:tcPr>
                  <w:tcW w:w="810" w:type="dxa"/>
                  <w:noWrap w:val="0"/>
                  <w:vAlign w:val="center"/>
                </w:tcPr>
                <w:p w14:paraId="5A5E648C">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备注</w:t>
                  </w:r>
                </w:p>
              </w:tc>
            </w:tr>
            <w:tr w14:paraId="61A61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57" w:type="dxa"/>
                  <w:noWrap w:val="0"/>
                  <w:vAlign w:val="center"/>
                </w:tcPr>
                <w:p w14:paraId="6D6EF04C">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1</w:t>
                  </w:r>
                </w:p>
              </w:tc>
              <w:tc>
                <w:tcPr>
                  <w:tcW w:w="1200" w:type="dxa"/>
                  <w:noWrap w:val="0"/>
                  <w:vAlign w:val="center"/>
                </w:tcPr>
                <w:p w14:paraId="5F8B3CB1">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预处理</w:t>
                  </w:r>
                </w:p>
                <w:p w14:paraId="3BDD8769">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车间</w:t>
                  </w:r>
                </w:p>
              </w:tc>
              <w:tc>
                <w:tcPr>
                  <w:tcW w:w="1573" w:type="dxa"/>
                  <w:noWrap w:val="0"/>
                  <w:vAlign w:val="center"/>
                </w:tcPr>
                <w:p w14:paraId="61A19149">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废机动车预处理废液抽取</w:t>
                  </w:r>
                </w:p>
              </w:tc>
              <w:tc>
                <w:tcPr>
                  <w:tcW w:w="1240" w:type="dxa"/>
                  <w:noWrap w:val="0"/>
                  <w:vAlign w:val="center"/>
                </w:tcPr>
                <w:p w14:paraId="30E954C1">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非甲烷总烃</w:t>
                  </w:r>
                </w:p>
              </w:tc>
              <w:tc>
                <w:tcPr>
                  <w:tcW w:w="1347" w:type="dxa"/>
                  <w:noWrap w:val="0"/>
                  <w:vAlign w:val="center"/>
                </w:tcPr>
                <w:p w14:paraId="5CCA0F04">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hint="eastAsia" w:ascii="Times New Roman" w:hAnsi="Times New Roman"/>
                      <w:color w:val="auto"/>
                      <w:sz w:val="21"/>
                      <w:szCs w:val="21"/>
                      <w:lang w:eastAsia="zh-CN"/>
                    </w:rPr>
                    <w:t>有、无</w:t>
                  </w:r>
                  <w:r>
                    <w:rPr>
                      <w:rFonts w:ascii="Times New Roman" w:hAnsi="Times New Roman"/>
                      <w:color w:val="auto"/>
                      <w:sz w:val="21"/>
                      <w:szCs w:val="21"/>
                    </w:rPr>
                    <w:t>组织</w:t>
                  </w:r>
                </w:p>
              </w:tc>
              <w:tc>
                <w:tcPr>
                  <w:tcW w:w="1107" w:type="dxa"/>
                  <w:noWrap w:val="0"/>
                  <w:vAlign w:val="center"/>
                </w:tcPr>
                <w:p w14:paraId="37530F30">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是</w:t>
                  </w:r>
                </w:p>
              </w:tc>
              <w:tc>
                <w:tcPr>
                  <w:tcW w:w="810" w:type="dxa"/>
                  <w:noWrap w:val="0"/>
                  <w:vAlign w:val="center"/>
                </w:tcPr>
                <w:p w14:paraId="7B27A058">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w:t>
                  </w:r>
                </w:p>
              </w:tc>
            </w:tr>
            <w:tr w14:paraId="78673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noWrap w:val="0"/>
                  <w:vAlign w:val="center"/>
                </w:tcPr>
                <w:p w14:paraId="2C0B2ADA">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w:t>
                  </w:r>
                </w:p>
              </w:tc>
              <w:tc>
                <w:tcPr>
                  <w:tcW w:w="1200" w:type="dxa"/>
                  <w:noWrap w:val="0"/>
                  <w:vAlign w:val="center"/>
                </w:tcPr>
                <w:p w14:paraId="289D6344">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废变压器拆解车间</w:t>
                  </w:r>
                </w:p>
              </w:tc>
              <w:tc>
                <w:tcPr>
                  <w:tcW w:w="1573" w:type="dxa"/>
                  <w:noWrap w:val="0"/>
                  <w:vAlign w:val="center"/>
                </w:tcPr>
                <w:p w14:paraId="0CA35C5C">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废变压器油抽取</w:t>
                  </w:r>
                </w:p>
              </w:tc>
              <w:tc>
                <w:tcPr>
                  <w:tcW w:w="1240" w:type="dxa"/>
                  <w:noWrap w:val="0"/>
                  <w:vAlign w:val="center"/>
                </w:tcPr>
                <w:p w14:paraId="4A98F271">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非甲烷总烃</w:t>
                  </w:r>
                </w:p>
              </w:tc>
              <w:tc>
                <w:tcPr>
                  <w:tcW w:w="1347" w:type="dxa"/>
                  <w:noWrap w:val="0"/>
                  <w:vAlign w:val="center"/>
                </w:tcPr>
                <w:p w14:paraId="4FDE12AC">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有、无</w:t>
                  </w:r>
                  <w:r>
                    <w:rPr>
                      <w:rFonts w:ascii="Times New Roman" w:hAnsi="Times New Roman"/>
                      <w:color w:val="auto"/>
                      <w:sz w:val="21"/>
                      <w:szCs w:val="21"/>
                    </w:rPr>
                    <w:t>组织</w:t>
                  </w:r>
                </w:p>
              </w:tc>
              <w:tc>
                <w:tcPr>
                  <w:tcW w:w="1107" w:type="dxa"/>
                  <w:noWrap w:val="0"/>
                  <w:vAlign w:val="center"/>
                </w:tcPr>
                <w:p w14:paraId="75008AA8">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ascii="Times New Roman" w:hAnsi="Times New Roman"/>
                      <w:color w:val="auto"/>
                      <w:sz w:val="21"/>
                      <w:szCs w:val="21"/>
                    </w:rPr>
                  </w:pPr>
                  <w:r>
                    <w:rPr>
                      <w:rFonts w:ascii="Times New Roman" w:hAnsi="Times New Roman"/>
                      <w:color w:val="auto"/>
                      <w:sz w:val="21"/>
                      <w:szCs w:val="21"/>
                    </w:rPr>
                    <w:t>是</w:t>
                  </w:r>
                </w:p>
              </w:tc>
              <w:tc>
                <w:tcPr>
                  <w:tcW w:w="810" w:type="dxa"/>
                  <w:noWrap w:val="0"/>
                  <w:vAlign w:val="center"/>
                </w:tcPr>
                <w:p w14:paraId="19F6B166">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r>
            <w:tr w14:paraId="7E6CE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noWrap w:val="0"/>
                  <w:vAlign w:val="center"/>
                </w:tcPr>
                <w:p w14:paraId="56A4C26B">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w:t>
                  </w:r>
                </w:p>
              </w:tc>
              <w:tc>
                <w:tcPr>
                  <w:tcW w:w="1200" w:type="dxa"/>
                  <w:noWrap w:val="0"/>
                  <w:vAlign w:val="center"/>
                </w:tcPr>
                <w:p w14:paraId="18581F86">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危废暂存间</w:t>
                  </w:r>
                </w:p>
              </w:tc>
              <w:tc>
                <w:tcPr>
                  <w:tcW w:w="1573" w:type="dxa"/>
                  <w:noWrap w:val="0"/>
                  <w:vAlign w:val="center"/>
                </w:tcPr>
                <w:p w14:paraId="24FBE9C0">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危废暂存</w:t>
                  </w:r>
                </w:p>
              </w:tc>
              <w:tc>
                <w:tcPr>
                  <w:tcW w:w="1240" w:type="dxa"/>
                  <w:noWrap w:val="0"/>
                  <w:vAlign w:val="center"/>
                </w:tcPr>
                <w:p w14:paraId="5CF09576">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非甲烷总烃</w:t>
                  </w:r>
                </w:p>
              </w:tc>
              <w:tc>
                <w:tcPr>
                  <w:tcW w:w="1347" w:type="dxa"/>
                  <w:noWrap w:val="0"/>
                  <w:vAlign w:val="center"/>
                </w:tcPr>
                <w:p w14:paraId="192DA34A">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有、无</w:t>
                  </w:r>
                  <w:r>
                    <w:rPr>
                      <w:rFonts w:ascii="Times New Roman" w:hAnsi="Times New Roman"/>
                      <w:color w:val="auto"/>
                      <w:sz w:val="21"/>
                      <w:szCs w:val="21"/>
                    </w:rPr>
                    <w:t>组织</w:t>
                  </w:r>
                </w:p>
              </w:tc>
              <w:tc>
                <w:tcPr>
                  <w:tcW w:w="1107" w:type="dxa"/>
                  <w:noWrap w:val="0"/>
                  <w:vAlign w:val="center"/>
                </w:tcPr>
                <w:p w14:paraId="65D1873F">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是</w:t>
                  </w:r>
                </w:p>
              </w:tc>
              <w:tc>
                <w:tcPr>
                  <w:tcW w:w="810" w:type="dxa"/>
                  <w:noWrap w:val="0"/>
                  <w:vAlign w:val="center"/>
                </w:tcPr>
                <w:p w14:paraId="79A5847D">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r>
            <w:tr w14:paraId="71BED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noWrap w:val="0"/>
                  <w:vAlign w:val="center"/>
                </w:tcPr>
                <w:p w14:paraId="2BE906FA">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w:t>
                  </w:r>
                </w:p>
              </w:tc>
              <w:tc>
                <w:tcPr>
                  <w:tcW w:w="1200" w:type="dxa"/>
                  <w:noWrap w:val="0"/>
                  <w:vAlign w:val="center"/>
                </w:tcPr>
                <w:p w14:paraId="16C8BD01">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大小车拆解车间</w:t>
                  </w:r>
                </w:p>
              </w:tc>
              <w:tc>
                <w:tcPr>
                  <w:tcW w:w="1573" w:type="dxa"/>
                  <w:noWrap w:val="0"/>
                  <w:vAlign w:val="center"/>
                </w:tcPr>
                <w:p w14:paraId="530B2F91">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切割、剪切、打包</w:t>
                  </w:r>
                </w:p>
              </w:tc>
              <w:tc>
                <w:tcPr>
                  <w:tcW w:w="1240" w:type="dxa"/>
                  <w:noWrap w:val="0"/>
                  <w:vAlign w:val="center"/>
                </w:tcPr>
                <w:p w14:paraId="3DEFD68B">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颗粒物</w:t>
                  </w:r>
                </w:p>
              </w:tc>
              <w:tc>
                <w:tcPr>
                  <w:tcW w:w="1347" w:type="dxa"/>
                  <w:noWrap w:val="0"/>
                  <w:vAlign w:val="center"/>
                </w:tcPr>
                <w:p w14:paraId="4F96FB57">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无组织</w:t>
                  </w:r>
                </w:p>
              </w:tc>
              <w:tc>
                <w:tcPr>
                  <w:tcW w:w="1107" w:type="dxa"/>
                  <w:noWrap w:val="0"/>
                  <w:vAlign w:val="center"/>
                </w:tcPr>
                <w:p w14:paraId="583A62F9">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是</w:t>
                  </w:r>
                </w:p>
              </w:tc>
              <w:tc>
                <w:tcPr>
                  <w:tcW w:w="810" w:type="dxa"/>
                  <w:noWrap w:val="0"/>
                  <w:vAlign w:val="center"/>
                </w:tcPr>
                <w:p w14:paraId="4BF90768">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ascii="Times New Roman" w:hAnsi="Times New Roman"/>
                      <w:color w:val="auto"/>
                      <w:sz w:val="21"/>
                      <w:szCs w:val="21"/>
                    </w:rPr>
                  </w:pPr>
                  <w:r>
                    <w:rPr>
                      <w:rFonts w:ascii="Times New Roman" w:hAnsi="Times New Roman"/>
                      <w:color w:val="auto"/>
                      <w:sz w:val="21"/>
                      <w:szCs w:val="21"/>
                    </w:rPr>
                    <w:t>/</w:t>
                  </w:r>
                </w:p>
              </w:tc>
            </w:tr>
            <w:tr w14:paraId="11784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noWrap w:val="0"/>
                  <w:vAlign w:val="center"/>
                </w:tcPr>
                <w:p w14:paraId="3BE7282C">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w:t>
                  </w:r>
                </w:p>
              </w:tc>
              <w:tc>
                <w:tcPr>
                  <w:tcW w:w="1200" w:type="dxa"/>
                  <w:noWrap w:val="0"/>
                  <w:vAlign w:val="center"/>
                </w:tcPr>
                <w:p w14:paraId="367D8930">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废电机拆解车间</w:t>
                  </w:r>
                </w:p>
              </w:tc>
              <w:tc>
                <w:tcPr>
                  <w:tcW w:w="1573" w:type="dxa"/>
                  <w:noWrap w:val="0"/>
                  <w:vAlign w:val="center"/>
                </w:tcPr>
                <w:p w14:paraId="2554F4AB">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废电机切割</w:t>
                  </w:r>
                </w:p>
              </w:tc>
              <w:tc>
                <w:tcPr>
                  <w:tcW w:w="1240" w:type="dxa"/>
                  <w:noWrap w:val="0"/>
                  <w:vAlign w:val="center"/>
                </w:tcPr>
                <w:p w14:paraId="2033B9BF">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颗粒物</w:t>
                  </w:r>
                </w:p>
              </w:tc>
              <w:tc>
                <w:tcPr>
                  <w:tcW w:w="1347" w:type="dxa"/>
                  <w:noWrap w:val="0"/>
                  <w:vAlign w:val="center"/>
                </w:tcPr>
                <w:p w14:paraId="34CCC577">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ascii="Times New Roman" w:hAnsi="Times New Roman"/>
                      <w:color w:val="auto"/>
                      <w:sz w:val="21"/>
                      <w:szCs w:val="21"/>
                    </w:rPr>
                  </w:pPr>
                  <w:r>
                    <w:rPr>
                      <w:rFonts w:ascii="Times New Roman" w:hAnsi="Times New Roman"/>
                      <w:color w:val="auto"/>
                      <w:sz w:val="21"/>
                      <w:szCs w:val="21"/>
                    </w:rPr>
                    <w:t>无组织</w:t>
                  </w:r>
                </w:p>
              </w:tc>
              <w:tc>
                <w:tcPr>
                  <w:tcW w:w="1107" w:type="dxa"/>
                  <w:noWrap w:val="0"/>
                  <w:vAlign w:val="center"/>
                </w:tcPr>
                <w:p w14:paraId="4C5B0033">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ascii="Times New Roman" w:hAnsi="Times New Roman"/>
                      <w:color w:val="auto"/>
                      <w:sz w:val="21"/>
                      <w:szCs w:val="21"/>
                    </w:rPr>
                  </w:pPr>
                  <w:r>
                    <w:rPr>
                      <w:rFonts w:ascii="Times New Roman" w:hAnsi="Times New Roman"/>
                      <w:color w:val="auto"/>
                      <w:sz w:val="21"/>
                      <w:szCs w:val="21"/>
                    </w:rPr>
                    <w:t>是</w:t>
                  </w:r>
                </w:p>
              </w:tc>
              <w:tc>
                <w:tcPr>
                  <w:tcW w:w="810" w:type="dxa"/>
                  <w:noWrap w:val="0"/>
                  <w:vAlign w:val="center"/>
                </w:tcPr>
                <w:p w14:paraId="4BCCB5FF">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ascii="Times New Roman" w:hAnsi="Times New Roman"/>
                      <w:color w:val="auto"/>
                      <w:sz w:val="21"/>
                      <w:szCs w:val="21"/>
                    </w:rPr>
                  </w:pPr>
                  <w:r>
                    <w:rPr>
                      <w:rFonts w:ascii="Times New Roman" w:hAnsi="Times New Roman"/>
                      <w:color w:val="auto"/>
                      <w:sz w:val="21"/>
                      <w:szCs w:val="21"/>
                    </w:rPr>
                    <w:t>/</w:t>
                  </w:r>
                </w:p>
              </w:tc>
            </w:tr>
            <w:tr w14:paraId="0837A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dxa"/>
                  <w:noWrap w:val="0"/>
                  <w:vAlign w:val="center"/>
                </w:tcPr>
                <w:p w14:paraId="0F8D2CE0">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1200" w:type="dxa"/>
                  <w:noWrap w:val="0"/>
                  <w:vAlign w:val="center"/>
                </w:tcPr>
                <w:p w14:paraId="3ACDD8D0">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废变压器拆解车间</w:t>
                  </w:r>
                </w:p>
              </w:tc>
              <w:tc>
                <w:tcPr>
                  <w:tcW w:w="1573" w:type="dxa"/>
                  <w:noWrap w:val="0"/>
                  <w:vAlign w:val="center"/>
                </w:tcPr>
                <w:p w14:paraId="76768881">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textAlignment w:val="baseline"/>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废变压器切割</w:t>
                  </w:r>
                </w:p>
              </w:tc>
              <w:tc>
                <w:tcPr>
                  <w:tcW w:w="1240" w:type="dxa"/>
                  <w:noWrap w:val="0"/>
                  <w:vAlign w:val="center"/>
                </w:tcPr>
                <w:p w14:paraId="255AB343">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颗粒物</w:t>
                  </w:r>
                </w:p>
              </w:tc>
              <w:tc>
                <w:tcPr>
                  <w:tcW w:w="1347" w:type="dxa"/>
                  <w:noWrap w:val="0"/>
                  <w:vAlign w:val="center"/>
                </w:tcPr>
                <w:p w14:paraId="4336F773">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ascii="Times New Roman" w:hAnsi="Times New Roman"/>
                      <w:color w:val="auto"/>
                      <w:sz w:val="21"/>
                      <w:szCs w:val="21"/>
                    </w:rPr>
                  </w:pPr>
                  <w:r>
                    <w:rPr>
                      <w:rFonts w:ascii="Times New Roman" w:hAnsi="Times New Roman"/>
                      <w:color w:val="auto"/>
                      <w:sz w:val="21"/>
                      <w:szCs w:val="21"/>
                    </w:rPr>
                    <w:t>无组织</w:t>
                  </w:r>
                </w:p>
              </w:tc>
              <w:tc>
                <w:tcPr>
                  <w:tcW w:w="1107" w:type="dxa"/>
                  <w:noWrap w:val="0"/>
                  <w:vAlign w:val="center"/>
                </w:tcPr>
                <w:p w14:paraId="324AE252">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ascii="Times New Roman" w:hAnsi="Times New Roman"/>
                      <w:color w:val="auto"/>
                      <w:sz w:val="21"/>
                      <w:szCs w:val="21"/>
                    </w:rPr>
                  </w:pPr>
                  <w:r>
                    <w:rPr>
                      <w:rFonts w:ascii="Times New Roman" w:hAnsi="Times New Roman"/>
                      <w:color w:val="auto"/>
                      <w:sz w:val="21"/>
                      <w:szCs w:val="21"/>
                    </w:rPr>
                    <w:t>是</w:t>
                  </w:r>
                </w:p>
              </w:tc>
              <w:tc>
                <w:tcPr>
                  <w:tcW w:w="810" w:type="dxa"/>
                  <w:noWrap w:val="0"/>
                  <w:vAlign w:val="center"/>
                </w:tcPr>
                <w:p w14:paraId="4C899761">
                  <w:pPr>
                    <w:pStyle w:val="25"/>
                    <w:keepNext w:val="0"/>
                    <w:keepLines w:val="0"/>
                    <w:pageBreakBefore w:val="0"/>
                    <w:widowControl w:val="0"/>
                    <w:kinsoku/>
                    <w:wordWrap/>
                    <w:overflowPunct/>
                    <w:topLinePunct w:val="0"/>
                    <w:autoSpaceDE w:val="0"/>
                    <w:autoSpaceDN w:val="0"/>
                    <w:bidi w:val="0"/>
                    <w:adjustRightInd w:val="0"/>
                    <w:snapToGrid/>
                    <w:spacing w:before="0" w:beforeLines="0" w:beforeAutospacing="0" w:after="0" w:afterLines="0" w:afterAutospacing="0" w:line="340" w:lineRule="exact"/>
                    <w:ind w:left="0" w:firstLine="0" w:firstLineChars="0"/>
                    <w:textAlignment w:val="baseline"/>
                    <w:rPr>
                      <w:rFonts w:ascii="Times New Roman" w:hAnsi="Times New Roman"/>
                      <w:color w:val="auto"/>
                      <w:sz w:val="21"/>
                      <w:szCs w:val="21"/>
                    </w:rPr>
                  </w:pPr>
                  <w:r>
                    <w:rPr>
                      <w:rFonts w:ascii="Times New Roman" w:hAnsi="Times New Roman"/>
                      <w:color w:val="auto"/>
                      <w:sz w:val="21"/>
                      <w:szCs w:val="21"/>
                    </w:rPr>
                    <w:t>/</w:t>
                  </w:r>
                </w:p>
              </w:tc>
            </w:tr>
          </w:tbl>
          <w:p w14:paraId="0C55FE4A">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（2）预测废气源强</w:t>
            </w:r>
          </w:p>
          <w:p w14:paraId="61F583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color w:val="auto"/>
                <w:sz w:val="24"/>
                <w:szCs w:val="22"/>
              </w:rPr>
            </w:pPr>
          </w:p>
          <w:p w14:paraId="38A9B4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color w:val="auto"/>
                <w:sz w:val="24"/>
                <w:szCs w:val="22"/>
              </w:rPr>
            </w:pPr>
          </w:p>
          <w:p w14:paraId="1559C4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color w:val="auto"/>
                <w:sz w:val="24"/>
                <w:szCs w:val="22"/>
              </w:rPr>
            </w:pPr>
          </w:p>
          <w:p w14:paraId="173956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color w:val="auto"/>
                <w:sz w:val="24"/>
                <w:szCs w:val="22"/>
              </w:rPr>
            </w:pPr>
          </w:p>
          <w:p w14:paraId="01C364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color w:val="auto"/>
                <w:sz w:val="24"/>
                <w:szCs w:val="22"/>
              </w:rPr>
            </w:pPr>
          </w:p>
          <w:p w14:paraId="2C857B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color w:val="auto"/>
                <w:sz w:val="24"/>
                <w:szCs w:val="22"/>
                <w:lang w:val="en-US" w:eastAsia="zh-CN"/>
              </w:rPr>
            </w:pPr>
            <w:r>
              <w:rPr>
                <w:rFonts w:hint="default" w:ascii="Times New Roman" w:hAnsi="Times New Roman" w:eastAsia="黑体" w:cs="Times New Roman"/>
                <w:color w:val="auto"/>
                <w:sz w:val="24"/>
                <w:szCs w:val="22"/>
              </w:rPr>
              <w:t>表4.</w:t>
            </w:r>
            <w:r>
              <w:rPr>
                <w:rFonts w:hint="eastAsia" w:ascii="Times New Roman" w:hAnsi="Times New Roman" w:eastAsia="黑体" w:cs="Times New Roman"/>
                <w:color w:val="auto"/>
                <w:sz w:val="24"/>
                <w:szCs w:val="22"/>
                <w:lang w:val="en-US" w:eastAsia="zh-CN"/>
              </w:rPr>
              <w:t>2-4 有组织排放污染物源强</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82"/>
              <w:gridCol w:w="785"/>
              <w:gridCol w:w="790"/>
              <w:gridCol w:w="690"/>
              <w:gridCol w:w="704"/>
              <w:gridCol w:w="979"/>
              <w:gridCol w:w="799"/>
              <w:gridCol w:w="690"/>
              <w:gridCol w:w="791"/>
              <w:gridCol w:w="933"/>
            </w:tblGrid>
            <w:tr w14:paraId="44577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2" w:type="pct"/>
                  <w:vMerge w:val="restart"/>
                  <w:noWrap w:val="0"/>
                  <w:tcMar>
                    <w:top w:w="15" w:type="dxa"/>
                    <w:left w:w="15" w:type="dxa"/>
                    <w:right w:w="15" w:type="dxa"/>
                  </w:tcMar>
                  <w:vAlign w:val="center"/>
                </w:tcPr>
                <w:p w14:paraId="09852C87">
                  <w:pPr>
                    <w:pStyle w:val="52"/>
                    <w:rPr>
                      <w:rFonts w:ascii="Times New Roman" w:hAnsi="Times New Roman"/>
                      <w:b/>
                      <w:bCs/>
                      <w:color w:val="auto"/>
                      <w:sz w:val="21"/>
                      <w:szCs w:val="21"/>
                    </w:rPr>
                  </w:pPr>
                  <w:r>
                    <w:rPr>
                      <w:rFonts w:ascii="Times New Roman" w:hAnsi="Times New Roman"/>
                      <w:b/>
                      <w:bCs/>
                      <w:color w:val="auto"/>
                      <w:sz w:val="21"/>
                      <w:szCs w:val="21"/>
                    </w:rPr>
                    <w:t>污染源名称</w:t>
                  </w:r>
                </w:p>
              </w:tc>
              <w:tc>
                <w:tcPr>
                  <w:tcW w:w="991" w:type="pct"/>
                  <w:gridSpan w:val="2"/>
                  <w:vMerge w:val="restart"/>
                  <w:noWrap w:val="0"/>
                  <w:tcMar>
                    <w:top w:w="15" w:type="dxa"/>
                    <w:left w:w="15" w:type="dxa"/>
                    <w:right w:w="15" w:type="dxa"/>
                  </w:tcMar>
                  <w:vAlign w:val="center"/>
                </w:tcPr>
                <w:p w14:paraId="7895CDB5">
                  <w:pPr>
                    <w:pStyle w:val="52"/>
                    <w:rPr>
                      <w:rFonts w:ascii="Times New Roman" w:hAnsi="Times New Roman"/>
                      <w:b/>
                      <w:bCs/>
                      <w:color w:val="auto"/>
                      <w:sz w:val="21"/>
                      <w:szCs w:val="21"/>
                    </w:rPr>
                  </w:pPr>
                  <w:r>
                    <w:rPr>
                      <w:rFonts w:ascii="Times New Roman" w:hAnsi="Times New Roman"/>
                      <w:b/>
                      <w:bCs/>
                      <w:color w:val="auto"/>
                      <w:sz w:val="21"/>
                      <w:szCs w:val="21"/>
                    </w:rPr>
                    <w:t>排气筒底部中心坐标</w:t>
                  </w:r>
                </w:p>
              </w:tc>
              <w:tc>
                <w:tcPr>
                  <w:tcW w:w="1996" w:type="pct"/>
                  <w:gridSpan w:val="4"/>
                  <w:noWrap w:val="0"/>
                  <w:tcMar>
                    <w:top w:w="15" w:type="dxa"/>
                    <w:left w:w="15" w:type="dxa"/>
                    <w:right w:w="15" w:type="dxa"/>
                  </w:tcMar>
                  <w:vAlign w:val="center"/>
                </w:tcPr>
                <w:p w14:paraId="5916A42E">
                  <w:pPr>
                    <w:pStyle w:val="52"/>
                    <w:rPr>
                      <w:rFonts w:ascii="Times New Roman" w:hAnsi="Times New Roman"/>
                      <w:b/>
                      <w:bCs/>
                      <w:color w:val="auto"/>
                      <w:sz w:val="21"/>
                      <w:szCs w:val="21"/>
                    </w:rPr>
                  </w:pPr>
                  <w:r>
                    <w:rPr>
                      <w:rFonts w:ascii="Times New Roman" w:hAnsi="Times New Roman"/>
                      <w:b/>
                      <w:bCs/>
                      <w:color w:val="auto"/>
                      <w:sz w:val="21"/>
                      <w:szCs w:val="21"/>
                    </w:rPr>
                    <w:t>排气筒参数</w:t>
                  </w:r>
                </w:p>
              </w:tc>
              <w:tc>
                <w:tcPr>
                  <w:tcW w:w="434" w:type="pct"/>
                  <w:vMerge w:val="restart"/>
                  <w:noWrap w:val="0"/>
                  <w:tcMar>
                    <w:top w:w="15" w:type="dxa"/>
                    <w:left w:w="15" w:type="dxa"/>
                    <w:right w:w="15" w:type="dxa"/>
                  </w:tcMar>
                  <w:vAlign w:val="center"/>
                </w:tcPr>
                <w:p w14:paraId="421F3852">
                  <w:pPr>
                    <w:pStyle w:val="52"/>
                    <w:rPr>
                      <w:rFonts w:ascii="Times New Roman" w:hAnsi="Times New Roman"/>
                      <w:b/>
                      <w:bCs/>
                      <w:color w:val="auto"/>
                      <w:sz w:val="21"/>
                      <w:szCs w:val="21"/>
                    </w:rPr>
                  </w:pPr>
                  <w:r>
                    <w:rPr>
                      <w:rFonts w:ascii="Times New Roman" w:hAnsi="Times New Roman"/>
                      <w:b/>
                      <w:bCs/>
                      <w:color w:val="auto"/>
                      <w:sz w:val="21"/>
                      <w:szCs w:val="21"/>
                    </w:rPr>
                    <w:t>年排放小时数（h）</w:t>
                  </w:r>
                </w:p>
              </w:tc>
              <w:tc>
                <w:tcPr>
                  <w:tcW w:w="498" w:type="pct"/>
                  <w:vMerge w:val="restart"/>
                  <w:noWrap w:val="0"/>
                  <w:tcMar>
                    <w:top w:w="15" w:type="dxa"/>
                    <w:left w:w="15" w:type="dxa"/>
                    <w:right w:w="15" w:type="dxa"/>
                  </w:tcMar>
                  <w:vAlign w:val="center"/>
                </w:tcPr>
                <w:p w14:paraId="0B754C5A">
                  <w:pPr>
                    <w:pStyle w:val="52"/>
                    <w:rPr>
                      <w:rFonts w:ascii="Times New Roman" w:hAnsi="Times New Roman"/>
                      <w:b/>
                      <w:bCs/>
                      <w:color w:val="auto"/>
                      <w:sz w:val="21"/>
                      <w:szCs w:val="21"/>
                    </w:rPr>
                  </w:pPr>
                  <w:r>
                    <w:rPr>
                      <w:rFonts w:ascii="Times New Roman" w:hAnsi="Times New Roman"/>
                      <w:b/>
                      <w:bCs/>
                      <w:color w:val="auto"/>
                      <w:sz w:val="21"/>
                      <w:szCs w:val="21"/>
                    </w:rPr>
                    <w:t>污染物</w:t>
                  </w:r>
                </w:p>
              </w:tc>
              <w:tc>
                <w:tcPr>
                  <w:tcW w:w="587" w:type="pct"/>
                  <w:vMerge w:val="restart"/>
                  <w:noWrap w:val="0"/>
                  <w:tcMar>
                    <w:top w:w="15" w:type="dxa"/>
                    <w:left w:w="15" w:type="dxa"/>
                    <w:right w:w="15" w:type="dxa"/>
                  </w:tcMar>
                  <w:vAlign w:val="center"/>
                </w:tcPr>
                <w:p w14:paraId="03C1205D">
                  <w:pPr>
                    <w:pStyle w:val="52"/>
                    <w:rPr>
                      <w:rFonts w:ascii="Times New Roman" w:hAnsi="Times New Roman"/>
                      <w:b/>
                      <w:bCs/>
                      <w:color w:val="auto"/>
                      <w:sz w:val="21"/>
                      <w:szCs w:val="21"/>
                    </w:rPr>
                  </w:pPr>
                  <w:r>
                    <w:rPr>
                      <w:rFonts w:ascii="Times New Roman" w:hAnsi="Times New Roman"/>
                      <w:b/>
                      <w:bCs/>
                      <w:color w:val="auto"/>
                      <w:sz w:val="21"/>
                      <w:szCs w:val="21"/>
                    </w:rPr>
                    <w:t>排放速率（kg/h）</w:t>
                  </w:r>
                </w:p>
              </w:tc>
            </w:tr>
            <w:tr w14:paraId="2F1AC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2" w:type="pct"/>
                  <w:vMerge w:val="continue"/>
                  <w:noWrap w:val="0"/>
                  <w:tcMar>
                    <w:top w:w="15" w:type="dxa"/>
                    <w:left w:w="15" w:type="dxa"/>
                    <w:right w:w="15" w:type="dxa"/>
                  </w:tcMar>
                  <w:vAlign w:val="center"/>
                </w:tcPr>
                <w:p w14:paraId="5BEBDF3C">
                  <w:pPr>
                    <w:pStyle w:val="52"/>
                    <w:rPr>
                      <w:rFonts w:ascii="Times New Roman" w:hAnsi="Times New Roman"/>
                      <w:b/>
                      <w:bCs/>
                      <w:color w:val="auto"/>
                      <w:sz w:val="21"/>
                      <w:szCs w:val="21"/>
                    </w:rPr>
                  </w:pPr>
                </w:p>
              </w:tc>
              <w:tc>
                <w:tcPr>
                  <w:tcW w:w="991" w:type="pct"/>
                  <w:gridSpan w:val="2"/>
                  <w:vMerge w:val="continue"/>
                  <w:noWrap w:val="0"/>
                  <w:tcMar>
                    <w:top w:w="15" w:type="dxa"/>
                    <w:left w:w="15" w:type="dxa"/>
                    <w:right w:w="15" w:type="dxa"/>
                  </w:tcMar>
                  <w:vAlign w:val="center"/>
                </w:tcPr>
                <w:p w14:paraId="0DEFD53F">
                  <w:pPr>
                    <w:pStyle w:val="52"/>
                    <w:rPr>
                      <w:rFonts w:ascii="Times New Roman" w:hAnsi="Times New Roman"/>
                      <w:b/>
                      <w:bCs/>
                      <w:color w:val="auto"/>
                      <w:sz w:val="21"/>
                      <w:szCs w:val="21"/>
                    </w:rPr>
                  </w:pPr>
                </w:p>
              </w:tc>
              <w:tc>
                <w:tcPr>
                  <w:tcW w:w="434" w:type="pct"/>
                  <w:vMerge w:val="restart"/>
                  <w:noWrap w:val="0"/>
                  <w:tcMar>
                    <w:top w:w="15" w:type="dxa"/>
                    <w:left w:w="15" w:type="dxa"/>
                    <w:right w:w="15" w:type="dxa"/>
                  </w:tcMar>
                  <w:vAlign w:val="center"/>
                </w:tcPr>
                <w:p w14:paraId="6E64AD85">
                  <w:pPr>
                    <w:pStyle w:val="52"/>
                    <w:rPr>
                      <w:rFonts w:ascii="Times New Roman" w:hAnsi="Times New Roman"/>
                      <w:b/>
                      <w:bCs/>
                      <w:color w:val="auto"/>
                      <w:sz w:val="21"/>
                      <w:szCs w:val="21"/>
                    </w:rPr>
                  </w:pPr>
                  <w:r>
                    <w:rPr>
                      <w:rFonts w:ascii="Times New Roman" w:hAnsi="Times New Roman"/>
                      <w:b/>
                      <w:bCs/>
                      <w:color w:val="auto"/>
                      <w:sz w:val="21"/>
                      <w:szCs w:val="21"/>
                    </w:rPr>
                    <w:t>高度（m）</w:t>
                  </w:r>
                </w:p>
              </w:tc>
              <w:tc>
                <w:tcPr>
                  <w:tcW w:w="443" w:type="pct"/>
                  <w:vMerge w:val="restart"/>
                  <w:noWrap w:val="0"/>
                  <w:tcMar>
                    <w:top w:w="15" w:type="dxa"/>
                    <w:left w:w="15" w:type="dxa"/>
                    <w:right w:w="15" w:type="dxa"/>
                  </w:tcMar>
                  <w:vAlign w:val="center"/>
                </w:tcPr>
                <w:p w14:paraId="40C14B4D">
                  <w:pPr>
                    <w:pStyle w:val="52"/>
                    <w:rPr>
                      <w:rFonts w:ascii="Times New Roman" w:hAnsi="Times New Roman"/>
                      <w:b/>
                      <w:bCs/>
                      <w:color w:val="auto"/>
                      <w:sz w:val="21"/>
                      <w:szCs w:val="21"/>
                    </w:rPr>
                  </w:pPr>
                  <w:r>
                    <w:rPr>
                      <w:rFonts w:ascii="Times New Roman" w:hAnsi="Times New Roman"/>
                      <w:b/>
                      <w:bCs/>
                      <w:color w:val="auto"/>
                      <w:sz w:val="21"/>
                      <w:szCs w:val="21"/>
                    </w:rPr>
                    <w:t>内径（m）</w:t>
                  </w:r>
                </w:p>
              </w:tc>
              <w:tc>
                <w:tcPr>
                  <w:tcW w:w="616" w:type="pct"/>
                  <w:vMerge w:val="restart"/>
                  <w:noWrap w:val="0"/>
                  <w:tcMar>
                    <w:top w:w="15" w:type="dxa"/>
                    <w:left w:w="15" w:type="dxa"/>
                    <w:right w:w="15" w:type="dxa"/>
                  </w:tcMar>
                  <w:vAlign w:val="center"/>
                </w:tcPr>
                <w:p w14:paraId="315B5B1D">
                  <w:pPr>
                    <w:pStyle w:val="52"/>
                    <w:rPr>
                      <w:rFonts w:ascii="Times New Roman" w:hAnsi="Times New Roman"/>
                      <w:b/>
                      <w:bCs/>
                      <w:color w:val="auto"/>
                      <w:sz w:val="21"/>
                      <w:szCs w:val="21"/>
                    </w:rPr>
                  </w:pPr>
                  <w:r>
                    <w:rPr>
                      <w:rFonts w:ascii="Times New Roman" w:hAnsi="Times New Roman"/>
                      <w:b/>
                      <w:bCs/>
                      <w:color w:val="auto"/>
                      <w:sz w:val="21"/>
                      <w:szCs w:val="21"/>
                    </w:rPr>
                    <w:t>烟气流速（m</w:t>
                  </w:r>
                  <w:r>
                    <w:rPr>
                      <w:rFonts w:ascii="Times New Roman" w:hAnsi="Times New Roman"/>
                      <w:b/>
                      <w:bCs/>
                      <w:color w:val="auto"/>
                      <w:sz w:val="21"/>
                      <w:szCs w:val="21"/>
                      <w:vertAlign w:val="superscript"/>
                    </w:rPr>
                    <w:t>3</w:t>
                  </w:r>
                  <w:r>
                    <w:rPr>
                      <w:rFonts w:ascii="Times New Roman" w:hAnsi="Times New Roman"/>
                      <w:b/>
                      <w:bCs/>
                      <w:color w:val="auto"/>
                      <w:sz w:val="21"/>
                      <w:szCs w:val="21"/>
                    </w:rPr>
                    <w:t>/h）</w:t>
                  </w:r>
                </w:p>
              </w:tc>
              <w:tc>
                <w:tcPr>
                  <w:tcW w:w="502" w:type="pct"/>
                  <w:vMerge w:val="restart"/>
                  <w:noWrap w:val="0"/>
                  <w:tcMar>
                    <w:top w:w="15" w:type="dxa"/>
                    <w:left w:w="15" w:type="dxa"/>
                    <w:right w:w="15" w:type="dxa"/>
                  </w:tcMar>
                  <w:vAlign w:val="center"/>
                </w:tcPr>
                <w:p w14:paraId="65961E32">
                  <w:pPr>
                    <w:pStyle w:val="52"/>
                    <w:rPr>
                      <w:rFonts w:ascii="Times New Roman" w:hAnsi="Times New Roman"/>
                      <w:b/>
                      <w:bCs/>
                      <w:color w:val="auto"/>
                      <w:sz w:val="21"/>
                      <w:szCs w:val="21"/>
                    </w:rPr>
                  </w:pPr>
                  <w:r>
                    <w:rPr>
                      <w:rFonts w:ascii="Times New Roman" w:hAnsi="Times New Roman"/>
                      <w:b/>
                      <w:bCs/>
                      <w:color w:val="auto"/>
                      <w:sz w:val="21"/>
                      <w:szCs w:val="21"/>
                    </w:rPr>
                    <w:t>烟气温度（℃）</w:t>
                  </w:r>
                </w:p>
              </w:tc>
              <w:tc>
                <w:tcPr>
                  <w:tcW w:w="434" w:type="pct"/>
                  <w:vMerge w:val="continue"/>
                  <w:noWrap w:val="0"/>
                  <w:tcMar>
                    <w:top w:w="15" w:type="dxa"/>
                    <w:left w:w="15" w:type="dxa"/>
                    <w:right w:w="15" w:type="dxa"/>
                  </w:tcMar>
                  <w:vAlign w:val="center"/>
                </w:tcPr>
                <w:p w14:paraId="7D0406E7">
                  <w:pPr>
                    <w:pStyle w:val="52"/>
                    <w:rPr>
                      <w:rFonts w:ascii="Times New Roman" w:hAnsi="Times New Roman"/>
                      <w:color w:val="auto"/>
                      <w:sz w:val="21"/>
                      <w:szCs w:val="21"/>
                    </w:rPr>
                  </w:pPr>
                </w:p>
              </w:tc>
              <w:tc>
                <w:tcPr>
                  <w:tcW w:w="498" w:type="pct"/>
                  <w:vMerge w:val="continue"/>
                  <w:noWrap w:val="0"/>
                  <w:tcMar>
                    <w:top w:w="15" w:type="dxa"/>
                    <w:left w:w="15" w:type="dxa"/>
                    <w:right w:w="15" w:type="dxa"/>
                  </w:tcMar>
                  <w:vAlign w:val="center"/>
                </w:tcPr>
                <w:p w14:paraId="3C2CC5F9">
                  <w:pPr>
                    <w:pStyle w:val="52"/>
                    <w:rPr>
                      <w:rFonts w:ascii="Times New Roman" w:hAnsi="Times New Roman"/>
                      <w:color w:val="auto"/>
                      <w:sz w:val="21"/>
                      <w:szCs w:val="21"/>
                    </w:rPr>
                  </w:pPr>
                </w:p>
              </w:tc>
              <w:tc>
                <w:tcPr>
                  <w:tcW w:w="587" w:type="pct"/>
                  <w:vMerge w:val="continue"/>
                  <w:noWrap w:val="0"/>
                  <w:tcMar>
                    <w:top w:w="15" w:type="dxa"/>
                    <w:left w:w="15" w:type="dxa"/>
                    <w:right w:w="15" w:type="dxa"/>
                  </w:tcMar>
                  <w:vAlign w:val="center"/>
                </w:tcPr>
                <w:p w14:paraId="1F5E1F75">
                  <w:pPr>
                    <w:pStyle w:val="52"/>
                    <w:rPr>
                      <w:rFonts w:ascii="Times New Roman" w:hAnsi="Times New Roman"/>
                      <w:color w:val="auto"/>
                      <w:sz w:val="21"/>
                      <w:szCs w:val="21"/>
                    </w:rPr>
                  </w:pPr>
                </w:p>
              </w:tc>
            </w:tr>
            <w:tr w14:paraId="33927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2" w:type="pct"/>
                  <w:vMerge w:val="continue"/>
                  <w:noWrap w:val="0"/>
                  <w:tcMar>
                    <w:top w:w="15" w:type="dxa"/>
                    <w:left w:w="15" w:type="dxa"/>
                    <w:right w:w="15" w:type="dxa"/>
                  </w:tcMar>
                  <w:vAlign w:val="center"/>
                </w:tcPr>
                <w:p w14:paraId="3F43B7BB">
                  <w:pPr>
                    <w:pStyle w:val="52"/>
                    <w:rPr>
                      <w:rFonts w:ascii="Times New Roman" w:hAnsi="Times New Roman"/>
                      <w:b/>
                      <w:bCs/>
                      <w:color w:val="auto"/>
                      <w:sz w:val="21"/>
                      <w:szCs w:val="21"/>
                    </w:rPr>
                  </w:pPr>
                </w:p>
              </w:tc>
              <w:tc>
                <w:tcPr>
                  <w:tcW w:w="494" w:type="pct"/>
                  <w:noWrap w:val="0"/>
                  <w:tcMar>
                    <w:top w:w="15" w:type="dxa"/>
                    <w:left w:w="15" w:type="dxa"/>
                    <w:right w:w="15" w:type="dxa"/>
                  </w:tcMar>
                  <w:vAlign w:val="center"/>
                </w:tcPr>
                <w:p w14:paraId="645B81E7">
                  <w:pPr>
                    <w:pStyle w:val="52"/>
                    <w:rPr>
                      <w:rFonts w:ascii="Times New Roman" w:hAnsi="Times New Roman"/>
                      <w:b/>
                      <w:bCs/>
                      <w:color w:val="auto"/>
                      <w:sz w:val="21"/>
                      <w:szCs w:val="21"/>
                    </w:rPr>
                  </w:pPr>
                  <w:r>
                    <w:rPr>
                      <w:rFonts w:ascii="Times New Roman" w:hAnsi="Times New Roman"/>
                      <w:b/>
                      <w:bCs/>
                      <w:color w:val="auto"/>
                      <w:sz w:val="21"/>
                      <w:szCs w:val="21"/>
                    </w:rPr>
                    <w:t>X（m）</w:t>
                  </w:r>
                </w:p>
              </w:tc>
              <w:tc>
                <w:tcPr>
                  <w:tcW w:w="497" w:type="pct"/>
                  <w:noWrap w:val="0"/>
                  <w:tcMar>
                    <w:top w:w="15" w:type="dxa"/>
                    <w:left w:w="15" w:type="dxa"/>
                    <w:right w:w="15" w:type="dxa"/>
                  </w:tcMar>
                  <w:vAlign w:val="center"/>
                </w:tcPr>
                <w:p w14:paraId="1320B26B">
                  <w:pPr>
                    <w:pStyle w:val="52"/>
                    <w:rPr>
                      <w:rFonts w:ascii="Times New Roman" w:hAnsi="Times New Roman"/>
                      <w:b/>
                      <w:bCs/>
                      <w:color w:val="auto"/>
                      <w:sz w:val="21"/>
                      <w:szCs w:val="21"/>
                    </w:rPr>
                  </w:pPr>
                  <w:r>
                    <w:rPr>
                      <w:rFonts w:ascii="Times New Roman" w:hAnsi="Times New Roman"/>
                      <w:b/>
                      <w:bCs/>
                      <w:color w:val="auto"/>
                      <w:sz w:val="21"/>
                      <w:szCs w:val="21"/>
                    </w:rPr>
                    <w:t>Y（m）</w:t>
                  </w:r>
                </w:p>
              </w:tc>
              <w:tc>
                <w:tcPr>
                  <w:tcW w:w="434" w:type="pct"/>
                  <w:vMerge w:val="continue"/>
                  <w:noWrap w:val="0"/>
                  <w:tcMar>
                    <w:top w:w="15" w:type="dxa"/>
                    <w:left w:w="15" w:type="dxa"/>
                    <w:right w:w="15" w:type="dxa"/>
                  </w:tcMar>
                  <w:vAlign w:val="center"/>
                </w:tcPr>
                <w:p w14:paraId="33D8EC80">
                  <w:pPr>
                    <w:pStyle w:val="52"/>
                    <w:rPr>
                      <w:rFonts w:ascii="Times New Roman" w:hAnsi="Times New Roman"/>
                      <w:color w:val="auto"/>
                      <w:sz w:val="21"/>
                      <w:szCs w:val="21"/>
                    </w:rPr>
                  </w:pPr>
                </w:p>
              </w:tc>
              <w:tc>
                <w:tcPr>
                  <w:tcW w:w="443" w:type="pct"/>
                  <w:vMerge w:val="continue"/>
                  <w:noWrap w:val="0"/>
                  <w:tcMar>
                    <w:top w:w="15" w:type="dxa"/>
                    <w:left w:w="15" w:type="dxa"/>
                    <w:right w:w="15" w:type="dxa"/>
                  </w:tcMar>
                  <w:vAlign w:val="center"/>
                </w:tcPr>
                <w:p w14:paraId="5D44F4AB">
                  <w:pPr>
                    <w:pStyle w:val="52"/>
                    <w:rPr>
                      <w:rFonts w:ascii="Times New Roman" w:hAnsi="Times New Roman"/>
                      <w:color w:val="auto"/>
                      <w:sz w:val="21"/>
                      <w:szCs w:val="21"/>
                    </w:rPr>
                  </w:pPr>
                </w:p>
              </w:tc>
              <w:tc>
                <w:tcPr>
                  <w:tcW w:w="616" w:type="pct"/>
                  <w:vMerge w:val="continue"/>
                  <w:noWrap w:val="0"/>
                  <w:tcMar>
                    <w:top w:w="15" w:type="dxa"/>
                    <w:left w:w="15" w:type="dxa"/>
                    <w:right w:w="15" w:type="dxa"/>
                  </w:tcMar>
                  <w:vAlign w:val="center"/>
                </w:tcPr>
                <w:p w14:paraId="1C79F510">
                  <w:pPr>
                    <w:pStyle w:val="52"/>
                    <w:rPr>
                      <w:rFonts w:ascii="Times New Roman" w:hAnsi="Times New Roman"/>
                      <w:color w:val="auto"/>
                      <w:sz w:val="21"/>
                      <w:szCs w:val="21"/>
                    </w:rPr>
                  </w:pPr>
                </w:p>
              </w:tc>
              <w:tc>
                <w:tcPr>
                  <w:tcW w:w="502" w:type="pct"/>
                  <w:vMerge w:val="continue"/>
                  <w:noWrap w:val="0"/>
                  <w:tcMar>
                    <w:top w:w="15" w:type="dxa"/>
                    <w:left w:w="15" w:type="dxa"/>
                    <w:right w:w="15" w:type="dxa"/>
                  </w:tcMar>
                  <w:vAlign w:val="center"/>
                </w:tcPr>
                <w:p w14:paraId="1B8AA962">
                  <w:pPr>
                    <w:pStyle w:val="52"/>
                    <w:rPr>
                      <w:rFonts w:ascii="Times New Roman" w:hAnsi="Times New Roman"/>
                      <w:color w:val="auto"/>
                      <w:sz w:val="21"/>
                      <w:szCs w:val="21"/>
                    </w:rPr>
                  </w:pPr>
                </w:p>
              </w:tc>
              <w:tc>
                <w:tcPr>
                  <w:tcW w:w="434" w:type="pct"/>
                  <w:vMerge w:val="continue"/>
                  <w:noWrap w:val="0"/>
                  <w:tcMar>
                    <w:top w:w="15" w:type="dxa"/>
                    <w:left w:w="15" w:type="dxa"/>
                    <w:right w:w="15" w:type="dxa"/>
                  </w:tcMar>
                  <w:vAlign w:val="center"/>
                </w:tcPr>
                <w:p w14:paraId="79B3B79B">
                  <w:pPr>
                    <w:pStyle w:val="52"/>
                    <w:rPr>
                      <w:rFonts w:ascii="Times New Roman" w:hAnsi="Times New Roman"/>
                      <w:color w:val="auto"/>
                      <w:sz w:val="21"/>
                      <w:szCs w:val="21"/>
                    </w:rPr>
                  </w:pPr>
                </w:p>
              </w:tc>
              <w:tc>
                <w:tcPr>
                  <w:tcW w:w="498" w:type="pct"/>
                  <w:vMerge w:val="continue"/>
                  <w:noWrap w:val="0"/>
                  <w:tcMar>
                    <w:top w:w="15" w:type="dxa"/>
                    <w:left w:w="15" w:type="dxa"/>
                    <w:right w:w="15" w:type="dxa"/>
                  </w:tcMar>
                  <w:vAlign w:val="center"/>
                </w:tcPr>
                <w:p w14:paraId="31F2CE0D">
                  <w:pPr>
                    <w:pStyle w:val="52"/>
                    <w:rPr>
                      <w:rFonts w:ascii="Times New Roman" w:hAnsi="Times New Roman"/>
                      <w:color w:val="auto"/>
                      <w:sz w:val="21"/>
                      <w:szCs w:val="21"/>
                    </w:rPr>
                  </w:pPr>
                </w:p>
              </w:tc>
              <w:tc>
                <w:tcPr>
                  <w:tcW w:w="587" w:type="pct"/>
                  <w:vMerge w:val="continue"/>
                  <w:noWrap w:val="0"/>
                  <w:tcMar>
                    <w:top w:w="15" w:type="dxa"/>
                    <w:left w:w="15" w:type="dxa"/>
                    <w:right w:w="15" w:type="dxa"/>
                  </w:tcMar>
                  <w:vAlign w:val="center"/>
                </w:tcPr>
                <w:p w14:paraId="3056BE52">
                  <w:pPr>
                    <w:pStyle w:val="52"/>
                    <w:rPr>
                      <w:rFonts w:ascii="Times New Roman" w:hAnsi="Times New Roman"/>
                      <w:color w:val="auto"/>
                      <w:sz w:val="21"/>
                      <w:szCs w:val="21"/>
                    </w:rPr>
                  </w:pPr>
                </w:p>
              </w:tc>
            </w:tr>
            <w:tr w14:paraId="3DD05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4" w:hRule="atLeast"/>
              </w:trPr>
              <w:tc>
                <w:tcPr>
                  <w:tcW w:w="492" w:type="pct"/>
                  <w:noWrap w:val="0"/>
                  <w:tcMar>
                    <w:top w:w="15" w:type="dxa"/>
                    <w:left w:w="15" w:type="dxa"/>
                    <w:right w:w="15" w:type="dxa"/>
                  </w:tcMar>
                  <w:vAlign w:val="center"/>
                </w:tcPr>
                <w:p w14:paraId="4617E2B9">
                  <w:pPr>
                    <w:pStyle w:val="52"/>
                    <w:rPr>
                      <w:rFonts w:ascii="Times New Roman" w:hAnsi="Times New Roman"/>
                      <w:color w:val="auto"/>
                      <w:sz w:val="21"/>
                      <w:szCs w:val="21"/>
                    </w:rPr>
                  </w:pPr>
                  <w:r>
                    <w:rPr>
                      <w:rFonts w:hint="eastAsia" w:ascii="Times New Roman" w:hAnsi="Times New Roman"/>
                      <w:color w:val="auto"/>
                      <w:sz w:val="21"/>
                      <w:szCs w:val="21"/>
                      <w:lang w:eastAsia="zh-CN"/>
                    </w:rPr>
                    <w:t>废机动车预处理废气</w:t>
                  </w:r>
                  <w:r>
                    <w:rPr>
                      <w:rFonts w:ascii="Times New Roman" w:hAnsi="Times New Roman"/>
                      <w:color w:val="auto"/>
                      <w:sz w:val="21"/>
                      <w:szCs w:val="21"/>
                    </w:rPr>
                    <w:t>（DA</w:t>
                  </w:r>
                </w:p>
                <w:p w14:paraId="46928CAA">
                  <w:pPr>
                    <w:pStyle w:val="52"/>
                    <w:rPr>
                      <w:rFonts w:ascii="Times New Roman" w:hAnsi="Times New Roman"/>
                      <w:color w:val="auto"/>
                      <w:sz w:val="21"/>
                      <w:szCs w:val="21"/>
                    </w:rPr>
                  </w:pPr>
                  <w:r>
                    <w:rPr>
                      <w:rFonts w:ascii="Times New Roman" w:hAnsi="Times New Roman"/>
                      <w:color w:val="auto"/>
                      <w:sz w:val="21"/>
                      <w:szCs w:val="21"/>
                    </w:rPr>
                    <w:t>00</w:t>
                  </w:r>
                  <w:r>
                    <w:rPr>
                      <w:rFonts w:hint="eastAsia" w:ascii="Times New Roman" w:hAnsi="Times New Roman"/>
                      <w:color w:val="auto"/>
                      <w:sz w:val="21"/>
                      <w:szCs w:val="21"/>
                      <w:lang w:val="en-US" w:eastAsia="zh-CN"/>
                    </w:rPr>
                    <w:t>1</w:t>
                  </w:r>
                  <w:r>
                    <w:rPr>
                      <w:rFonts w:ascii="Times New Roman" w:hAnsi="Times New Roman"/>
                      <w:color w:val="auto"/>
                      <w:sz w:val="21"/>
                      <w:szCs w:val="21"/>
                    </w:rPr>
                    <w:t>）</w:t>
                  </w:r>
                </w:p>
              </w:tc>
              <w:tc>
                <w:tcPr>
                  <w:tcW w:w="494" w:type="pct"/>
                  <w:noWrap w:val="0"/>
                  <w:tcMar>
                    <w:top w:w="15" w:type="dxa"/>
                    <w:left w:w="15" w:type="dxa"/>
                    <w:right w:w="15" w:type="dxa"/>
                  </w:tcMar>
                  <w:vAlign w:val="center"/>
                </w:tcPr>
                <w:p w14:paraId="55134DF6">
                  <w:pPr>
                    <w:pStyle w:val="52"/>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32</w:t>
                  </w:r>
                </w:p>
              </w:tc>
              <w:tc>
                <w:tcPr>
                  <w:tcW w:w="497" w:type="pct"/>
                  <w:noWrap w:val="0"/>
                  <w:tcMar>
                    <w:top w:w="15" w:type="dxa"/>
                    <w:left w:w="15" w:type="dxa"/>
                    <w:right w:w="15" w:type="dxa"/>
                  </w:tcMar>
                  <w:vAlign w:val="center"/>
                </w:tcPr>
                <w:p w14:paraId="0A5BCC9F">
                  <w:pPr>
                    <w:pStyle w:val="52"/>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-60</w:t>
                  </w:r>
                </w:p>
              </w:tc>
              <w:tc>
                <w:tcPr>
                  <w:tcW w:w="434" w:type="pct"/>
                  <w:noWrap w:val="0"/>
                  <w:tcMar>
                    <w:top w:w="15" w:type="dxa"/>
                    <w:left w:w="15" w:type="dxa"/>
                    <w:right w:w="15" w:type="dxa"/>
                  </w:tcMar>
                  <w:vAlign w:val="center"/>
                </w:tcPr>
                <w:p w14:paraId="45AD986D">
                  <w:pPr>
                    <w:widowControl/>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15</w:t>
                  </w:r>
                </w:p>
              </w:tc>
              <w:tc>
                <w:tcPr>
                  <w:tcW w:w="443" w:type="pct"/>
                  <w:noWrap w:val="0"/>
                  <w:tcMar>
                    <w:top w:w="15" w:type="dxa"/>
                    <w:left w:w="15" w:type="dxa"/>
                    <w:right w:w="15" w:type="dxa"/>
                  </w:tcMar>
                  <w:vAlign w:val="center"/>
                </w:tcPr>
                <w:p w14:paraId="2D500F5D">
                  <w:pPr>
                    <w:widowControl/>
                    <w:jc w:val="center"/>
                    <w:textAlignment w:val="center"/>
                    <w:rPr>
                      <w:rFonts w:hint="eastAsia" w:ascii="Times New Roman" w:hAnsi="Times New Roman" w:eastAsia="宋体"/>
                      <w:color w:val="auto"/>
                      <w:kern w:val="0"/>
                      <w:sz w:val="21"/>
                      <w:szCs w:val="21"/>
                      <w:lang w:val="en-US" w:eastAsia="zh-CN" w:bidi="ar"/>
                    </w:rPr>
                  </w:pPr>
                  <w:r>
                    <w:rPr>
                      <w:rFonts w:ascii="Times New Roman" w:hAnsi="Times New Roman"/>
                      <w:color w:val="auto"/>
                      <w:kern w:val="0"/>
                      <w:sz w:val="21"/>
                      <w:szCs w:val="21"/>
                      <w:lang w:bidi="ar"/>
                    </w:rPr>
                    <w:t>0.</w:t>
                  </w:r>
                  <w:r>
                    <w:rPr>
                      <w:rFonts w:hint="eastAsia" w:ascii="Times New Roman" w:hAnsi="Times New Roman"/>
                      <w:color w:val="auto"/>
                      <w:kern w:val="0"/>
                      <w:sz w:val="21"/>
                      <w:szCs w:val="21"/>
                      <w:lang w:val="en-US" w:eastAsia="zh-CN" w:bidi="ar"/>
                    </w:rPr>
                    <w:t>3</w:t>
                  </w:r>
                </w:p>
              </w:tc>
              <w:tc>
                <w:tcPr>
                  <w:tcW w:w="616" w:type="pct"/>
                  <w:noWrap w:val="0"/>
                  <w:tcMar>
                    <w:top w:w="15" w:type="dxa"/>
                    <w:left w:w="15" w:type="dxa"/>
                    <w:right w:w="15" w:type="dxa"/>
                  </w:tcMar>
                  <w:vAlign w:val="center"/>
                </w:tcPr>
                <w:p w14:paraId="41D27329">
                  <w:pPr>
                    <w:widowControl/>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4000</w:t>
                  </w:r>
                </w:p>
              </w:tc>
              <w:tc>
                <w:tcPr>
                  <w:tcW w:w="502" w:type="pct"/>
                  <w:noWrap w:val="0"/>
                  <w:tcMar>
                    <w:top w:w="15" w:type="dxa"/>
                    <w:left w:w="15" w:type="dxa"/>
                    <w:right w:w="15" w:type="dxa"/>
                  </w:tcMar>
                  <w:vAlign w:val="center"/>
                </w:tcPr>
                <w:p w14:paraId="27812F8D">
                  <w:pPr>
                    <w:widowControl/>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25</w:t>
                  </w:r>
                </w:p>
              </w:tc>
              <w:tc>
                <w:tcPr>
                  <w:tcW w:w="434" w:type="pct"/>
                  <w:noWrap w:val="0"/>
                  <w:tcMar>
                    <w:top w:w="15" w:type="dxa"/>
                    <w:left w:w="15" w:type="dxa"/>
                    <w:right w:w="15" w:type="dxa"/>
                  </w:tcMar>
                  <w:vAlign w:val="center"/>
                </w:tcPr>
                <w:p w14:paraId="4301E9A8">
                  <w:pPr>
                    <w:widowControl/>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1200</w:t>
                  </w:r>
                </w:p>
              </w:tc>
              <w:tc>
                <w:tcPr>
                  <w:tcW w:w="498" w:type="pct"/>
                  <w:noWrap w:val="0"/>
                  <w:tcMar>
                    <w:top w:w="15" w:type="dxa"/>
                    <w:left w:w="15" w:type="dxa"/>
                    <w:right w:w="15" w:type="dxa"/>
                  </w:tcMar>
                  <w:vAlign w:val="center"/>
                </w:tcPr>
                <w:p w14:paraId="5A8BB587">
                  <w:pPr>
                    <w:widowControl/>
                    <w:jc w:val="center"/>
                    <w:textAlignment w:val="center"/>
                    <w:rPr>
                      <w:rFonts w:hint="eastAsia" w:ascii="Times New Roman" w:hAnsi="Times New Roman" w:eastAsia="宋体"/>
                      <w:color w:val="auto"/>
                      <w:kern w:val="0"/>
                      <w:sz w:val="21"/>
                      <w:szCs w:val="21"/>
                      <w:lang w:eastAsia="zh-CN" w:bidi="ar"/>
                    </w:rPr>
                  </w:pPr>
                  <w:r>
                    <w:rPr>
                      <w:rFonts w:ascii="Times New Roman" w:hAnsi="Times New Roman"/>
                      <w:color w:val="auto"/>
                      <w:kern w:val="0"/>
                      <w:sz w:val="21"/>
                      <w:szCs w:val="21"/>
                      <w:lang w:bidi="ar"/>
                    </w:rPr>
                    <w:t>VOCs</w:t>
                  </w:r>
                  <w:r>
                    <w:rPr>
                      <w:rFonts w:hint="eastAsia" w:ascii="Times New Roman" w:hAnsi="Times New Roman"/>
                      <w:color w:val="auto"/>
                      <w:kern w:val="0"/>
                      <w:sz w:val="21"/>
                      <w:szCs w:val="21"/>
                      <w:lang w:eastAsia="zh-CN" w:bidi="ar"/>
                    </w:rPr>
                    <w:t>（以非甲烷总烃计）</w:t>
                  </w:r>
                </w:p>
              </w:tc>
              <w:tc>
                <w:tcPr>
                  <w:tcW w:w="587" w:type="pct"/>
                  <w:noWrap w:val="0"/>
                  <w:tcMar>
                    <w:top w:w="15" w:type="dxa"/>
                    <w:left w:w="15" w:type="dxa"/>
                    <w:right w:w="15" w:type="dxa"/>
                  </w:tcMar>
                  <w:vAlign w:val="center"/>
                </w:tcPr>
                <w:p w14:paraId="56D7A9B7">
                  <w:pPr>
                    <w:widowControl/>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eastAsia="宋体"/>
                      <w:color w:val="auto"/>
                      <w:kern w:val="0"/>
                      <w:sz w:val="21"/>
                      <w:szCs w:val="21"/>
                      <w:lang w:val="en-US" w:eastAsia="zh-CN" w:bidi="ar"/>
                    </w:rPr>
                    <w:t>0.0245</w:t>
                  </w:r>
                </w:p>
              </w:tc>
            </w:tr>
            <w:tr w14:paraId="6CF76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4" w:hRule="atLeast"/>
              </w:trPr>
              <w:tc>
                <w:tcPr>
                  <w:tcW w:w="492" w:type="pct"/>
                  <w:noWrap w:val="0"/>
                  <w:tcMar>
                    <w:top w:w="15" w:type="dxa"/>
                    <w:left w:w="15" w:type="dxa"/>
                    <w:right w:w="15" w:type="dxa"/>
                  </w:tcMar>
                  <w:vAlign w:val="center"/>
                </w:tcPr>
                <w:p w14:paraId="1F8F1469">
                  <w:pPr>
                    <w:pStyle w:val="52"/>
                    <w:rPr>
                      <w:rFonts w:ascii="Times New Roman" w:hAnsi="Times New Roman"/>
                      <w:color w:val="auto"/>
                      <w:sz w:val="21"/>
                      <w:szCs w:val="21"/>
                    </w:rPr>
                  </w:pPr>
                  <w:r>
                    <w:rPr>
                      <w:rFonts w:hint="eastAsia" w:ascii="Times New Roman" w:hAnsi="Times New Roman"/>
                      <w:color w:val="auto"/>
                      <w:sz w:val="21"/>
                      <w:szCs w:val="21"/>
                      <w:lang w:eastAsia="zh-CN"/>
                    </w:rPr>
                    <w:t>废变压器抽取废气</w:t>
                  </w:r>
                  <w:r>
                    <w:rPr>
                      <w:rFonts w:ascii="Times New Roman" w:hAnsi="Times New Roman"/>
                      <w:color w:val="auto"/>
                      <w:sz w:val="21"/>
                      <w:szCs w:val="21"/>
                    </w:rPr>
                    <w:t>（DA</w:t>
                  </w:r>
                </w:p>
                <w:p w14:paraId="290B26DF">
                  <w:pPr>
                    <w:pStyle w:val="52"/>
                    <w:rPr>
                      <w:rFonts w:ascii="Times New Roman" w:hAnsi="Times New Roman"/>
                      <w:color w:val="auto"/>
                      <w:sz w:val="21"/>
                      <w:szCs w:val="21"/>
                    </w:rPr>
                  </w:pPr>
                  <w:r>
                    <w:rPr>
                      <w:rFonts w:ascii="Times New Roman" w:hAnsi="Times New Roman"/>
                      <w:color w:val="auto"/>
                      <w:sz w:val="21"/>
                      <w:szCs w:val="21"/>
                    </w:rPr>
                    <w:t>00</w:t>
                  </w:r>
                  <w:r>
                    <w:rPr>
                      <w:rFonts w:hint="eastAsia" w:ascii="Times New Roman" w:hAnsi="Times New Roman"/>
                      <w:color w:val="auto"/>
                      <w:sz w:val="21"/>
                      <w:szCs w:val="21"/>
                      <w:lang w:val="en-US" w:eastAsia="zh-CN"/>
                    </w:rPr>
                    <w:t>2</w:t>
                  </w:r>
                  <w:r>
                    <w:rPr>
                      <w:rFonts w:ascii="Times New Roman" w:hAnsi="Times New Roman"/>
                      <w:color w:val="auto"/>
                      <w:sz w:val="21"/>
                      <w:szCs w:val="21"/>
                    </w:rPr>
                    <w:t>）</w:t>
                  </w:r>
                </w:p>
              </w:tc>
              <w:tc>
                <w:tcPr>
                  <w:tcW w:w="494" w:type="pct"/>
                  <w:noWrap w:val="0"/>
                  <w:tcMar>
                    <w:top w:w="15" w:type="dxa"/>
                    <w:left w:w="15" w:type="dxa"/>
                    <w:right w:w="15" w:type="dxa"/>
                  </w:tcMar>
                  <w:vAlign w:val="center"/>
                </w:tcPr>
                <w:p w14:paraId="035D1511">
                  <w:pPr>
                    <w:pStyle w:val="52"/>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40</w:t>
                  </w:r>
                </w:p>
              </w:tc>
              <w:tc>
                <w:tcPr>
                  <w:tcW w:w="497" w:type="pct"/>
                  <w:noWrap w:val="0"/>
                  <w:tcMar>
                    <w:top w:w="15" w:type="dxa"/>
                    <w:left w:w="15" w:type="dxa"/>
                    <w:right w:w="15" w:type="dxa"/>
                  </w:tcMar>
                  <w:vAlign w:val="center"/>
                </w:tcPr>
                <w:p w14:paraId="32164CA4">
                  <w:pPr>
                    <w:pStyle w:val="52"/>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62</w:t>
                  </w:r>
                </w:p>
              </w:tc>
              <w:tc>
                <w:tcPr>
                  <w:tcW w:w="434" w:type="pct"/>
                  <w:noWrap w:val="0"/>
                  <w:tcMar>
                    <w:top w:w="15" w:type="dxa"/>
                    <w:left w:w="15" w:type="dxa"/>
                    <w:right w:w="15" w:type="dxa"/>
                  </w:tcMar>
                  <w:vAlign w:val="center"/>
                </w:tcPr>
                <w:p w14:paraId="166A0CE9">
                  <w:pPr>
                    <w:widowControl/>
                    <w:jc w:val="center"/>
                    <w:textAlignment w:val="center"/>
                    <w:rPr>
                      <w:rFonts w:hint="default" w:ascii="Times New Roman" w:hAnsi="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15</w:t>
                  </w:r>
                </w:p>
              </w:tc>
              <w:tc>
                <w:tcPr>
                  <w:tcW w:w="443" w:type="pct"/>
                  <w:noWrap w:val="0"/>
                  <w:tcMar>
                    <w:top w:w="15" w:type="dxa"/>
                    <w:left w:w="15" w:type="dxa"/>
                    <w:right w:w="15" w:type="dxa"/>
                  </w:tcMar>
                  <w:vAlign w:val="center"/>
                </w:tcPr>
                <w:p w14:paraId="60174239">
                  <w:pPr>
                    <w:widowControl/>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0.2</w:t>
                  </w:r>
                </w:p>
              </w:tc>
              <w:tc>
                <w:tcPr>
                  <w:tcW w:w="616" w:type="pct"/>
                  <w:noWrap w:val="0"/>
                  <w:tcMar>
                    <w:top w:w="15" w:type="dxa"/>
                    <w:left w:w="15" w:type="dxa"/>
                    <w:right w:w="15" w:type="dxa"/>
                  </w:tcMar>
                  <w:vAlign w:val="center"/>
                </w:tcPr>
                <w:p w14:paraId="4FB89F66">
                  <w:pPr>
                    <w:widowControl/>
                    <w:jc w:val="center"/>
                    <w:textAlignment w:val="center"/>
                    <w:rPr>
                      <w:rFonts w:hint="default" w:ascii="Times New Roman" w:hAnsi="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2000</w:t>
                  </w:r>
                </w:p>
              </w:tc>
              <w:tc>
                <w:tcPr>
                  <w:tcW w:w="502" w:type="pct"/>
                  <w:noWrap w:val="0"/>
                  <w:tcMar>
                    <w:top w:w="15" w:type="dxa"/>
                    <w:left w:w="15" w:type="dxa"/>
                    <w:right w:w="15" w:type="dxa"/>
                  </w:tcMar>
                  <w:vAlign w:val="center"/>
                </w:tcPr>
                <w:p w14:paraId="2EB50B0D">
                  <w:pPr>
                    <w:widowControl/>
                    <w:jc w:val="center"/>
                    <w:textAlignment w:val="center"/>
                    <w:rPr>
                      <w:rFonts w:hint="default" w:ascii="Times New Roman" w:hAnsi="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25</w:t>
                  </w:r>
                </w:p>
              </w:tc>
              <w:tc>
                <w:tcPr>
                  <w:tcW w:w="434" w:type="pct"/>
                  <w:noWrap w:val="0"/>
                  <w:tcMar>
                    <w:top w:w="15" w:type="dxa"/>
                    <w:left w:w="15" w:type="dxa"/>
                    <w:right w:w="15" w:type="dxa"/>
                  </w:tcMar>
                  <w:vAlign w:val="center"/>
                </w:tcPr>
                <w:p w14:paraId="5944AF9C">
                  <w:pPr>
                    <w:widowControl/>
                    <w:jc w:val="center"/>
                    <w:textAlignment w:val="center"/>
                    <w:rPr>
                      <w:rFonts w:hint="default" w:ascii="Times New Roman" w:hAnsi="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1200</w:t>
                  </w:r>
                </w:p>
              </w:tc>
              <w:tc>
                <w:tcPr>
                  <w:tcW w:w="498" w:type="pct"/>
                  <w:noWrap w:val="0"/>
                  <w:tcMar>
                    <w:top w:w="15" w:type="dxa"/>
                    <w:left w:w="15" w:type="dxa"/>
                    <w:right w:w="15" w:type="dxa"/>
                  </w:tcMar>
                  <w:vAlign w:val="center"/>
                </w:tcPr>
                <w:p w14:paraId="13EE1FE3">
                  <w:pPr>
                    <w:widowControl/>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VOCs</w:t>
                  </w:r>
                  <w:r>
                    <w:rPr>
                      <w:rFonts w:hint="eastAsia" w:ascii="Times New Roman" w:hAnsi="Times New Roman"/>
                      <w:color w:val="auto"/>
                      <w:kern w:val="0"/>
                      <w:sz w:val="21"/>
                      <w:szCs w:val="21"/>
                      <w:lang w:eastAsia="zh-CN" w:bidi="ar"/>
                    </w:rPr>
                    <w:t>（以非甲烷总烃计）</w:t>
                  </w:r>
                </w:p>
              </w:tc>
              <w:tc>
                <w:tcPr>
                  <w:tcW w:w="587" w:type="pct"/>
                  <w:noWrap w:val="0"/>
                  <w:tcMar>
                    <w:top w:w="15" w:type="dxa"/>
                    <w:left w:w="15" w:type="dxa"/>
                    <w:right w:w="15" w:type="dxa"/>
                  </w:tcMar>
                  <w:vAlign w:val="center"/>
                </w:tcPr>
                <w:p w14:paraId="3CE556DE">
                  <w:pPr>
                    <w:widowControl/>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eastAsia="宋体"/>
                      <w:color w:val="auto"/>
                      <w:kern w:val="0"/>
                      <w:sz w:val="21"/>
                      <w:szCs w:val="21"/>
                      <w:lang w:val="en-US" w:eastAsia="zh-CN" w:bidi="ar"/>
                    </w:rPr>
                    <w:t>0.031</w:t>
                  </w:r>
                </w:p>
              </w:tc>
            </w:tr>
            <w:tr w14:paraId="6CEF7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4" w:hRule="atLeast"/>
              </w:trPr>
              <w:tc>
                <w:tcPr>
                  <w:tcW w:w="492" w:type="pct"/>
                  <w:noWrap w:val="0"/>
                  <w:tcMar>
                    <w:top w:w="15" w:type="dxa"/>
                    <w:left w:w="15" w:type="dxa"/>
                    <w:right w:w="15" w:type="dxa"/>
                  </w:tcMar>
                  <w:vAlign w:val="center"/>
                </w:tcPr>
                <w:p w14:paraId="4D342F52">
                  <w:pPr>
                    <w:pStyle w:val="52"/>
                    <w:rPr>
                      <w:rFonts w:ascii="Times New Roman" w:hAnsi="Times New Roman"/>
                      <w:color w:val="auto"/>
                      <w:sz w:val="21"/>
                      <w:szCs w:val="21"/>
                    </w:rPr>
                  </w:pPr>
                  <w:r>
                    <w:rPr>
                      <w:rFonts w:hint="eastAsia" w:ascii="Times New Roman" w:hAnsi="Times New Roman"/>
                      <w:color w:val="auto"/>
                      <w:sz w:val="21"/>
                      <w:szCs w:val="21"/>
                      <w:lang w:val="en-US" w:eastAsia="zh-CN"/>
                    </w:rPr>
                    <w:t>危废暂存</w:t>
                  </w:r>
                  <w:r>
                    <w:rPr>
                      <w:rFonts w:hint="eastAsia" w:ascii="Times New Roman" w:hAnsi="Times New Roman"/>
                      <w:color w:val="auto"/>
                      <w:sz w:val="21"/>
                      <w:szCs w:val="21"/>
                      <w:lang w:eastAsia="zh-CN"/>
                    </w:rPr>
                    <w:t>废气</w:t>
                  </w:r>
                  <w:r>
                    <w:rPr>
                      <w:rFonts w:ascii="Times New Roman" w:hAnsi="Times New Roman"/>
                      <w:color w:val="auto"/>
                      <w:sz w:val="21"/>
                      <w:szCs w:val="21"/>
                    </w:rPr>
                    <w:t>（DA</w:t>
                  </w:r>
                </w:p>
                <w:p w14:paraId="5E470759">
                  <w:pPr>
                    <w:pStyle w:val="52"/>
                    <w:rPr>
                      <w:rFonts w:ascii="Times New Roman" w:hAnsi="Times New Roman"/>
                      <w:color w:val="auto"/>
                      <w:sz w:val="21"/>
                      <w:szCs w:val="21"/>
                    </w:rPr>
                  </w:pPr>
                  <w:r>
                    <w:rPr>
                      <w:rFonts w:ascii="Times New Roman" w:hAnsi="Times New Roman"/>
                      <w:color w:val="auto"/>
                      <w:sz w:val="21"/>
                      <w:szCs w:val="21"/>
                    </w:rPr>
                    <w:t>00</w:t>
                  </w:r>
                  <w:r>
                    <w:rPr>
                      <w:rFonts w:hint="eastAsia" w:ascii="Times New Roman" w:hAnsi="Times New Roman"/>
                      <w:color w:val="auto"/>
                      <w:sz w:val="21"/>
                      <w:szCs w:val="21"/>
                      <w:lang w:val="en-US" w:eastAsia="zh-CN"/>
                    </w:rPr>
                    <w:t>3</w:t>
                  </w:r>
                  <w:r>
                    <w:rPr>
                      <w:rFonts w:ascii="Times New Roman" w:hAnsi="Times New Roman"/>
                      <w:color w:val="auto"/>
                      <w:sz w:val="21"/>
                      <w:szCs w:val="21"/>
                    </w:rPr>
                    <w:t>）</w:t>
                  </w:r>
                </w:p>
              </w:tc>
              <w:tc>
                <w:tcPr>
                  <w:tcW w:w="494" w:type="pct"/>
                  <w:noWrap w:val="0"/>
                  <w:tcMar>
                    <w:top w:w="15" w:type="dxa"/>
                    <w:left w:w="15" w:type="dxa"/>
                    <w:right w:w="15" w:type="dxa"/>
                  </w:tcMar>
                  <w:vAlign w:val="center"/>
                </w:tcPr>
                <w:p w14:paraId="0FC194D0">
                  <w:pPr>
                    <w:pStyle w:val="52"/>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-7</w:t>
                  </w:r>
                </w:p>
              </w:tc>
              <w:tc>
                <w:tcPr>
                  <w:tcW w:w="497" w:type="pct"/>
                  <w:noWrap w:val="0"/>
                  <w:tcMar>
                    <w:top w:w="15" w:type="dxa"/>
                    <w:left w:w="15" w:type="dxa"/>
                    <w:right w:w="15" w:type="dxa"/>
                  </w:tcMar>
                  <w:vAlign w:val="center"/>
                </w:tcPr>
                <w:p w14:paraId="33E52281">
                  <w:pPr>
                    <w:pStyle w:val="52"/>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34</w:t>
                  </w:r>
                </w:p>
              </w:tc>
              <w:tc>
                <w:tcPr>
                  <w:tcW w:w="434" w:type="pct"/>
                  <w:noWrap w:val="0"/>
                  <w:tcMar>
                    <w:top w:w="15" w:type="dxa"/>
                    <w:left w:w="15" w:type="dxa"/>
                    <w:right w:w="15" w:type="dxa"/>
                  </w:tcMar>
                  <w:vAlign w:val="center"/>
                </w:tcPr>
                <w:p w14:paraId="7D18EEB0">
                  <w:pPr>
                    <w:widowControl/>
                    <w:jc w:val="center"/>
                    <w:textAlignment w:val="center"/>
                    <w:rPr>
                      <w:rFonts w:hint="default" w:ascii="Times New Roman" w:hAnsi="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15</w:t>
                  </w:r>
                </w:p>
              </w:tc>
              <w:tc>
                <w:tcPr>
                  <w:tcW w:w="443" w:type="pct"/>
                  <w:noWrap w:val="0"/>
                  <w:tcMar>
                    <w:top w:w="15" w:type="dxa"/>
                    <w:left w:w="15" w:type="dxa"/>
                    <w:right w:w="15" w:type="dxa"/>
                  </w:tcMar>
                  <w:vAlign w:val="center"/>
                </w:tcPr>
                <w:p w14:paraId="46D68046">
                  <w:pPr>
                    <w:widowControl/>
                    <w:jc w:val="center"/>
                    <w:textAlignment w:val="center"/>
                    <w:rPr>
                      <w:rFonts w:hint="default" w:ascii="Times New Roman" w:hAnsi="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0.3</w:t>
                  </w:r>
                </w:p>
              </w:tc>
              <w:tc>
                <w:tcPr>
                  <w:tcW w:w="616" w:type="pct"/>
                  <w:noWrap w:val="0"/>
                  <w:tcMar>
                    <w:top w:w="15" w:type="dxa"/>
                    <w:left w:w="15" w:type="dxa"/>
                    <w:right w:w="15" w:type="dxa"/>
                  </w:tcMar>
                  <w:vAlign w:val="center"/>
                </w:tcPr>
                <w:p w14:paraId="176E76EC">
                  <w:pPr>
                    <w:widowControl/>
                    <w:jc w:val="center"/>
                    <w:textAlignment w:val="center"/>
                    <w:rPr>
                      <w:rFonts w:hint="default" w:ascii="Times New Roman" w:hAnsi="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2500</w:t>
                  </w:r>
                </w:p>
              </w:tc>
              <w:tc>
                <w:tcPr>
                  <w:tcW w:w="502" w:type="pct"/>
                  <w:noWrap w:val="0"/>
                  <w:tcMar>
                    <w:top w:w="15" w:type="dxa"/>
                    <w:left w:w="15" w:type="dxa"/>
                    <w:right w:w="15" w:type="dxa"/>
                  </w:tcMar>
                  <w:vAlign w:val="center"/>
                </w:tcPr>
                <w:p w14:paraId="041B7E4B">
                  <w:pPr>
                    <w:widowControl/>
                    <w:jc w:val="center"/>
                    <w:textAlignment w:val="center"/>
                    <w:rPr>
                      <w:rFonts w:hint="default" w:ascii="Times New Roman" w:hAnsi="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25</w:t>
                  </w:r>
                </w:p>
              </w:tc>
              <w:tc>
                <w:tcPr>
                  <w:tcW w:w="434" w:type="pct"/>
                  <w:noWrap w:val="0"/>
                  <w:tcMar>
                    <w:top w:w="15" w:type="dxa"/>
                    <w:left w:w="15" w:type="dxa"/>
                    <w:right w:w="15" w:type="dxa"/>
                  </w:tcMar>
                  <w:vAlign w:val="center"/>
                </w:tcPr>
                <w:p w14:paraId="472D2892">
                  <w:pPr>
                    <w:widowControl/>
                    <w:jc w:val="center"/>
                    <w:textAlignment w:val="center"/>
                    <w:rPr>
                      <w:rFonts w:hint="default" w:ascii="Times New Roman" w:hAnsi="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7200</w:t>
                  </w:r>
                </w:p>
              </w:tc>
              <w:tc>
                <w:tcPr>
                  <w:tcW w:w="498" w:type="pct"/>
                  <w:noWrap w:val="0"/>
                  <w:tcMar>
                    <w:top w:w="15" w:type="dxa"/>
                    <w:left w:w="15" w:type="dxa"/>
                    <w:right w:w="15" w:type="dxa"/>
                  </w:tcMar>
                  <w:vAlign w:val="center"/>
                </w:tcPr>
                <w:p w14:paraId="46761E8C">
                  <w:pPr>
                    <w:widowControl/>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VOCs</w:t>
                  </w:r>
                  <w:r>
                    <w:rPr>
                      <w:rFonts w:hint="eastAsia" w:ascii="Times New Roman" w:hAnsi="Times New Roman"/>
                      <w:color w:val="auto"/>
                      <w:kern w:val="0"/>
                      <w:sz w:val="21"/>
                      <w:szCs w:val="21"/>
                      <w:lang w:eastAsia="zh-CN" w:bidi="ar"/>
                    </w:rPr>
                    <w:t>（以非甲烷总烃计）</w:t>
                  </w:r>
                </w:p>
              </w:tc>
              <w:tc>
                <w:tcPr>
                  <w:tcW w:w="587" w:type="pct"/>
                  <w:noWrap w:val="0"/>
                  <w:tcMar>
                    <w:top w:w="15" w:type="dxa"/>
                    <w:left w:w="15" w:type="dxa"/>
                    <w:right w:w="15" w:type="dxa"/>
                  </w:tcMar>
                  <w:vAlign w:val="center"/>
                </w:tcPr>
                <w:p w14:paraId="56F27CD6">
                  <w:pPr>
                    <w:widowControl/>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eastAsia="宋体"/>
                      <w:color w:val="auto"/>
                      <w:kern w:val="0"/>
                      <w:sz w:val="21"/>
                      <w:szCs w:val="21"/>
                      <w:lang w:val="en-US" w:eastAsia="zh-CN" w:bidi="ar"/>
                    </w:rPr>
                    <w:t>0.0038</w:t>
                  </w:r>
                </w:p>
              </w:tc>
            </w:tr>
          </w:tbl>
          <w:p w14:paraId="4EBA3F0E">
            <w:pPr>
              <w:pStyle w:val="54"/>
              <w:numPr>
                <w:ilvl w:val="0"/>
                <w:numId w:val="0"/>
              </w:numPr>
              <w:jc w:val="both"/>
              <w:rPr>
                <w:rFonts w:hint="eastAsia" w:ascii="Times New Roman" w:hAnsi="Times New Roman"/>
                <w:b w:val="0"/>
                <w:bCs/>
                <w:color w:val="auto"/>
                <w:sz w:val="21"/>
                <w:szCs w:val="21"/>
                <w:lang w:val="en-US" w:eastAsia="zh-CN"/>
              </w:rPr>
            </w:pPr>
            <w:r>
              <w:rPr>
                <w:rFonts w:hint="eastAsia" w:ascii="Times New Roman" w:hAnsi="Times New Roman"/>
                <w:b w:val="0"/>
                <w:bCs/>
                <w:color w:val="auto"/>
                <w:sz w:val="21"/>
                <w:szCs w:val="21"/>
                <w:lang w:eastAsia="zh-CN"/>
              </w:rPr>
              <w:t>注：以项目中心为原点，正东方向为</w:t>
            </w:r>
            <w:r>
              <w:rPr>
                <w:rFonts w:hint="eastAsia" w:ascii="Times New Roman" w:hAnsi="Times New Roman"/>
                <w:b w:val="0"/>
                <w:bCs/>
                <w:color w:val="auto"/>
                <w:sz w:val="21"/>
                <w:szCs w:val="21"/>
                <w:lang w:val="en-US" w:eastAsia="zh-CN"/>
              </w:rPr>
              <w:t>x轴正方向，正北方向为y轴正方向。</w:t>
            </w:r>
          </w:p>
          <w:p w14:paraId="7CAD5A45">
            <w:pPr>
              <w:adjustRightInd w:val="0"/>
              <w:snapToGrid w:val="0"/>
              <w:spacing w:before="120" w:beforeLines="50"/>
              <w:jc w:val="center"/>
              <w:rPr>
                <w:rFonts w:hint="default" w:ascii="Times New Roman" w:hAnsi="Times New Roman" w:eastAsia="黑体" w:cs="Times New Roman"/>
                <w:color w:val="auto"/>
                <w:sz w:val="24"/>
                <w:szCs w:val="22"/>
                <w:lang w:val="en-US" w:eastAsia="zh-CN"/>
              </w:rPr>
            </w:pPr>
            <w:r>
              <w:rPr>
                <w:rFonts w:hint="default" w:ascii="Times New Roman" w:hAnsi="Times New Roman" w:eastAsia="黑体" w:cs="Times New Roman"/>
                <w:color w:val="auto"/>
                <w:sz w:val="24"/>
                <w:szCs w:val="22"/>
              </w:rPr>
              <w:t>表4.</w:t>
            </w:r>
            <w:r>
              <w:rPr>
                <w:rFonts w:hint="eastAsia" w:ascii="Times New Roman" w:hAnsi="Times New Roman" w:eastAsia="黑体" w:cs="Times New Roman"/>
                <w:color w:val="auto"/>
                <w:sz w:val="24"/>
                <w:szCs w:val="22"/>
                <w:lang w:val="en-US" w:eastAsia="zh-CN"/>
              </w:rPr>
              <w:t>2-5 无组织排放污染物源强</w:t>
            </w:r>
          </w:p>
          <w:tbl>
            <w:tblPr>
              <w:tblStyle w:val="20"/>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973"/>
              <w:gridCol w:w="885"/>
              <w:gridCol w:w="760"/>
              <w:gridCol w:w="625"/>
              <w:gridCol w:w="607"/>
              <w:gridCol w:w="682"/>
              <w:gridCol w:w="744"/>
              <w:gridCol w:w="647"/>
              <w:gridCol w:w="763"/>
              <w:gridCol w:w="1255"/>
            </w:tblGrid>
            <w:tr w14:paraId="7111F5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tblHeader/>
                <w:jc w:val="center"/>
              </w:trPr>
              <w:tc>
                <w:tcPr>
                  <w:tcW w:w="613" w:type="pct"/>
                  <w:vMerge w:val="restart"/>
                  <w:tcBorders>
                    <w:tl2br w:val="nil"/>
                    <w:tr2bl w:val="nil"/>
                  </w:tcBorders>
                  <w:noWrap w:val="0"/>
                  <w:vAlign w:val="center"/>
                </w:tcPr>
                <w:p w14:paraId="0BD64497">
                  <w:pPr>
                    <w:pStyle w:val="52"/>
                    <w:adjustRightInd w:val="0"/>
                    <w:snapToGrid w:val="0"/>
                    <w:rPr>
                      <w:rFonts w:ascii="Times New Roman" w:hAnsi="Times New Roman"/>
                      <w:color w:val="auto"/>
                    </w:rPr>
                  </w:pPr>
                  <w:r>
                    <w:rPr>
                      <w:rFonts w:ascii="Times New Roman" w:hAnsi="Times New Roman"/>
                      <w:color w:val="auto"/>
                    </w:rPr>
                    <w:t>污染源名称</w:t>
                  </w:r>
                </w:p>
              </w:tc>
              <w:tc>
                <w:tcPr>
                  <w:tcW w:w="1035" w:type="pct"/>
                  <w:gridSpan w:val="2"/>
                  <w:tcBorders>
                    <w:tl2br w:val="nil"/>
                    <w:tr2bl w:val="nil"/>
                  </w:tcBorders>
                  <w:noWrap w:val="0"/>
                  <w:vAlign w:val="center"/>
                </w:tcPr>
                <w:p w14:paraId="79D5333B">
                  <w:pPr>
                    <w:pStyle w:val="52"/>
                    <w:adjustRightInd w:val="0"/>
                    <w:snapToGrid w:val="0"/>
                    <w:rPr>
                      <w:rFonts w:ascii="Times New Roman" w:hAnsi="Times New Roman"/>
                      <w:color w:val="auto"/>
                    </w:rPr>
                  </w:pPr>
                  <w:r>
                    <w:rPr>
                      <w:rFonts w:ascii="Times New Roman" w:hAnsi="Times New Roman"/>
                      <w:color w:val="auto"/>
                    </w:rPr>
                    <w:t>中心坐标</w:t>
                  </w:r>
                </w:p>
              </w:tc>
              <w:tc>
                <w:tcPr>
                  <w:tcW w:w="1672" w:type="pct"/>
                  <w:gridSpan w:val="4"/>
                  <w:tcBorders>
                    <w:tl2br w:val="nil"/>
                    <w:tr2bl w:val="nil"/>
                  </w:tcBorders>
                  <w:noWrap w:val="0"/>
                  <w:vAlign w:val="center"/>
                </w:tcPr>
                <w:p w14:paraId="04A2F60D">
                  <w:pPr>
                    <w:pStyle w:val="52"/>
                    <w:adjustRightInd w:val="0"/>
                    <w:snapToGrid w:val="0"/>
                    <w:rPr>
                      <w:rFonts w:ascii="Times New Roman" w:hAnsi="Times New Roman"/>
                      <w:color w:val="auto"/>
                    </w:rPr>
                  </w:pPr>
                  <w:r>
                    <w:rPr>
                      <w:rFonts w:ascii="Times New Roman" w:hAnsi="Times New Roman"/>
                      <w:color w:val="auto"/>
                    </w:rPr>
                    <w:t>矩形面源</w:t>
                  </w:r>
                </w:p>
              </w:tc>
              <w:tc>
                <w:tcPr>
                  <w:tcW w:w="407" w:type="pct"/>
                  <w:vMerge w:val="restart"/>
                  <w:tcBorders>
                    <w:tl2br w:val="nil"/>
                    <w:tr2bl w:val="nil"/>
                  </w:tcBorders>
                  <w:noWrap w:val="0"/>
                  <w:vAlign w:val="center"/>
                </w:tcPr>
                <w:p w14:paraId="143B89D0">
                  <w:pPr>
                    <w:pStyle w:val="52"/>
                    <w:adjustRightInd w:val="0"/>
                    <w:snapToGrid w:val="0"/>
                    <w:rPr>
                      <w:rFonts w:ascii="Times New Roman" w:hAnsi="Times New Roman"/>
                      <w:color w:val="auto"/>
                    </w:rPr>
                  </w:pPr>
                  <w:r>
                    <w:rPr>
                      <w:rFonts w:ascii="Times New Roman" w:hAnsi="Times New Roman"/>
                      <w:color w:val="auto"/>
                    </w:rPr>
                    <w:t>年排放小时数</w:t>
                  </w:r>
                </w:p>
              </w:tc>
              <w:tc>
                <w:tcPr>
                  <w:tcW w:w="480" w:type="pct"/>
                  <w:vMerge w:val="restart"/>
                  <w:tcBorders>
                    <w:tl2br w:val="nil"/>
                    <w:tr2bl w:val="nil"/>
                  </w:tcBorders>
                  <w:noWrap w:val="0"/>
                  <w:vAlign w:val="center"/>
                </w:tcPr>
                <w:p w14:paraId="799856C5">
                  <w:pPr>
                    <w:pStyle w:val="52"/>
                    <w:adjustRightInd w:val="0"/>
                    <w:snapToGrid w:val="0"/>
                    <w:rPr>
                      <w:rFonts w:ascii="Times New Roman" w:hAnsi="Times New Roman"/>
                      <w:color w:val="auto"/>
                    </w:rPr>
                  </w:pPr>
                  <w:r>
                    <w:rPr>
                      <w:rFonts w:ascii="Times New Roman" w:hAnsi="Times New Roman"/>
                      <w:color w:val="auto"/>
                    </w:rPr>
                    <w:t>污染因子</w:t>
                  </w:r>
                </w:p>
              </w:tc>
              <w:tc>
                <w:tcPr>
                  <w:tcW w:w="790" w:type="pct"/>
                  <w:vMerge w:val="restart"/>
                  <w:tcBorders>
                    <w:tl2br w:val="nil"/>
                    <w:tr2bl w:val="nil"/>
                  </w:tcBorders>
                  <w:noWrap w:val="0"/>
                  <w:vAlign w:val="center"/>
                </w:tcPr>
                <w:p w14:paraId="17B0395B">
                  <w:pPr>
                    <w:pStyle w:val="52"/>
                    <w:adjustRightInd w:val="0"/>
                    <w:snapToGrid w:val="0"/>
                    <w:rPr>
                      <w:rFonts w:ascii="Times New Roman" w:hAnsi="Times New Roman"/>
                      <w:color w:val="auto"/>
                    </w:rPr>
                  </w:pPr>
                  <w:r>
                    <w:rPr>
                      <w:rFonts w:ascii="Times New Roman" w:hAnsi="Times New Roman"/>
                      <w:color w:val="auto"/>
                    </w:rPr>
                    <w:t>排放速</w:t>
                  </w:r>
                </w:p>
                <w:p w14:paraId="22CB0D22">
                  <w:pPr>
                    <w:pStyle w:val="52"/>
                    <w:adjustRightInd w:val="0"/>
                    <w:snapToGrid w:val="0"/>
                    <w:rPr>
                      <w:rFonts w:ascii="Times New Roman" w:hAnsi="Times New Roman"/>
                      <w:color w:val="auto"/>
                    </w:rPr>
                  </w:pPr>
                  <w:r>
                    <w:rPr>
                      <w:rFonts w:ascii="Times New Roman" w:hAnsi="Times New Roman"/>
                      <w:color w:val="auto"/>
                    </w:rPr>
                    <w:t>率kg/h</w:t>
                  </w:r>
                </w:p>
              </w:tc>
            </w:tr>
            <w:tr w14:paraId="0943A6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tblHeader/>
                <w:jc w:val="center"/>
              </w:trPr>
              <w:tc>
                <w:tcPr>
                  <w:tcW w:w="613" w:type="pct"/>
                  <w:vMerge w:val="continue"/>
                  <w:tcBorders>
                    <w:tl2br w:val="nil"/>
                    <w:tr2bl w:val="nil"/>
                  </w:tcBorders>
                  <w:noWrap w:val="0"/>
                  <w:vAlign w:val="center"/>
                </w:tcPr>
                <w:p w14:paraId="2D044CF9">
                  <w:pPr>
                    <w:pStyle w:val="52"/>
                    <w:adjustRightInd w:val="0"/>
                    <w:snapToGrid w:val="0"/>
                    <w:rPr>
                      <w:rFonts w:ascii="Times New Roman" w:hAnsi="Times New Roman"/>
                      <w:color w:val="auto"/>
                    </w:rPr>
                  </w:pPr>
                </w:p>
              </w:tc>
              <w:tc>
                <w:tcPr>
                  <w:tcW w:w="557" w:type="pct"/>
                  <w:tcBorders>
                    <w:tl2br w:val="nil"/>
                    <w:tr2bl w:val="nil"/>
                  </w:tcBorders>
                  <w:noWrap w:val="0"/>
                  <w:vAlign w:val="center"/>
                </w:tcPr>
                <w:p w14:paraId="1F3749CA">
                  <w:pPr>
                    <w:pStyle w:val="52"/>
                    <w:adjustRightInd w:val="0"/>
                    <w:snapToGrid w:val="0"/>
                    <w:rPr>
                      <w:rFonts w:ascii="Times New Roman" w:hAnsi="Times New Roman"/>
                      <w:color w:val="auto"/>
                    </w:rPr>
                  </w:pPr>
                  <w:r>
                    <w:rPr>
                      <w:rFonts w:ascii="Times New Roman" w:hAnsi="Times New Roman"/>
                      <w:color w:val="auto"/>
                    </w:rPr>
                    <w:t>X</w:t>
                  </w:r>
                </w:p>
              </w:tc>
              <w:tc>
                <w:tcPr>
                  <w:tcW w:w="478" w:type="pct"/>
                  <w:tcBorders>
                    <w:tl2br w:val="nil"/>
                    <w:tr2bl w:val="nil"/>
                  </w:tcBorders>
                  <w:noWrap w:val="0"/>
                  <w:vAlign w:val="center"/>
                </w:tcPr>
                <w:p w14:paraId="648B64C0">
                  <w:pPr>
                    <w:pStyle w:val="52"/>
                    <w:adjustRightInd w:val="0"/>
                    <w:snapToGrid w:val="0"/>
                    <w:rPr>
                      <w:rFonts w:ascii="Times New Roman" w:hAnsi="Times New Roman"/>
                      <w:color w:val="auto"/>
                    </w:rPr>
                  </w:pPr>
                  <w:r>
                    <w:rPr>
                      <w:rFonts w:ascii="Times New Roman" w:hAnsi="Times New Roman"/>
                      <w:color w:val="auto"/>
                    </w:rPr>
                    <w:t>Y</w:t>
                  </w:r>
                </w:p>
              </w:tc>
              <w:tc>
                <w:tcPr>
                  <w:tcW w:w="393" w:type="pct"/>
                  <w:tcBorders>
                    <w:tl2br w:val="nil"/>
                    <w:tr2bl w:val="nil"/>
                  </w:tcBorders>
                  <w:noWrap w:val="0"/>
                  <w:vAlign w:val="center"/>
                </w:tcPr>
                <w:p w14:paraId="604A5542">
                  <w:pPr>
                    <w:pStyle w:val="52"/>
                    <w:adjustRightInd w:val="0"/>
                    <w:snapToGrid w:val="0"/>
                    <w:rPr>
                      <w:rFonts w:ascii="Times New Roman" w:hAnsi="Times New Roman"/>
                      <w:color w:val="auto"/>
                    </w:rPr>
                  </w:pPr>
                  <w:r>
                    <w:rPr>
                      <w:rFonts w:ascii="Times New Roman" w:hAnsi="Times New Roman"/>
                      <w:color w:val="auto"/>
                    </w:rPr>
                    <w:t>长度m</w:t>
                  </w:r>
                </w:p>
              </w:tc>
              <w:tc>
                <w:tcPr>
                  <w:tcW w:w="382" w:type="pct"/>
                  <w:tcBorders>
                    <w:tl2br w:val="nil"/>
                    <w:tr2bl w:val="nil"/>
                  </w:tcBorders>
                  <w:noWrap w:val="0"/>
                  <w:vAlign w:val="center"/>
                </w:tcPr>
                <w:p w14:paraId="1DC195D6">
                  <w:pPr>
                    <w:pStyle w:val="52"/>
                    <w:adjustRightInd w:val="0"/>
                    <w:snapToGrid w:val="0"/>
                    <w:rPr>
                      <w:rFonts w:ascii="Times New Roman" w:hAnsi="Times New Roman"/>
                      <w:color w:val="auto"/>
                    </w:rPr>
                  </w:pPr>
                  <w:r>
                    <w:rPr>
                      <w:rFonts w:ascii="Times New Roman" w:hAnsi="Times New Roman"/>
                      <w:color w:val="auto"/>
                    </w:rPr>
                    <w:t>宽度m</w:t>
                  </w:r>
                </w:p>
              </w:tc>
              <w:tc>
                <w:tcPr>
                  <w:tcW w:w="429" w:type="pct"/>
                  <w:tcBorders>
                    <w:tl2br w:val="nil"/>
                    <w:tr2bl w:val="nil"/>
                  </w:tcBorders>
                  <w:noWrap w:val="0"/>
                  <w:vAlign w:val="center"/>
                </w:tcPr>
                <w:p w14:paraId="3B139449">
                  <w:pPr>
                    <w:pStyle w:val="52"/>
                    <w:adjustRightInd w:val="0"/>
                    <w:snapToGrid w:val="0"/>
                    <w:rPr>
                      <w:rFonts w:ascii="Times New Roman" w:hAnsi="Times New Roman"/>
                      <w:color w:val="auto"/>
                    </w:rPr>
                  </w:pPr>
                  <w:r>
                    <w:rPr>
                      <w:rFonts w:ascii="Times New Roman" w:hAnsi="Times New Roman"/>
                      <w:color w:val="auto"/>
                    </w:rPr>
                    <w:t>有效高度m</w:t>
                  </w:r>
                </w:p>
              </w:tc>
              <w:tc>
                <w:tcPr>
                  <w:tcW w:w="465" w:type="pct"/>
                  <w:tcBorders>
                    <w:tl2br w:val="nil"/>
                    <w:tr2bl w:val="nil"/>
                  </w:tcBorders>
                  <w:noWrap w:val="0"/>
                  <w:vAlign w:val="center"/>
                </w:tcPr>
                <w:p w14:paraId="5D153C30">
                  <w:pPr>
                    <w:pStyle w:val="52"/>
                    <w:adjustRightInd w:val="0"/>
                    <w:snapToGrid w:val="0"/>
                    <w:rPr>
                      <w:rFonts w:ascii="Times New Roman" w:hAnsi="Times New Roman"/>
                      <w:color w:val="auto"/>
                    </w:rPr>
                  </w:pPr>
                  <w:r>
                    <w:rPr>
                      <w:rFonts w:ascii="Times New Roman" w:hAnsi="Times New Roman"/>
                      <w:color w:val="auto"/>
                    </w:rPr>
                    <w:t>与正北夹角</w:t>
                  </w:r>
                </w:p>
              </w:tc>
              <w:tc>
                <w:tcPr>
                  <w:tcW w:w="407" w:type="pct"/>
                  <w:vMerge w:val="continue"/>
                  <w:tcBorders>
                    <w:tl2br w:val="nil"/>
                    <w:tr2bl w:val="nil"/>
                  </w:tcBorders>
                  <w:noWrap w:val="0"/>
                  <w:vAlign w:val="center"/>
                </w:tcPr>
                <w:p w14:paraId="42D6D5BE">
                  <w:pPr>
                    <w:pStyle w:val="52"/>
                    <w:adjustRightInd w:val="0"/>
                    <w:snapToGrid w:val="0"/>
                    <w:rPr>
                      <w:rFonts w:ascii="Times New Roman" w:hAnsi="Times New Roman"/>
                      <w:color w:val="auto"/>
                    </w:rPr>
                  </w:pPr>
                </w:p>
              </w:tc>
              <w:tc>
                <w:tcPr>
                  <w:tcW w:w="480" w:type="pct"/>
                  <w:vMerge w:val="continue"/>
                  <w:tcBorders>
                    <w:tl2br w:val="nil"/>
                    <w:tr2bl w:val="nil"/>
                  </w:tcBorders>
                  <w:noWrap w:val="0"/>
                  <w:vAlign w:val="center"/>
                </w:tcPr>
                <w:p w14:paraId="1C67FA8A">
                  <w:pPr>
                    <w:pStyle w:val="52"/>
                    <w:adjustRightInd w:val="0"/>
                    <w:snapToGrid w:val="0"/>
                    <w:rPr>
                      <w:rFonts w:ascii="Times New Roman" w:hAnsi="Times New Roman"/>
                      <w:color w:val="auto"/>
                    </w:rPr>
                  </w:pPr>
                </w:p>
              </w:tc>
              <w:tc>
                <w:tcPr>
                  <w:tcW w:w="790" w:type="pct"/>
                  <w:vMerge w:val="continue"/>
                  <w:tcBorders>
                    <w:tl2br w:val="nil"/>
                    <w:tr2bl w:val="nil"/>
                  </w:tcBorders>
                  <w:noWrap w:val="0"/>
                  <w:vAlign w:val="center"/>
                </w:tcPr>
                <w:p w14:paraId="5F7AF53E">
                  <w:pPr>
                    <w:pStyle w:val="52"/>
                    <w:adjustRightInd w:val="0"/>
                    <w:snapToGrid w:val="0"/>
                    <w:rPr>
                      <w:rFonts w:ascii="Times New Roman" w:hAnsi="Times New Roman"/>
                      <w:color w:val="auto"/>
                    </w:rPr>
                  </w:pPr>
                </w:p>
              </w:tc>
            </w:tr>
            <w:tr w14:paraId="1499F5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tblHeader/>
                <w:jc w:val="center"/>
              </w:trPr>
              <w:tc>
                <w:tcPr>
                  <w:tcW w:w="613" w:type="pct"/>
                  <w:tcBorders>
                    <w:tl2br w:val="nil"/>
                    <w:tr2bl w:val="nil"/>
                  </w:tcBorders>
                  <w:noWrap w:val="0"/>
                  <w:vAlign w:val="center"/>
                </w:tcPr>
                <w:p w14:paraId="3CC45D02">
                  <w:pPr>
                    <w:pStyle w:val="52"/>
                    <w:adjustRightInd w:val="0"/>
                    <w:snapToGrid w:val="0"/>
                    <w:rPr>
                      <w:rFonts w:hint="eastAsia" w:ascii="Times New Roman" w:hAnsi="Times New Roman"/>
                      <w:color w:val="auto"/>
                      <w:lang w:eastAsia="zh-CN"/>
                    </w:rPr>
                  </w:pPr>
                  <w:r>
                    <w:rPr>
                      <w:rFonts w:hint="eastAsia" w:ascii="Times New Roman" w:hAnsi="Times New Roman"/>
                      <w:color w:val="auto"/>
                      <w:lang w:eastAsia="zh-CN"/>
                    </w:rPr>
                    <w:t>预处理车间</w:t>
                  </w:r>
                </w:p>
              </w:tc>
              <w:tc>
                <w:tcPr>
                  <w:tcW w:w="557" w:type="pct"/>
                  <w:tcBorders>
                    <w:tl2br w:val="nil"/>
                    <w:tr2bl w:val="nil"/>
                  </w:tcBorders>
                  <w:noWrap w:val="0"/>
                  <w:vAlign w:val="center"/>
                </w:tcPr>
                <w:p w14:paraId="0F95D57F">
                  <w:pPr>
                    <w:pStyle w:val="52"/>
                    <w:adjustRightInd w:val="0"/>
                    <w:snapToGrid w:val="0"/>
                    <w:ind w:firstLine="0" w:firstLineChars="0"/>
                    <w:rPr>
                      <w:rFonts w:hint="default" w:ascii="Times New Roman" w:hAnsi="Times New Roman"/>
                      <w:color w:val="auto"/>
                      <w:lang w:val="en-US" w:eastAsia="zh-CN"/>
                    </w:rPr>
                  </w:pPr>
                  <w:r>
                    <w:rPr>
                      <w:rFonts w:hint="eastAsia" w:ascii="Times New Roman" w:hAnsi="Times New Roman"/>
                      <w:color w:val="auto"/>
                      <w:lang w:val="en-US" w:eastAsia="zh-CN"/>
                    </w:rPr>
                    <w:t>17</w:t>
                  </w:r>
                </w:p>
              </w:tc>
              <w:tc>
                <w:tcPr>
                  <w:tcW w:w="478" w:type="pct"/>
                  <w:tcBorders>
                    <w:tl2br w:val="nil"/>
                    <w:tr2bl w:val="nil"/>
                  </w:tcBorders>
                  <w:noWrap w:val="0"/>
                  <w:vAlign w:val="center"/>
                </w:tcPr>
                <w:p w14:paraId="38A37E33">
                  <w:pPr>
                    <w:pStyle w:val="52"/>
                    <w:adjustRightInd w:val="0"/>
                    <w:snapToGrid w:val="0"/>
                    <w:ind w:firstLine="0" w:firstLineChars="0"/>
                    <w:rPr>
                      <w:rFonts w:hint="default" w:ascii="Times New Roman" w:hAnsi="Times New Roman"/>
                      <w:color w:val="auto"/>
                      <w:lang w:val="en-US" w:eastAsia="zh-CN"/>
                    </w:rPr>
                  </w:pPr>
                  <w:r>
                    <w:rPr>
                      <w:rFonts w:hint="eastAsia" w:ascii="Times New Roman" w:hAnsi="Times New Roman"/>
                      <w:color w:val="auto"/>
                      <w:lang w:val="en-US" w:eastAsia="zh-CN"/>
                    </w:rPr>
                    <w:t>-51</w:t>
                  </w:r>
                </w:p>
              </w:tc>
              <w:tc>
                <w:tcPr>
                  <w:tcW w:w="393" w:type="pct"/>
                  <w:tcBorders>
                    <w:tl2br w:val="nil"/>
                    <w:tr2bl w:val="nil"/>
                  </w:tcBorders>
                  <w:noWrap w:val="0"/>
                  <w:vAlign w:val="center"/>
                </w:tcPr>
                <w:p w14:paraId="150A4703">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30</w:t>
                  </w:r>
                </w:p>
              </w:tc>
              <w:tc>
                <w:tcPr>
                  <w:tcW w:w="382" w:type="pct"/>
                  <w:tcBorders>
                    <w:tl2br w:val="nil"/>
                    <w:tr2bl w:val="nil"/>
                  </w:tcBorders>
                  <w:noWrap w:val="0"/>
                  <w:vAlign w:val="center"/>
                </w:tcPr>
                <w:p w14:paraId="5AFB181C">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18</w:t>
                  </w:r>
                </w:p>
              </w:tc>
              <w:tc>
                <w:tcPr>
                  <w:tcW w:w="429" w:type="pct"/>
                  <w:tcBorders>
                    <w:tl2br w:val="nil"/>
                    <w:tr2bl w:val="nil"/>
                  </w:tcBorders>
                  <w:noWrap w:val="0"/>
                  <w:vAlign w:val="center"/>
                </w:tcPr>
                <w:p w14:paraId="503B3734">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3</w:t>
                  </w:r>
                </w:p>
              </w:tc>
              <w:tc>
                <w:tcPr>
                  <w:tcW w:w="465" w:type="pct"/>
                  <w:tcBorders>
                    <w:tl2br w:val="nil"/>
                    <w:tr2bl w:val="nil"/>
                  </w:tcBorders>
                  <w:noWrap w:val="0"/>
                  <w:vAlign w:val="center"/>
                </w:tcPr>
                <w:p w14:paraId="4F36F3CC">
                  <w:pPr>
                    <w:pStyle w:val="52"/>
                    <w:adjustRightInd w:val="0"/>
                    <w:snapToGrid w:val="0"/>
                    <w:rPr>
                      <w:rFonts w:hint="default" w:ascii="Times New Roman" w:hAnsi="Times New Roman" w:eastAsia="宋体"/>
                      <w:color w:val="auto"/>
                      <w:lang w:val="en-US" w:eastAsia="zh-CN"/>
                    </w:rPr>
                  </w:pPr>
                  <w:r>
                    <w:rPr>
                      <w:rFonts w:hint="eastAsia" w:ascii="Times New Roman" w:hAnsi="Times New Roman"/>
                      <w:color w:val="auto"/>
                      <w:lang w:val="en-US" w:eastAsia="zh-CN"/>
                    </w:rPr>
                    <w:t>30</w:t>
                  </w:r>
                </w:p>
              </w:tc>
              <w:tc>
                <w:tcPr>
                  <w:tcW w:w="407" w:type="pct"/>
                  <w:tcBorders>
                    <w:tl2br w:val="nil"/>
                    <w:tr2bl w:val="nil"/>
                  </w:tcBorders>
                  <w:noWrap w:val="0"/>
                  <w:vAlign w:val="center"/>
                </w:tcPr>
                <w:p w14:paraId="2FC43B30">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1200</w:t>
                  </w:r>
                </w:p>
              </w:tc>
              <w:tc>
                <w:tcPr>
                  <w:tcW w:w="480" w:type="pct"/>
                  <w:tcBorders>
                    <w:tl2br w:val="nil"/>
                    <w:tr2bl w:val="nil"/>
                  </w:tcBorders>
                  <w:noWrap w:val="0"/>
                  <w:vAlign w:val="center"/>
                </w:tcPr>
                <w:p w14:paraId="4F868EE6">
                  <w:pPr>
                    <w:pStyle w:val="52"/>
                    <w:adjustRightInd w:val="0"/>
                    <w:snapToGrid w:val="0"/>
                    <w:rPr>
                      <w:rFonts w:hint="eastAsia" w:ascii="Times New Roman" w:hAnsi="Times New Roman" w:eastAsia="宋体"/>
                      <w:color w:val="auto"/>
                      <w:lang w:eastAsia="zh-CN"/>
                    </w:rPr>
                  </w:pPr>
                  <w:r>
                    <w:rPr>
                      <w:rFonts w:hint="eastAsia" w:ascii="Times New Roman" w:hAnsi="Times New Roman" w:eastAsia="宋体"/>
                      <w:color w:val="auto"/>
                      <w:lang w:eastAsia="zh-CN"/>
                    </w:rPr>
                    <w:t>非甲烷总烃</w:t>
                  </w:r>
                </w:p>
              </w:tc>
              <w:tc>
                <w:tcPr>
                  <w:tcW w:w="790" w:type="pct"/>
                  <w:tcBorders>
                    <w:tl2br w:val="nil"/>
                    <w:tr2bl w:val="nil"/>
                  </w:tcBorders>
                  <w:noWrap w:val="0"/>
                  <w:vAlign w:val="center"/>
                </w:tcPr>
                <w:p w14:paraId="583838C7">
                  <w:pPr>
                    <w:pStyle w:val="52"/>
                    <w:adjustRightInd w:val="0"/>
                    <w:snapToGrid w:val="0"/>
                    <w:rPr>
                      <w:rFonts w:hint="default" w:ascii="Times New Roman" w:hAnsi="Times New Roman" w:eastAsia="宋体"/>
                      <w:color w:val="auto"/>
                      <w:lang w:val="en-US" w:eastAsia="zh-CN"/>
                    </w:rPr>
                  </w:pPr>
                  <w:r>
                    <w:rPr>
                      <w:rFonts w:hint="eastAsia" w:ascii="Times New Roman" w:hAnsi="Times New Roman"/>
                      <w:color w:val="auto"/>
                      <w:lang w:val="en-US" w:eastAsia="zh-CN"/>
                    </w:rPr>
                    <w:t>0.0617</w:t>
                  </w:r>
                </w:p>
              </w:tc>
            </w:tr>
            <w:tr w14:paraId="65EB158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tblHeader/>
                <w:jc w:val="center"/>
              </w:trPr>
              <w:tc>
                <w:tcPr>
                  <w:tcW w:w="613" w:type="pct"/>
                  <w:tcBorders>
                    <w:tl2br w:val="nil"/>
                    <w:tr2bl w:val="nil"/>
                  </w:tcBorders>
                  <w:noWrap w:val="0"/>
                  <w:vAlign w:val="center"/>
                </w:tcPr>
                <w:p w14:paraId="72522919">
                  <w:pPr>
                    <w:pStyle w:val="52"/>
                    <w:adjustRightInd w:val="0"/>
                    <w:snapToGrid w:val="0"/>
                    <w:rPr>
                      <w:rFonts w:hint="eastAsia" w:ascii="Times New Roman" w:hAnsi="Times New Roman" w:eastAsia="宋体"/>
                      <w:color w:val="auto"/>
                      <w:lang w:eastAsia="zh-CN"/>
                    </w:rPr>
                  </w:pPr>
                  <w:r>
                    <w:rPr>
                      <w:rFonts w:hint="eastAsia" w:ascii="Times New Roman" w:hAnsi="Times New Roman"/>
                      <w:color w:val="auto"/>
                      <w:lang w:eastAsia="zh-CN"/>
                    </w:rPr>
                    <w:t>大小车拆解车间</w:t>
                  </w:r>
                </w:p>
              </w:tc>
              <w:tc>
                <w:tcPr>
                  <w:tcW w:w="557" w:type="pct"/>
                  <w:tcBorders>
                    <w:tl2br w:val="nil"/>
                    <w:tr2bl w:val="nil"/>
                  </w:tcBorders>
                  <w:noWrap w:val="0"/>
                  <w:vAlign w:val="center"/>
                </w:tcPr>
                <w:p w14:paraId="149DD9EF">
                  <w:pPr>
                    <w:pStyle w:val="52"/>
                    <w:adjustRightInd w:val="0"/>
                    <w:snapToGrid w:val="0"/>
                    <w:ind w:firstLine="0" w:firstLineChars="0"/>
                    <w:rPr>
                      <w:rFonts w:hint="default" w:ascii="Times New Roman" w:hAnsi="Times New Roman" w:eastAsia="宋体"/>
                      <w:color w:val="auto"/>
                      <w:lang w:val="en-US" w:eastAsia="zh-CN"/>
                    </w:rPr>
                  </w:pPr>
                  <w:r>
                    <w:rPr>
                      <w:rFonts w:hint="eastAsia" w:ascii="Times New Roman" w:hAnsi="Times New Roman"/>
                      <w:color w:val="auto"/>
                      <w:lang w:val="en-US" w:eastAsia="zh-CN"/>
                    </w:rPr>
                    <w:t>20</w:t>
                  </w:r>
                </w:p>
              </w:tc>
              <w:tc>
                <w:tcPr>
                  <w:tcW w:w="478" w:type="pct"/>
                  <w:tcBorders>
                    <w:tl2br w:val="nil"/>
                    <w:tr2bl w:val="nil"/>
                  </w:tcBorders>
                  <w:noWrap w:val="0"/>
                  <w:vAlign w:val="center"/>
                </w:tcPr>
                <w:p w14:paraId="30142235">
                  <w:pPr>
                    <w:pStyle w:val="52"/>
                    <w:adjustRightInd w:val="0"/>
                    <w:snapToGrid w:val="0"/>
                    <w:ind w:firstLine="0" w:firstLineChars="0"/>
                    <w:rPr>
                      <w:rFonts w:hint="default" w:ascii="Times New Roman" w:hAnsi="Times New Roman" w:eastAsia="宋体"/>
                      <w:color w:val="auto"/>
                      <w:lang w:val="en-US" w:eastAsia="zh-CN"/>
                    </w:rPr>
                  </w:pPr>
                  <w:r>
                    <w:rPr>
                      <w:rFonts w:hint="eastAsia" w:ascii="Times New Roman" w:hAnsi="Times New Roman"/>
                      <w:color w:val="auto"/>
                      <w:lang w:val="en-US" w:eastAsia="zh-CN"/>
                    </w:rPr>
                    <w:t>1</w:t>
                  </w:r>
                </w:p>
              </w:tc>
              <w:tc>
                <w:tcPr>
                  <w:tcW w:w="393" w:type="pct"/>
                  <w:tcBorders>
                    <w:tl2br w:val="nil"/>
                    <w:tr2bl w:val="nil"/>
                  </w:tcBorders>
                  <w:noWrap w:val="0"/>
                  <w:vAlign w:val="center"/>
                </w:tcPr>
                <w:p w14:paraId="26149B3C">
                  <w:pPr>
                    <w:pStyle w:val="52"/>
                    <w:adjustRightInd w:val="0"/>
                    <w:snapToGrid w:val="0"/>
                    <w:rPr>
                      <w:rFonts w:hint="default" w:ascii="Times New Roman" w:hAnsi="Times New Roman" w:eastAsia="宋体"/>
                      <w:color w:val="auto"/>
                      <w:lang w:val="en-US" w:eastAsia="zh-CN"/>
                    </w:rPr>
                  </w:pPr>
                  <w:r>
                    <w:rPr>
                      <w:rFonts w:hint="eastAsia" w:ascii="Times New Roman" w:hAnsi="Times New Roman"/>
                      <w:color w:val="auto"/>
                      <w:lang w:val="en-US" w:eastAsia="zh-CN"/>
                    </w:rPr>
                    <w:t>20</w:t>
                  </w:r>
                </w:p>
              </w:tc>
              <w:tc>
                <w:tcPr>
                  <w:tcW w:w="382" w:type="pct"/>
                  <w:tcBorders>
                    <w:tl2br w:val="nil"/>
                    <w:tr2bl w:val="nil"/>
                  </w:tcBorders>
                  <w:noWrap w:val="0"/>
                  <w:vAlign w:val="center"/>
                </w:tcPr>
                <w:p w14:paraId="5D4B96B2">
                  <w:pPr>
                    <w:pStyle w:val="52"/>
                    <w:adjustRightInd w:val="0"/>
                    <w:snapToGrid w:val="0"/>
                    <w:rPr>
                      <w:rFonts w:hint="default" w:ascii="Times New Roman" w:hAnsi="Times New Roman" w:eastAsia="宋体"/>
                      <w:color w:val="auto"/>
                      <w:lang w:val="en-US" w:eastAsia="zh-CN"/>
                    </w:rPr>
                  </w:pPr>
                  <w:r>
                    <w:rPr>
                      <w:rFonts w:hint="eastAsia" w:ascii="Times New Roman" w:hAnsi="Times New Roman"/>
                      <w:color w:val="auto"/>
                      <w:lang w:val="en-US" w:eastAsia="zh-CN"/>
                    </w:rPr>
                    <w:t>56</w:t>
                  </w:r>
                </w:p>
              </w:tc>
              <w:tc>
                <w:tcPr>
                  <w:tcW w:w="429" w:type="pct"/>
                  <w:tcBorders>
                    <w:tl2br w:val="nil"/>
                    <w:tr2bl w:val="nil"/>
                  </w:tcBorders>
                  <w:noWrap w:val="0"/>
                  <w:vAlign w:val="center"/>
                </w:tcPr>
                <w:p w14:paraId="70321DAC">
                  <w:pPr>
                    <w:pStyle w:val="52"/>
                    <w:adjustRightInd w:val="0"/>
                    <w:snapToGrid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465" w:type="pct"/>
                  <w:tcBorders>
                    <w:tl2br w:val="nil"/>
                    <w:tr2bl w:val="nil"/>
                  </w:tcBorders>
                  <w:noWrap w:val="0"/>
                  <w:vAlign w:val="center"/>
                </w:tcPr>
                <w:p w14:paraId="17443E4E">
                  <w:pPr>
                    <w:pStyle w:val="52"/>
                    <w:adjustRightInd w:val="0"/>
                    <w:snapToGrid w:val="0"/>
                    <w:rPr>
                      <w:rFonts w:hint="default" w:ascii="Times New Roman" w:hAnsi="Times New Roman" w:eastAsia="宋体"/>
                      <w:color w:val="auto"/>
                      <w:lang w:val="en-US" w:eastAsia="zh-CN"/>
                    </w:rPr>
                  </w:pPr>
                  <w:r>
                    <w:rPr>
                      <w:rFonts w:hint="eastAsia" w:ascii="Times New Roman" w:hAnsi="Times New Roman"/>
                      <w:color w:val="auto"/>
                      <w:lang w:val="en-US" w:eastAsia="zh-CN"/>
                    </w:rPr>
                    <w:t>20</w:t>
                  </w:r>
                </w:p>
              </w:tc>
              <w:tc>
                <w:tcPr>
                  <w:tcW w:w="407" w:type="pct"/>
                  <w:tcBorders>
                    <w:tl2br w:val="nil"/>
                    <w:tr2bl w:val="nil"/>
                  </w:tcBorders>
                  <w:noWrap w:val="0"/>
                  <w:vAlign w:val="center"/>
                </w:tcPr>
                <w:p w14:paraId="5C676FF6">
                  <w:pPr>
                    <w:pStyle w:val="52"/>
                    <w:adjustRightInd w:val="0"/>
                    <w:snapToGrid w:val="0"/>
                    <w:rPr>
                      <w:rFonts w:hint="default" w:ascii="Times New Roman" w:hAnsi="Times New Roman" w:eastAsia="宋体"/>
                      <w:color w:val="auto"/>
                      <w:lang w:val="en-US" w:eastAsia="zh-CN"/>
                    </w:rPr>
                  </w:pPr>
                  <w:r>
                    <w:rPr>
                      <w:rFonts w:hint="eastAsia" w:ascii="Times New Roman" w:hAnsi="Times New Roman"/>
                      <w:color w:val="auto"/>
                      <w:lang w:val="en-US" w:eastAsia="zh-CN"/>
                    </w:rPr>
                    <w:t>1200</w:t>
                  </w:r>
                </w:p>
              </w:tc>
              <w:tc>
                <w:tcPr>
                  <w:tcW w:w="480" w:type="pct"/>
                  <w:tcBorders>
                    <w:tl2br w:val="nil"/>
                    <w:tr2bl w:val="nil"/>
                  </w:tcBorders>
                  <w:noWrap w:val="0"/>
                  <w:vAlign w:val="center"/>
                </w:tcPr>
                <w:p w14:paraId="15960449">
                  <w:pPr>
                    <w:pStyle w:val="52"/>
                    <w:adjustRightInd w:val="0"/>
                    <w:snapToGrid w:val="0"/>
                    <w:rPr>
                      <w:rFonts w:hint="eastAsia" w:ascii="Times New Roman" w:hAnsi="Times New Roman" w:eastAsia="宋体"/>
                      <w:color w:val="auto"/>
                      <w:lang w:eastAsia="zh-CN"/>
                    </w:rPr>
                  </w:pPr>
                  <w:r>
                    <w:rPr>
                      <w:rFonts w:hint="eastAsia" w:ascii="Times New Roman" w:hAnsi="Times New Roman" w:eastAsia="宋体"/>
                      <w:color w:val="auto"/>
                      <w:lang w:eastAsia="zh-CN"/>
                    </w:rPr>
                    <w:t>颗粒物</w:t>
                  </w:r>
                </w:p>
              </w:tc>
              <w:tc>
                <w:tcPr>
                  <w:tcW w:w="790" w:type="pct"/>
                  <w:tcBorders>
                    <w:tl2br w:val="nil"/>
                    <w:tr2bl w:val="nil"/>
                  </w:tcBorders>
                  <w:noWrap w:val="0"/>
                  <w:vAlign w:val="center"/>
                </w:tcPr>
                <w:p w14:paraId="2DD9EE37">
                  <w:pPr>
                    <w:pStyle w:val="52"/>
                    <w:adjustRightInd w:val="0"/>
                    <w:snapToGrid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0.0441</w:t>
                  </w:r>
                </w:p>
              </w:tc>
            </w:tr>
            <w:tr w14:paraId="3CE97A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tblHeader/>
                <w:jc w:val="center"/>
              </w:trPr>
              <w:tc>
                <w:tcPr>
                  <w:tcW w:w="613" w:type="pct"/>
                  <w:vMerge w:val="restart"/>
                  <w:tcBorders>
                    <w:tl2br w:val="nil"/>
                    <w:tr2bl w:val="nil"/>
                  </w:tcBorders>
                  <w:noWrap w:val="0"/>
                  <w:vAlign w:val="center"/>
                </w:tcPr>
                <w:p w14:paraId="4F32A0A7">
                  <w:pPr>
                    <w:pStyle w:val="52"/>
                    <w:adjustRightInd w:val="0"/>
                    <w:snapToGrid w:val="0"/>
                    <w:rPr>
                      <w:rFonts w:hint="eastAsia" w:ascii="Times New Roman" w:hAnsi="Times New Roman" w:eastAsia="宋体"/>
                      <w:color w:val="auto"/>
                      <w:lang w:eastAsia="zh-CN"/>
                    </w:rPr>
                  </w:pPr>
                  <w:r>
                    <w:rPr>
                      <w:rFonts w:hint="eastAsia" w:ascii="Times New Roman" w:hAnsi="Times New Roman" w:eastAsia="宋体"/>
                      <w:color w:val="auto"/>
                      <w:lang w:eastAsia="zh-CN"/>
                    </w:rPr>
                    <w:t>废变压器拆解车间</w:t>
                  </w:r>
                </w:p>
              </w:tc>
              <w:tc>
                <w:tcPr>
                  <w:tcW w:w="557" w:type="pct"/>
                  <w:vMerge w:val="restart"/>
                  <w:tcBorders>
                    <w:tl2br w:val="nil"/>
                    <w:tr2bl w:val="nil"/>
                  </w:tcBorders>
                  <w:noWrap w:val="0"/>
                  <w:vAlign w:val="center"/>
                </w:tcPr>
                <w:p w14:paraId="61D1293D">
                  <w:pPr>
                    <w:pStyle w:val="52"/>
                    <w:adjustRightInd w:val="0"/>
                    <w:snapToGrid w:val="0"/>
                    <w:rPr>
                      <w:rFonts w:hint="default" w:ascii="Times New Roman" w:hAnsi="Times New Roman" w:eastAsia="宋体"/>
                      <w:color w:val="auto"/>
                      <w:lang w:val="en-US" w:eastAsia="zh-CN"/>
                    </w:rPr>
                  </w:pPr>
                  <w:r>
                    <w:rPr>
                      <w:rFonts w:hint="eastAsia" w:ascii="Times New Roman" w:hAnsi="Times New Roman"/>
                      <w:color w:val="auto"/>
                      <w:lang w:val="en-US" w:eastAsia="zh-CN"/>
                    </w:rPr>
                    <w:t>15</w:t>
                  </w:r>
                </w:p>
              </w:tc>
              <w:tc>
                <w:tcPr>
                  <w:tcW w:w="478" w:type="pct"/>
                  <w:vMerge w:val="restart"/>
                  <w:tcBorders>
                    <w:tl2br w:val="nil"/>
                    <w:tr2bl w:val="nil"/>
                  </w:tcBorders>
                  <w:noWrap w:val="0"/>
                  <w:vAlign w:val="center"/>
                </w:tcPr>
                <w:p w14:paraId="2965DE86">
                  <w:pPr>
                    <w:pStyle w:val="52"/>
                    <w:adjustRightInd w:val="0"/>
                    <w:snapToGrid w:val="0"/>
                    <w:rPr>
                      <w:rFonts w:hint="default" w:ascii="Times New Roman" w:hAnsi="Times New Roman" w:eastAsia="宋体"/>
                      <w:color w:val="auto"/>
                      <w:lang w:val="en-US" w:eastAsia="zh-CN"/>
                    </w:rPr>
                  </w:pPr>
                  <w:r>
                    <w:rPr>
                      <w:rFonts w:hint="eastAsia" w:ascii="Times New Roman" w:hAnsi="Times New Roman"/>
                      <w:color w:val="auto"/>
                      <w:lang w:val="en-US" w:eastAsia="zh-CN"/>
                    </w:rPr>
                    <w:t>69</w:t>
                  </w:r>
                </w:p>
              </w:tc>
              <w:tc>
                <w:tcPr>
                  <w:tcW w:w="393" w:type="pct"/>
                  <w:vMerge w:val="restart"/>
                  <w:tcBorders>
                    <w:tl2br w:val="nil"/>
                    <w:tr2bl w:val="nil"/>
                  </w:tcBorders>
                  <w:noWrap w:val="0"/>
                  <w:vAlign w:val="center"/>
                </w:tcPr>
                <w:p w14:paraId="51CB1BCD">
                  <w:pPr>
                    <w:pStyle w:val="52"/>
                    <w:adjustRightInd w:val="0"/>
                    <w:snapToGrid w:val="0"/>
                    <w:ind w:firstLine="0" w:firstLineChars="0"/>
                    <w:rPr>
                      <w:rFonts w:hint="default" w:ascii="Times New Roman" w:hAnsi="Times New Roman" w:eastAsia="宋体"/>
                      <w:color w:val="auto"/>
                      <w:lang w:val="en-US" w:eastAsia="zh-CN"/>
                    </w:rPr>
                  </w:pPr>
                  <w:r>
                    <w:rPr>
                      <w:rFonts w:hint="eastAsia" w:ascii="Times New Roman" w:hAnsi="Times New Roman"/>
                      <w:color w:val="auto"/>
                      <w:lang w:val="en-US" w:eastAsia="zh-CN"/>
                    </w:rPr>
                    <w:t>48</w:t>
                  </w:r>
                </w:p>
              </w:tc>
              <w:tc>
                <w:tcPr>
                  <w:tcW w:w="382" w:type="pct"/>
                  <w:vMerge w:val="restart"/>
                  <w:tcBorders>
                    <w:tl2br w:val="nil"/>
                    <w:tr2bl w:val="nil"/>
                  </w:tcBorders>
                  <w:noWrap w:val="0"/>
                  <w:vAlign w:val="center"/>
                </w:tcPr>
                <w:p w14:paraId="63CCE29B">
                  <w:pPr>
                    <w:pStyle w:val="52"/>
                    <w:adjustRightInd w:val="0"/>
                    <w:snapToGrid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w:t>
                  </w:r>
                </w:p>
              </w:tc>
              <w:tc>
                <w:tcPr>
                  <w:tcW w:w="429" w:type="pct"/>
                  <w:vMerge w:val="restart"/>
                  <w:tcBorders>
                    <w:tl2br w:val="nil"/>
                    <w:tr2bl w:val="nil"/>
                  </w:tcBorders>
                  <w:noWrap w:val="0"/>
                  <w:vAlign w:val="center"/>
                </w:tcPr>
                <w:p w14:paraId="24D24C1F">
                  <w:pPr>
                    <w:pStyle w:val="52"/>
                    <w:adjustRightInd w:val="0"/>
                    <w:snapToGrid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465" w:type="pct"/>
                  <w:vMerge w:val="restart"/>
                  <w:tcBorders>
                    <w:tl2br w:val="nil"/>
                    <w:tr2bl w:val="nil"/>
                  </w:tcBorders>
                  <w:noWrap w:val="0"/>
                  <w:vAlign w:val="center"/>
                </w:tcPr>
                <w:p w14:paraId="0830F53C">
                  <w:pPr>
                    <w:pStyle w:val="52"/>
                    <w:adjustRightInd w:val="0"/>
                    <w:snapToGrid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30</w:t>
                  </w:r>
                </w:p>
              </w:tc>
              <w:tc>
                <w:tcPr>
                  <w:tcW w:w="407" w:type="pct"/>
                  <w:vMerge w:val="restart"/>
                  <w:tcBorders>
                    <w:tl2br w:val="nil"/>
                    <w:tr2bl w:val="nil"/>
                  </w:tcBorders>
                  <w:noWrap w:val="0"/>
                  <w:vAlign w:val="center"/>
                </w:tcPr>
                <w:p w14:paraId="2CC588B3">
                  <w:pPr>
                    <w:pStyle w:val="52"/>
                    <w:adjustRightInd w:val="0"/>
                    <w:snapToGrid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1200</w:t>
                  </w:r>
                </w:p>
              </w:tc>
              <w:tc>
                <w:tcPr>
                  <w:tcW w:w="480" w:type="pct"/>
                  <w:tcBorders>
                    <w:tl2br w:val="nil"/>
                    <w:tr2bl w:val="nil"/>
                  </w:tcBorders>
                  <w:noWrap w:val="0"/>
                  <w:vAlign w:val="center"/>
                </w:tcPr>
                <w:p w14:paraId="520F0E65">
                  <w:pPr>
                    <w:pStyle w:val="52"/>
                    <w:adjustRightInd w:val="0"/>
                    <w:snapToGrid w:val="0"/>
                    <w:ind w:firstLine="0" w:firstLineChars="0"/>
                    <w:rPr>
                      <w:rFonts w:hint="eastAsia" w:ascii="Times New Roman" w:hAnsi="Times New Roman" w:eastAsia="宋体"/>
                      <w:color w:val="auto"/>
                      <w:lang w:eastAsia="zh-CN"/>
                    </w:rPr>
                  </w:pPr>
                  <w:r>
                    <w:rPr>
                      <w:rFonts w:hint="eastAsia" w:ascii="Times New Roman" w:hAnsi="Times New Roman" w:eastAsia="宋体"/>
                      <w:color w:val="auto"/>
                      <w:lang w:eastAsia="zh-CN"/>
                    </w:rPr>
                    <w:t>非甲烷总烃</w:t>
                  </w:r>
                </w:p>
              </w:tc>
              <w:tc>
                <w:tcPr>
                  <w:tcW w:w="790" w:type="pct"/>
                  <w:tcBorders>
                    <w:tl2br w:val="nil"/>
                    <w:tr2bl w:val="nil"/>
                  </w:tcBorders>
                  <w:noWrap w:val="0"/>
                  <w:vAlign w:val="center"/>
                </w:tcPr>
                <w:p w14:paraId="32FFB4FE">
                  <w:pPr>
                    <w:pStyle w:val="52"/>
                    <w:adjustRightInd w:val="0"/>
                    <w:snapToGrid w:val="0"/>
                    <w:rPr>
                      <w:rFonts w:hint="default" w:ascii="Times New Roman" w:hAnsi="Times New Roman" w:eastAsia="宋体"/>
                      <w:color w:val="auto"/>
                      <w:lang w:val="en-US" w:eastAsia="zh-CN"/>
                    </w:rPr>
                  </w:pPr>
                  <w:r>
                    <w:rPr>
                      <w:rFonts w:hint="eastAsia" w:ascii="Times New Roman" w:hAnsi="Times New Roman"/>
                      <w:color w:val="auto"/>
                      <w:lang w:val="en-US" w:eastAsia="zh-CN"/>
                    </w:rPr>
                    <w:t>0.0775</w:t>
                  </w:r>
                </w:p>
              </w:tc>
            </w:tr>
            <w:tr w14:paraId="4C341C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tblHeader/>
                <w:jc w:val="center"/>
              </w:trPr>
              <w:tc>
                <w:tcPr>
                  <w:tcW w:w="613" w:type="pct"/>
                  <w:vMerge w:val="continue"/>
                  <w:tcBorders>
                    <w:tl2br w:val="nil"/>
                    <w:tr2bl w:val="nil"/>
                  </w:tcBorders>
                  <w:noWrap w:val="0"/>
                  <w:vAlign w:val="center"/>
                </w:tcPr>
                <w:p w14:paraId="006F2FB6">
                  <w:pPr>
                    <w:pStyle w:val="52"/>
                    <w:adjustRightInd w:val="0"/>
                    <w:snapToGrid w:val="0"/>
                    <w:rPr>
                      <w:rFonts w:hint="eastAsia" w:ascii="Times New Roman" w:hAnsi="Times New Roman"/>
                      <w:color w:val="auto"/>
                      <w:lang w:eastAsia="zh-CN"/>
                    </w:rPr>
                  </w:pPr>
                </w:p>
              </w:tc>
              <w:tc>
                <w:tcPr>
                  <w:tcW w:w="557" w:type="pct"/>
                  <w:vMerge w:val="continue"/>
                  <w:tcBorders>
                    <w:tl2br w:val="nil"/>
                    <w:tr2bl w:val="nil"/>
                  </w:tcBorders>
                  <w:noWrap w:val="0"/>
                  <w:vAlign w:val="center"/>
                </w:tcPr>
                <w:p w14:paraId="7E6D96B6">
                  <w:pPr>
                    <w:pStyle w:val="52"/>
                    <w:adjustRightInd w:val="0"/>
                    <w:snapToGrid w:val="0"/>
                    <w:rPr>
                      <w:rFonts w:hint="eastAsia" w:ascii="Times New Roman" w:hAnsi="Times New Roman"/>
                      <w:color w:val="auto"/>
                      <w:lang w:val="en-US" w:eastAsia="zh-CN"/>
                    </w:rPr>
                  </w:pPr>
                </w:p>
              </w:tc>
              <w:tc>
                <w:tcPr>
                  <w:tcW w:w="478" w:type="pct"/>
                  <w:vMerge w:val="continue"/>
                  <w:tcBorders>
                    <w:tl2br w:val="nil"/>
                    <w:tr2bl w:val="nil"/>
                  </w:tcBorders>
                  <w:noWrap w:val="0"/>
                  <w:vAlign w:val="center"/>
                </w:tcPr>
                <w:p w14:paraId="786092BB">
                  <w:pPr>
                    <w:pStyle w:val="52"/>
                    <w:adjustRightInd w:val="0"/>
                    <w:snapToGrid w:val="0"/>
                    <w:rPr>
                      <w:rFonts w:hint="eastAsia" w:ascii="Times New Roman" w:hAnsi="Times New Roman"/>
                      <w:color w:val="auto"/>
                      <w:lang w:val="en-US" w:eastAsia="zh-CN"/>
                    </w:rPr>
                  </w:pPr>
                </w:p>
              </w:tc>
              <w:tc>
                <w:tcPr>
                  <w:tcW w:w="393" w:type="pct"/>
                  <w:vMerge w:val="continue"/>
                  <w:tcBorders>
                    <w:tl2br w:val="nil"/>
                    <w:tr2bl w:val="nil"/>
                  </w:tcBorders>
                  <w:noWrap w:val="0"/>
                  <w:vAlign w:val="center"/>
                </w:tcPr>
                <w:p w14:paraId="23F6BD46">
                  <w:pPr>
                    <w:pStyle w:val="52"/>
                    <w:adjustRightInd w:val="0"/>
                    <w:snapToGrid w:val="0"/>
                    <w:rPr>
                      <w:rFonts w:hint="eastAsia" w:ascii="Times New Roman" w:hAnsi="Times New Roman"/>
                      <w:color w:val="auto"/>
                      <w:lang w:val="en-US" w:eastAsia="zh-CN"/>
                    </w:rPr>
                  </w:pPr>
                </w:p>
              </w:tc>
              <w:tc>
                <w:tcPr>
                  <w:tcW w:w="382" w:type="pct"/>
                  <w:vMerge w:val="continue"/>
                  <w:tcBorders>
                    <w:tl2br w:val="nil"/>
                    <w:tr2bl w:val="nil"/>
                  </w:tcBorders>
                  <w:noWrap w:val="0"/>
                  <w:vAlign w:val="center"/>
                </w:tcPr>
                <w:p w14:paraId="69AB35BF">
                  <w:pPr>
                    <w:pStyle w:val="52"/>
                    <w:adjustRightInd w:val="0"/>
                    <w:snapToGrid w:val="0"/>
                    <w:rPr>
                      <w:rFonts w:hint="eastAsia" w:ascii="Times New Roman" w:hAnsi="Times New Roman"/>
                      <w:color w:val="auto"/>
                      <w:lang w:val="en-US" w:eastAsia="zh-CN"/>
                    </w:rPr>
                  </w:pPr>
                </w:p>
              </w:tc>
              <w:tc>
                <w:tcPr>
                  <w:tcW w:w="429" w:type="pct"/>
                  <w:vMerge w:val="continue"/>
                  <w:tcBorders>
                    <w:tl2br w:val="nil"/>
                    <w:tr2bl w:val="nil"/>
                  </w:tcBorders>
                  <w:noWrap w:val="0"/>
                  <w:vAlign w:val="center"/>
                </w:tcPr>
                <w:p w14:paraId="0759680E">
                  <w:pPr>
                    <w:pStyle w:val="52"/>
                    <w:adjustRightInd w:val="0"/>
                    <w:snapToGrid w:val="0"/>
                    <w:rPr>
                      <w:rFonts w:hint="eastAsia" w:ascii="Times New Roman" w:hAnsi="Times New Roman"/>
                      <w:color w:val="auto"/>
                      <w:lang w:val="en-US" w:eastAsia="zh-CN"/>
                    </w:rPr>
                  </w:pPr>
                </w:p>
              </w:tc>
              <w:tc>
                <w:tcPr>
                  <w:tcW w:w="465" w:type="pct"/>
                  <w:vMerge w:val="continue"/>
                  <w:tcBorders>
                    <w:tl2br w:val="nil"/>
                    <w:tr2bl w:val="nil"/>
                  </w:tcBorders>
                  <w:noWrap w:val="0"/>
                  <w:vAlign w:val="center"/>
                </w:tcPr>
                <w:p w14:paraId="13BD1DA7">
                  <w:pPr>
                    <w:pStyle w:val="52"/>
                    <w:adjustRightInd w:val="0"/>
                    <w:snapToGrid w:val="0"/>
                    <w:rPr>
                      <w:rFonts w:hint="eastAsia" w:ascii="Times New Roman" w:hAnsi="Times New Roman"/>
                      <w:color w:val="auto"/>
                      <w:lang w:val="en-US" w:eastAsia="zh-CN"/>
                    </w:rPr>
                  </w:pPr>
                </w:p>
              </w:tc>
              <w:tc>
                <w:tcPr>
                  <w:tcW w:w="407" w:type="pct"/>
                  <w:vMerge w:val="continue"/>
                  <w:tcBorders>
                    <w:tl2br w:val="nil"/>
                    <w:tr2bl w:val="nil"/>
                  </w:tcBorders>
                  <w:noWrap w:val="0"/>
                  <w:vAlign w:val="center"/>
                </w:tcPr>
                <w:p w14:paraId="45AC1D6E">
                  <w:pPr>
                    <w:pStyle w:val="52"/>
                    <w:adjustRightInd w:val="0"/>
                    <w:snapToGrid w:val="0"/>
                    <w:rPr>
                      <w:rFonts w:hint="eastAsia" w:ascii="Times New Roman" w:hAnsi="Times New Roman"/>
                      <w:color w:val="auto"/>
                      <w:lang w:val="en-US" w:eastAsia="zh-CN"/>
                    </w:rPr>
                  </w:pPr>
                </w:p>
              </w:tc>
              <w:tc>
                <w:tcPr>
                  <w:tcW w:w="480" w:type="pct"/>
                  <w:tcBorders>
                    <w:tl2br w:val="nil"/>
                    <w:tr2bl w:val="nil"/>
                  </w:tcBorders>
                  <w:noWrap w:val="0"/>
                  <w:vAlign w:val="center"/>
                </w:tcPr>
                <w:p w14:paraId="01714509">
                  <w:pPr>
                    <w:pStyle w:val="52"/>
                    <w:adjustRightInd w:val="0"/>
                    <w:snapToGrid w:val="0"/>
                    <w:ind w:firstLine="0" w:firstLineChars="0"/>
                    <w:rPr>
                      <w:rFonts w:hint="eastAsia" w:ascii="Times New Roman" w:hAnsi="Times New Roman" w:eastAsia="宋体"/>
                      <w:color w:val="auto"/>
                      <w:lang w:eastAsia="zh-CN"/>
                    </w:rPr>
                  </w:pPr>
                  <w:r>
                    <w:rPr>
                      <w:rFonts w:hint="eastAsia" w:ascii="Times New Roman" w:hAnsi="Times New Roman" w:eastAsia="宋体"/>
                      <w:color w:val="auto"/>
                      <w:lang w:eastAsia="zh-CN"/>
                    </w:rPr>
                    <w:t>颗粒物</w:t>
                  </w:r>
                </w:p>
              </w:tc>
              <w:tc>
                <w:tcPr>
                  <w:tcW w:w="790" w:type="pct"/>
                  <w:tcBorders>
                    <w:tl2br w:val="nil"/>
                    <w:tr2bl w:val="nil"/>
                  </w:tcBorders>
                  <w:noWrap w:val="0"/>
                  <w:vAlign w:val="center"/>
                </w:tcPr>
                <w:p w14:paraId="300F2C52">
                  <w:pPr>
                    <w:pStyle w:val="52"/>
                    <w:adjustRightInd w:val="0"/>
                    <w:snapToGrid w:val="0"/>
                    <w:rPr>
                      <w:rFonts w:hint="default" w:ascii="Times New Roman" w:hAnsi="Times New Roman" w:eastAsia="宋体"/>
                      <w:color w:val="auto"/>
                      <w:lang w:val="en-US" w:eastAsia="zh-CN"/>
                    </w:rPr>
                  </w:pPr>
                  <w:r>
                    <w:rPr>
                      <w:rFonts w:hint="eastAsia" w:ascii="Times New Roman" w:hAnsi="Times New Roman"/>
                      <w:color w:val="auto"/>
                      <w:lang w:val="en-US" w:eastAsia="zh-CN"/>
                    </w:rPr>
                    <w:t>0.0004</w:t>
                  </w:r>
                </w:p>
              </w:tc>
            </w:tr>
            <w:tr w14:paraId="6F3BB2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tblHeader/>
                <w:jc w:val="center"/>
              </w:trPr>
              <w:tc>
                <w:tcPr>
                  <w:tcW w:w="613" w:type="pct"/>
                  <w:tcBorders>
                    <w:tl2br w:val="nil"/>
                    <w:tr2bl w:val="nil"/>
                  </w:tcBorders>
                  <w:noWrap w:val="0"/>
                  <w:vAlign w:val="center"/>
                </w:tcPr>
                <w:p w14:paraId="4EBAC278">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eastAsia="zh-CN"/>
                    </w:rPr>
                    <w:t>废电机拆解</w:t>
                  </w:r>
                  <w:r>
                    <w:rPr>
                      <w:rFonts w:hint="eastAsia" w:ascii="Times New Roman" w:hAnsi="Times New Roman"/>
                      <w:color w:val="auto"/>
                      <w:lang w:val="en-US" w:eastAsia="zh-CN"/>
                    </w:rPr>
                    <w:t>车间</w:t>
                  </w:r>
                </w:p>
              </w:tc>
              <w:tc>
                <w:tcPr>
                  <w:tcW w:w="557" w:type="pct"/>
                  <w:tcBorders>
                    <w:tl2br w:val="nil"/>
                    <w:tr2bl w:val="nil"/>
                  </w:tcBorders>
                  <w:noWrap w:val="0"/>
                  <w:vAlign w:val="center"/>
                </w:tcPr>
                <w:p w14:paraId="411C5A5D">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15</w:t>
                  </w:r>
                </w:p>
              </w:tc>
              <w:tc>
                <w:tcPr>
                  <w:tcW w:w="478" w:type="pct"/>
                  <w:tcBorders>
                    <w:tl2br w:val="nil"/>
                    <w:tr2bl w:val="nil"/>
                  </w:tcBorders>
                  <w:noWrap w:val="0"/>
                  <w:vAlign w:val="center"/>
                </w:tcPr>
                <w:p w14:paraId="5CC25728">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75</w:t>
                  </w:r>
                </w:p>
              </w:tc>
              <w:tc>
                <w:tcPr>
                  <w:tcW w:w="393" w:type="pct"/>
                  <w:tcBorders>
                    <w:tl2br w:val="nil"/>
                    <w:tr2bl w:val="nil"/>
                  </w:tcBorders>
                  <w:noWrap w:val="0"/>
                  <w:vAlign w:val="center"/>
                </w:tcPr>
                <w:p w14:paraId="2F7F2319">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48</w:t>
                  </w:r>
                </w:p>
              </w:tc>
              <w:tc>
                <w:tcPr>
                  <w:tcW w:w="382" w:type="pct"/>
                  <w:tcBorders>
                    <w:tl2br w:val="nil"/>
                    <w:tr2bl w:val="nil"/>
                  </w:tcBorders>
                  <w:noWrap w:val="0"/>
                  <w:vAlign w:val="center"/>
                </w:tcPr>
                <w:p w14:paraId="0099239D">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20</w:t>
                  </w:r>
                </w:p>
              </w:tc>
              <w:tc>
                <w:tcPr>
                  <w:tcW w:w="429" w:type="pct"/>
                  <w:tcBorders>
                    <w:tl2br w:val="nil"/>
                    <w:tr2bl w:val="nil"/>
                  </w:tcBorders>
                  <w:noWrap w:val="0"/>
                  <w:vAlign w:val="center"/>
                </w:tcPr>
                <w:p w14:paraId="217147FD">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3</w:t>
                  </w:r>
                </w:p>
              </w:tc>
              <w:tc>
                <w:tcPr>
                  <w:tcW w:w="465" w:type="pct"/>
                  <w:tcBorders>
                    <w:tl2br w:val="nil"/>
                    <w:tr2bl w:val="nil"/>
                  </w:tcBorders>
                  <w:noWrap w:val="0"/>
                  <w:vAlign w:val="center"/>
                </w:tcPr>
                <w:p w14:paraId="125DE3D2">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30</w:t>
                  </w:r>
                </w:p>
              </w:tc>
              <w:tc>
                <w:tcPr>
                  <w:tcW w:w="407" w:type="pct"/>
                  <w:tcBorders>
                    <w:tl2br w:val="nil"/>
                    <w:tr2bl w:val="nil"/>
                  </w:tcBorders>
                  <w:noWrap w:val="0"/>
                  <w:vAlign w:val="center"/>
                </w:tcPr>
                <w:p w14:paraId="6E515E39">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1200</w:t>
                  </w:r>
                </w:p>
              </w:tc>
              <w:tc>
                <w:tcPr>
                  <w:tcW w:w="480" w:type="pct"/>
                  <w:tcBorders>
                    <w:tl2br w:val="nil"/>
                    <w:tr2bl w:val="nil"/>
                  </w:tcBorders>
                  <w:noWrap w:val="0"/>
                  <w:vAlign w:val="center"/>
                </w:tcPr>
                <w:p w14:paraId="753DC1BD">
                  <w:pPr>
                    <w:pStyle w:val="52"/>
                    <w:adjustRightInd w:val="0"/>
                    <w:snapToGrid w:val="0"/>
                    <w:rPr>
                      <w:rFonts w:hint="eastAsia" w:ascii="Times New Roman" w:hAnsi="Times New Roman"/>
                      <w:color w:val="auto"/>
                      <w:lang w:eastAsia="zh-CN"/>
                    </w:rPr>
                  </w:pPr>
                  <w:r>
                    <w:rPr>
                      <w:rFonts w:hint="eastAsia" w:ascii="Times New Roman" w:hAnsi="Times New Roman"/>
                      <w:color w:val="auto"/>
                      <w:lang w:eastAsia="zh-CN"/>
                    </w:rPr>
                    <w:t>颗粒物</w:t>
                  </w:r>
                </w:p>
              </w:tc>
              <w:tc>
                <w:tcPr>
                  <w:tcW w:w="790" w:type="pct"/>
                  <w:tcBorders>
                    <w:tl2br w:val="nil"/>
                    <w:tr2bl w:val="nil"/>
                  </w:tcBorders>
                  <w:noWrap w:val="0"/>
                  <w:vAlign w:val="center"/>
                </w:tcPr>
                <w:p w14:paraId="648FE343">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0.0003</w:t>
                  </w:r>
                </w:p>
              </w:tc>
            </w:tr>
            <w:tr w14:paraId="6135D9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tblHeader/>
                <w:jc w:val="center"/>
              </w:trPr>
              <w:tc>
                <w:tcPr>
                  <w:tcW w:w="613" w:type="pct"/>
                  <w:tcBorders>
                    <w:tl2br w:val="nil"/>
                    <w:tr2bl w:val="nil"/>
                  </w:tcBorders>
                  <w:noWrap w:val="0"/>
                  <w:vAlign w:val="center"/>
                </w:tcPr>
                <w:p w14:paraId="75B9A3E2">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危废暂存间</w:t>
                  </w:r>
                </w:p>
              </w:tc>
              <w:tc>
                <w:tcPr>
                  <w:tcW w:w="557" w:type="pct"/>
                  <w:tcBorders>
                    <w:tl2br w:val="nil"/>
                    <w:tr2bl w:val="nil"/>
                  </w:tcBorders>
                  <w:noWrap w:val="0"/>
                  <w:vAlign w:val="center"/>
                </w:tcPr>
                <w:p w14:paraId="65FEBE62">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-10</w:t>
                  </w:r>
                </w:p>
              </w:tc>
              <w:tc>
                <w:tcPr>
                  <w:tcW w:w="478" w:type="pct"/>
                  <w:tcBorders>
                    <w:tl2br w:val="nil"/>
                    <w:tr2bl w:val="nil"/>
                  </w:tcBorders>
                  <w:noWrap w:val="0"/>
                  <w:vAlign w:val="center"/>
                </w:tcPr>
                <w:p w14:paraId="15B138DA">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37</w:t>
                  </w:r>
                </w:p>
              </w:tc>
              <w:tc>
                <w:tcPr>
                  <w:tcW w:w="393" w:type="pct"/>
                  <w:tcBorders>
                    <w:tl2br w:val="nil"/>
                    <w:tr2bl w:val="nil"/>
                  </w:tcBorders>
                  <w:noWrap w:val="0"/>
                  <w:vAlign w:val="center"/>
                </w:tcPr>
                <w:p w14:paraId="13A109D6">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20</w:t>
                  </w:r>
                </w:p>
              </w:tc>
              <w:tc>
                <w:tcPr>
                  <w:tcW w:w="382" w:type="pct"/>
                  <w:tcBorders>
                    <w:tl2br w:val="nil"/>
                    <w:tr2bl w:val="nil"/>
                  </w:tcBorders>
                  <w:noWrap w:val="0"/>
                  <w:vAlign w:val="center"/>
                </w:tcPr>
                <w:p w14:paraId="61FEE503">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10</w:t>
                  </w:r>
                </w:p>
              </w:tc>
              <w:tc>
                <w:tcPr>
                  <w:tcW w:w="429" w:type="pct"/>
                  <w:tcBorders>
                    <w:tl2br w:val="nil"/>
                    <w:tr2bl w:val="nil"/>
                  </w:tcBorders>
                  <w:noWrap w:val="0"/>
                  <w:vAlign w:val="center"/>
                </w:tcPr>
                <w:p w14:paraId="2EEE4BF3">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2</w:t>
                  </w:r>
                </w:p>
              </w:tc>
              <w:tc>
                <w:tcPr>
                  <w:tcW w:w="465" w:type="pct"/>
                  <w:tcBorders>
                    <w:tl2br w:val="nil"/>
                    <w:tr2bl w:val="nil"/>
                  </w:tcBorders>
                  <w:noWrap w:val="0"/>
                  <w:vAlign w:val="center"/>
                </w:tcPr>
                <w:p w14:paraId="05601306">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30</w:t>
                  </w:r>
                </w:p>
              </w:tc>
              <w:tc>
                <w:tcPr>
                  <w:tcW w:w="407" w:type="pct"/>
                  <w:tcBorders>
                    <w:tl2br w:val="nil"/>
                    <w:tr2bl w:val="nil"/>
                  </w:tcBorders>
                  <w:noWrap w:val="0"/>
                  <w:vAlign w:val="center"/>
                </w:tcPr>
                <w:p w14:paraId="518BBA52">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7200</w:t>
                  </w:r>
                </w:p>
              </w:tc>
              <w:tc>
                <w:tcPr>
                  <w:tcW w:w="480" w:type="pct"/>
                  <w:tcBorders>
                    <w:tl2br w:val="nil"/>
                    <w:tr2bl w:val="nil"/>
                  </w:tcBorders>
                  <w:noWrap w:val="0"/>
                  <w:vAlign w:val="center"/>
                </w:tcPr>
                <w:p w14:paraId="5DA45421">
                  <w:pPr>
                    <w:pStyle w:val="52"/>
                    <w:adjustRightInd w:val="0"/>
                    <w:snapToGrid w:val="0"/>
                    <w:rPr>
                      <w:rFonts w:hint="eastAsia" w:ascii="Times New Roman" w:hAnsi="Times New Roman"/>
                      <w:color w:val="auto"/>
                      <w:lang w:eastAsia="zh-CN"/>
                    </w:rPr>
                  </w:pPr>
                  <w:r>
                    <w:rPr>
                      <w:rFonts w:ascii="Times New Roman" w:hAnsi="Times New Roman"/>
                      <w:color w:val="auto"/>
                      <w:kern w:val="0"/>
                      <w:sz w:val="21"/>
                      <w:szCs w:val="21"/>
                      <w:lang w:bidi="ar"/>
                    </w:rPr>
                    <w:t>VOCs</w:t>
                  </w:r>
                  <w:r>
                    <w:rPr>
                      <w:rFonts w:hint="eastAsia" w:ascii="Times New Roman" w:hAnsi="Times New Roman"/>
                      <w:color w:val="auto"/>
                      <w:kern w:val="0"/>
                      <w:sz w:val="21"/>
                      <w:szCs w:val="21"/>
                      <w:lang w:eastAsia="zh-CN" w:bidi="ar"/>
                    </w:rPr>
                    <w:t>（以非甲烷总烃计）</w:t>
                  </w:r>
                </w:p>
              </w:tc>
              <w:tc>
                <w:tcPr>
                  <w:tcW w:w="790" w:type="pct"/>
                  <w:tcBorders>
                    <w:tl2br w:val="nil"/>
                    <w:tr2bl w:val="nil"/>
                  </w:tcBorders>
                  <w:noWrap w:val="0"/>
                  <w:vAlign w:val="center"/>
                </w:tcPr>
                <w:p w14:paraId="642CA4F6">
                  <w:pPr>
                    <w:pStyle w:val="52"/>
                    <w:adjustRightInd w:val="0"/>
                    <w:snapToGrid w:val="0"/>
                    <w:rPr>
                      <w:rFonts w:hint="default" w:ascii="Times New Roman" w:hAnsi="Times New Roman"/>
                      <w:color w:val="auto"/>
                      <w:lang w:val="en-US" w:eastAsia="zh-CN"/>
                    </w:rPr>
                  </w:pPr>
                  <w:r>
                    <w:rPr>
                      <w:rFonts w:hint="eastAsia" w:ascii="Times New Roman" w:hAnsi="Times New Roman"/>
                      <w:color w:val="auto"/>
                      <w:lang w:val="en-US" w:eastAsia="zh-CN"/>
                    </w:rPr>
                    <w:t>0.0096</w:t>
                  </w:r>
                </w:p>
              </w:tc>
            </w:tr>
          </w:tbl>
          <w:p w14:paraId="702C8860">
            <w:pPr>
              <w:pStyle w:val="54"/>
              <w:numPr>
                <w:ilvl w:val="0"/>
                <w:numId w:val="0"/>
              </w:numPr>
              <w:jc w:val="both"/>
              <w:rPr>
                <w:rFonts w:hint="eastAsia" w:ascii="Times New Roman" w:hAnsi="Times New Roman"/>
                <w:b w:val="0"/>
                <w:bCs/>
                <w:color w:val="auto"/>
                <w:sz w:val="21"/>
                <w:szCs w:val="21"/>
                <w:lang w:val="en-US" w:eastAsia="zh-CN"/>
              </w:rPr>
            </w:pPr>
            <w:r>
              <w:rPr>
                <w:rFonts w:hint="eastAsia" w:ascii="Times New Roman" w:hAnsi="Times New Roman"/>
                <w:b w:val="0"/>
                <w:bCs/>
                <w:color w:val="auto"/>
                <w:sz w:val="21"/>
                <w:szCs w:val="21"/>
                <w:lang w:eastAsia="zh-CN"/>
              </w:rPr>
              <w:t>注：以项目中心为原点，正东方向为</w:t>
            </w:r>
            <w:r>
              <w:rPr>
                <w:rFonts w:hint="eastAsia" w:ascii="Times New Roman" w:hAnsi="Times New Roman"/>
                <w:b w:val="0"/>
                <w:bCs/>
                <w:color w:val="auto"/>
                <w:sz w:val="21"/>
                <w:szCs w:val="21"/>
                <w:lang w:val="en-US" w:eastAsia="zh-CN"/>
              </w:rPr>
              <w:t>x轴正方向，正北方向为y轴正方向。</w:t>
            </w:r>
          </w:p>
          <w:p w14:paraId="79BBDB29">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（3）估算模型参数</w:t>
            </w:r>
          </w:p>
          <w:p w14:paraId="1BE166BB">
            <w:pPr>
              <w:pStyle w:val="56"/>
              <w:rPr>
                <w:rFonts w:ascii="Times New Roman" w:hAnsi="Times New Roman"/>
                <w:color w:val="auto"/>
                <w:sz w:val="24"/>
                <w:szCs w:val="24"/>
              </w:rPr>
            </w:pPr>
            <w:r>
              <w:rPr>
                <w:rFonts w:ascii="Times New Roman" w:hAnsi="Times New Roman"/>
                <w:color w:val="auto"/>
                <w:sz w:val="24"/>
                <w:szCs w:val="24"/>
              </w:rPr>
              <w:t>本项目估算模型参数表详见</w:t>
            </w:r>
            <w:r>
              <w:rPr>
                <w:rFonts w:hint="eastAsia" w:ascii="Times New Roman" w:hAnsi="Times New Roman"/>
                <w:color w:val="auto"/>
                <w:sz w:val="24"/>
                <w:szCs w:val="24"/>
                <w:lang w:eastAsia="zh-CN"/>
              </w:rPr>
              <w:t>表</w:t>
            </w:r>
            <w:r>
              <w:rPr>
                <w:rFonts w:hint="eastAsia" w:ascii="Times New Roman" w:hAnsi="Times New Roman"/>
                <w:color w:val="auto"/>
                <w:sz w:val="24"/>
                <w:szCs w:val="24"/>
                <w:lang w:val="en-US" w:eastAsia="zh-CN"/>
              </w:rPr>
              <w:t>4.2-6</w:t>
            </w:r>
            <w:r>
              <w:rPr>
                <w:rFonts w:ascii="Times New Roman" w:hAnsi="Times New Roman"/>
                <w:color w:val="auto"/>
                <w:sz w:val="24"/>
                <w:szCs w:val="24"/>
              </w:rPr>
              <w:t>。</w:t>
            </w:r>
          </w:p>
          <w:p w14:paraId="72ABCC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黑体" w:cs="Times New Roman"/>
                <w:color w:val="auto"/>
                <w:sz w:val="24"/>
                <w:szCs w:val="22"/>
                <w:lang w:eastAsia="zh-CN"/>
              </w:rPr>
            </w:pPr>
            <w:bookmarkStart w:id="33" w:name="_Ref54260059"/>
          </w:p>
          <w:p w14:paraId="4553B9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黑体" w:cs="Times New Roman"/>
                <w:color w:val="auto"/>
                <w:sz w:val="24"/>
                <w:szCs w:val="22"/>
                <w:lang w:eastAsia="zh-CN"/>
              </w:rPr>
            </w:pPr>
          </w:p>
          <w:p w14:paraId="756C9B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黑体" w:cs="Times New Roman"/>
                <w:color w:val="auto"/>
                <w:sz w:val="24"/>
                <w:szCs w:val="22"/>
                <w:lang w:eastAsia="zh-CN"/>
              </w:rPr>
            </w:pPr>
          </w:p>
          <w:p w14:paraId="14D85D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color w:val="auto"/>
                <w:sz w:val="24"/>
                <w:szCs w:val="22"/>
              </w:rPr>
            </w:pPr>
            <w:r>
              <w:rPr>
                <w:rFonts w:hint="eastAsia" w:ascii="Times New Roman" w:hAnsi="Times New Roman" w:eastAsia="黑体" w:cs="Times New Roman"/>
                <w:color w:val="auto"/>
                <w:sz w:val="24"/>
                <w:szCs w:val="22"/>
                <w:lang w:eastAsia="zh-CN"/>
              </w:rPr>
              <w:t>表</w:t>
            </w:r>
            <w:r>
              <w:rPr>
                <w:rFonts w:hint="eastAsia" w:ascii="Times New Roman" w:hAnsi="Times New Roman" w:eastAsia="黑体" w:cs="Times New Roman"/>
                <w:color w:val="auto"/>
                <w:sz w:val="24"/>
                <w:szCs w:val="22"/>
                <w:lang w:val="en-US" w:eastAsia="zh-CN"/>
              </w:rPr>
              <w:t xml:space="preserve">4.2-6  </w:t>
            </w:r>
            <w:r>
              <w:rPr>
                <w:rFonts w:hint="default" w:ascii="Times New Roman" w:hAnsi="Times New Roman" w:eastAsia="黑体" w:cs="Times New Roman"/>
                <w:color w:val="auto"/>
                <w:sz w:val="24"/>
                <w:szCs w:val="22"/>
              </w:rPr>
              <w:t>估算模型参数表</w:t>
            </w:r>
            <w:bookmarkEnd w:id="33"/>
          </w:p>
          <w:tbl>
            <w:tblPr>
              <w:tblStyle w:val="20"/>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196"/>
              <w:gridCol w:w="2888"/>
              <w:gridCol w:w="2856"/>
            </w:tblGrid>
            <w:tr w14:paraId="4858D11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5084" w:type="dxa"/>
                  <w:gridSpan w:val="2"/>
                  <w:noWrap w:val="0"/>
                  <w:vAlign w:val="center"/>
                </w:tcPr>
                <w:p w14:paraId="54C2BF4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b/>
                      <w:bCs/>
                      <w:color w:val="auto"/>
                      <w:sz w:val="21"/>
                      <w:szCs w:val="28"/>
                    </w:rPr>
                  </w:pPr>
                  <w:r>
                    <w:rPr>
                      <w:rFonts w:ascii="Times New Roman" w:hAnsi="Times New Roman"/>
                      <w:b/>
                      <w:bCs/>
                      <w:color w:val="auto"/>
                      <w:sz w:val="21"/>
                      <w:szCs w:val="28"/>
                    </w:rPr>
                    <w:t>参数</w:t>
                  </w:r>
                </w:p>
              </w:tc>
              <w:tc>
                <w:tcPr>
                  <w:tcW w:w="2856" w:type="dxa"/>
                  <w:noWrap w:val="0"/>
                  <w:vAlign w:val="center"/>
                </w:tcPr>
                <w:p w14:paraId="70E652A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b/>
                      <w:bCs/>
                      <w:color w:val="auto"/>
                      <w:sz w:val="21"/>
                      <w:szCs w:val="28"/>
                    </w:rPr>
                  </w:pPr>
                  <w:r>
                    <w:rPr>
                      <w:rFonts w:ascii="Times New Roman" w:hAnsi="Times New Roman"/>
                      <w:b/>
                      <w:bCs/>
                      <w:color w:val="auto"/>
                      <w:sz w:val="21"/>
                      <w:szCs w:val="28"/>
                    </w:rPr>
                    <w:t>取值</w:t>
                  </w:r>
                </w:p>
              </w:tc>
            </w:tr>
            <w:tr w14:paraId="240CE5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2196" w:type="dxa"/>
                  <w:vMerge w:val="restart"/>
                  <w:noWrap w:val="0"/>
                  <w:vAlign w:val="center"/>
                </w:tcPr>
                <w:p w14:paraId="35AD198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城市/农村选项</w:t>
                  </w:r>
                </w:p>
              </w:tc>
              <w:tc>
                <w:tcPr>
                  <w:tcW w:w="2888" w:type="dxa"/>
                  <w:noWrap w:val="0"/>
                  <w:vAlign w:val="center"/>
                </w:tcPr>
                <w:p w14:paraId="679BA4C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城市/农村</w:t>
                  </w:r>
                </w:p>
              </w:tc>
              <w:tc>
                <w:tcPr>
                  <w:tcW w:w="2856" w:type="dxa"/>
                  <w:noWrap w:val="0"/>
                  <w:vAlign w:val="center"/>
                </w:tcPr>
                <w:p w14:paraId="35AC6C4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olor w:val="auto"/>
                      <w:sz w:val="21"/>
                      <w:szCs w:val="28"/>
                      <w:lang w:eastAsia="zh-CN"/>
                    </w:rPr>
                  </w:pPr>
                  <w:r>
                    <w:rPr>
                      <w:rFonts w:hint="eastAsia" w:ascii="Times New Roman" w:hAnsi="Times New Roman"/>
                      <w:color w:val="auto"/>
                      <w:sz w:val="21"/>
                      <w:szCs w:val="28"/>
                      <w:lang w:eastAsia="zh-CN"/>
                    </w:rPr>
                    <w:t>农村</w:t>
                  </w:r>
                </w:p>
              </w:tc>
            </w:tr>
            <w:tr w14:paraId="7CDA5D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2196" w:type="dxa"/>
                  <w:vMerge w:val="continue"/>
                  <w:noWrap w:val="0"/>
                  <w:vAlign w:val="center"/>
                </w:tcPr>
                <w:p w14:paraId="71D72C9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p>
              </w:tc>
              <w:tc>
                <w:tcPr>
                  <w:tcW w:w="2888" w:type="dxa"/>
                  <w:noWrap w:val="0"/>
                  <w:vAlign w:val="center"/>
                </w:tcPr>
                <w:p w14:paraId="34FBC03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人口数（城市选项时）</w:t>
                  </w:r>
                </w:p>
              </w:tc>
              <w:tc>
                <w:tcPr>
                  <w:tcW w:w="2856" w:type="dxa"/>
                  <w:noWrap w:val="0"/>
                  <w:vAlign w:val="center"/>
                </w:tcPr>
                <w:p w14:paraId="0C57C11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hint="eastAsia" w:ascii="Times New Roman" w:hAnsi="Times New Roman"/>
                      <w:color w:val="auto"/>
                      <w:sz w:val="21"/>
                      <w:szCs w:val="28"/>
                      <w:lang w:val="en-US" w:eastAsia="zh-CN"/>
                    </w:rPr>
                    <w:t>/</w:t>
                  </w:r>
                </w:p>
              </w:tc>
            </w:tr>
            <w:tr w14:paraId="170FED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5084" w:type="dxa"/>
                  <w:gridSpan w:val="2"/>
                  <w:noWrap w:val="0"/>
                  <w:vAlign w:val="center"/>
                </w:tcPr>
                <w:p w14:paraId="5582A24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最高环境温度/℃</w:t>
                  </w:r>
                </w:p>
              </w:tc>
              <w:tc>
                <w:tcPr>
                  <w:tcW w:w="2856" w:type="dxa"/>
                  <w:noWrap w:val="0"/>
                  <w:vAlign w:val="center"/>
                </w:tcPr>
                <w:p w14:paraId="53B6591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olor w:val="auto"/>
                      <w:sz w:val="21"/>
                      <w:szCs w:val="28"/>
                      <w:lang w:val="en-US" w:eastAsia="zh-CN"/>
                    </w:rPr>
                  </w:pPr>
                  <w:r>
                    <w:rPr>
                      <w:rFonts w:hint="eastAsia" w:ascii="Times New Roman" w:hAnsi="Times New Roman"/>
                      <w:color w:val="auto"/>
                      <w:sz w:val="21"/>
                      <w:szCs w:val="28"/>
                      <w:lang w:val="en-US" w:eastAsia="zh-CN"/>
                    </w:rPr>
                    <w:t>38.5</w:t>
                  </w:r>
                </w:p>
              </w:tc>
            </w:tr>
            <w:tr w14:paraId="1415C4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5084" w:type="dxa"/>
                  <w:gridSpan w:val="2"/>
                  <w:noWrap w:val="0"/>
                  <w:vAlign w:val="center"/>
                </w:tcPr>
                <w:p w14:paraId="08553B9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最低环境温度/℃</w:t>
                  </w:r>
                </w:p>
              </w:tc>
              <w:tc>
                <w:tcPr>
                  <w:tcW w:w="2856" w:type="dxa"/>
                  <w:noWrap w:val="0"/>
                  <w:vAlign w:val="center"/>
                </w:tcPr>
                <w:p w14:paraId="1504FA7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olor w:val="auto"/>
                      <w:sz w:val="21"/>
                      <w:szCs w:val="28"/>
                      <w:lang w:val="en-US" w:eastAsia="zh-CN"/>
                    </w:rPr>
                  </w:pPr>
                  <w:r>
                    <w:rPr>
                      <w:rFonts w:ascii="Times New Roman" w:hAnsi="Times New Roman"/>
                      <w:color w:val="auto"/>
                      <w:sz w:val="21"/>
                      <w:szCs w:val="28"/>
                    </w:rPr>
                    <w:t>-</w:t>
                  </w:r>
                  <w:r>
                    <w:rPr>
                      <w:rFonts w:hint="eastAsia" w:ascii="Times New Roman" w:hAnsi="Times New Roman"/>
                      <w:color w:val="auto"/>
                      <w:sz w:val="21"/>
                      <w:szCs w:val="28"/>
                      <w:lang w:val="en-US" w:eastAsia="zh-CN"/>
                    </w:rPr>
                    <w:t>1.8</w:t>
                  </w:r>
                </w:p>
              </w:tc>
            </w:tr>
            <w:tr w14:paraId="73E4C6E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5084" w:type="dxa"/>
                  <w:gridSpan w:val="2"/>
                  <w:noWrap w:val="0"/>
                  <w:vAlign w:val="center"/>
                </w:tcPr>
                <w:p w14:paraId="49E068F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允许使用的最小风速/m/s</w:t>
                  </w:r>
                </w:p>
              </w:tc>
              <w:tc>
                <w:tcPr>
                  <w:tcW w:w="2856" w:type="dxa"/>
                  <w:noWrap w:val="0"/>
                  <w:vAlign w:val="center"/>
                </w:tcPr>
                <w:p w14:paraId="0447FA1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0.50</w:t>
                  </w:r>
                </w:p>
              </w:tc>
            </w:tr>
            <w:tr w14:paraId="10EFE3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5084" w:type="dxa"/>
                  <w:gridSpan w:val="2"/>
                  <w:noWrap w:val="0"/>
                  <w:vAlign w:val="center"/>
                </w:tcPr>
                <w:p w14:paraId="7D94D2C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土地利用类型</w:t>
                  </w:r>
                </w:p>
              </w:tc>
              <w:tc>
                <w:tcPr>
                  <w:tcW w:w="2856" w:type="dxa"/>
                  <w:noWrap w:val="0"/>
                  <w:vAlign w:val="center"/>
                </w:tcPr>
                <w:p w14:paraId="03DD017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olor w:val="auto"/>
                      <w:sz w:val="21"/>
                      <w:szCs w:val="28"/>
                      <w:lang w:val="en-US" w:eastAsia="zh-CN"/>
                    </w:rPr>
                  </w:pPr>
                  <w:r>
                    <w:rPr>
                      <w:rFonts w:hint="eastAsia" w:ascii="Times New Roman" w:hAnsi="Times New Roman" w:eastAsia="宋体"/>
                      <w:color w:val="auto"/>
                      <w:sz w:val="21"/>
                      <w:szCs w:val="28"/>
                      <w:lang w:val="en-US" w:eastAsia="zh-CN"/>
                    </w:rPr>
                    <w:t>城市</w:t>
                  </w:r>
                </w:p>
              </w:tc>
            </w:tr>
            <w:tr w14:paraId="700972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5084" w:type="dxa"/>
                  <w:gridSpan w:val="2"/>
                  <w:noWrap w:val="0"/>
                  <w:vAlign w:val="center"/>
                </w:tcPr>
                <w:p w14:paraId="1B8D7E0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区域湿度条件</w:t>
                  </w:r>
                </w:p>
              </w:tc>
              <w:tc>
                <w:tcPr>
                  <w:tcW w:w="2856" w:type="dxa"/>
                  <w:noWrap w:val="0"/>
                  <w:vAlign w:val="center"/>
                </w:tcPr>
                <w:p w14:paraId="1497404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潮湿气候</w:t>
                  </w:r>
                </w:p>
              </w:tc>
            </w:tr>
            <w:tr w14:paraId="5B8F81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2196" w:type="dxa"/>
                  <w:vMerge w:val="restart"/>
                  <w:noWrap w:val="0"/>
                  <w:vAlign w:val="center"/>
                </w:tcPr>
                <w:p w14:paraId="4E01400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是否考虑地形</w:t>
                  </w:r>
                </w:p>
              </w:tc>
              <w:tc>
                <w:tcPr>
                  <w:tcW w:w="2888" w:type="dxa"/>
                  <w:noWrap w:val="0"/>
                  <w:vAlign w:val="center"/>
                </w:tcPr>
                <w:p w14:paraId="09B7566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考虑地形</w:t>
                  </w:r>
                </w:p>
              </w:tc>
              <w:tc>
                <w:tcPr>
                  <w:tcW w:w="2856" w:type="dxa"/>
                  <w:noWrap w:val="0"/>
                  <w:vAlign w:val="center"/>
                </w:tcPr>
                <w:p w14:paraId="67358CB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 xml:space="preserve">□是  </w:t>
                  </w:r>
                  <w:r>
                    <w:rPr>
                      <w:rFonts w:ascii="Times New Roman" w:hAnsi="Times New Roman"/>
                      <w:color w:val="auto"/>
                      <w:sz w:val="21"/>
                      <w:szCs w:val="28"/>
                    </w:rPr>
                    <w:sym w:font="Wingdings 2" w:char="0052"/>
                  </w:r>
                  <w:r>
                    <w:rPr>
                      <w:rFonts w:ascii="Times New Roman" w:hAnsi="Times New Roman"/>
                      <w:color w:val="auto"/>
                      <w:sz w:val="21"/>
                      <w:szCs w:val="28"/>
                    </w:rPr>
                    <w:t>否</w:t>
                  </w:r>
                </w:p>
              </w:tc>
            </w:tr>
            <w:tr w14:paraId="318444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2196" w:type="dxa"/>
                  <w:vMerge w:val="continue"/>
                  <w:noWrap w:val="0"/>
                  <w:vAlign w:val="center"/>
                </w:tcPr>
                <w:p w14:paraId="256C2BC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p>
              </w:tc>
              <w:tc>
                <w:tcPr>
                  <w:tcW w:w="2888" w:type="dxa"/>
                  <w:noWrap w:val="0"/>
                  <w:vAlign w:val="center"/>
                </w:tcPr>
                <w:p w14:paraId="6042EA6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地形数据分辨率/m</w:t>
                  </w:r>
                </w:p>
              </w:tc>
              <w:tc>
                <w:tcPr>
                  <w:tcW w:w="2856" w:type="dxa"/>
                  <w:noWrap w:val="0"/>
                  <w:vAlign w:val="center"/>
                </w:tcPr>
                <w:p w14:paraId="32DDCCE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w:t>
                  </w:r>
                </w:p>
              </w:tc>
            </w:tr>
            <w:tr w14:paraId="204C89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2196" w:type="dxa"/>
                  <w:vMerge w:val="restart"/>
                  <w:noWrap w:val="0"/>
                  <w:vAlign w:val="center"/>
                </w:tcPr>
                <w:p w14:paraId="1B74AC6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是否考虑海岸线熏烟</w:t>
                  </w:r>
                </w:p>
              </w:tc>
              <w:tc>
                <w:tcPr>
                  <w:tcW w:w="2888" w:type="dxa"/>
                  <w:noWrap w:val="0"/>
                  <w:vAlign w:val="center"/>
                </w:tcPr>
                <w:p w14:paraId="6342719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考虑岸边熏烟</w:t>
                  </w:r>
                </w:p>
              </w:tc>
              <w:tc>
                <w:tcPr>
                  <w:tcW w:w="2856" w:type="dxa"/>
                  <w:noWrap w:val="0"/>
                  <w:vAlign w:val="center"/>
                </w:tcPr>
                <w:p w14:paraId="1FB133E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 xml:space="preserve">□是    </w:t>
                  </w:r>
                  <w:r>
                    <w:rPr>
                      <w:rFonts w:ascii="Times New Roman" w:hAnsi="Times New Roman"/>
                      <w:color w:val="auto"/>
                      <w:sz w:val="21"/>
                      <w:szCs w:val="28"/>
                    </w:rPr>
                    <w:sym w:font="Wingdings 2" w:char="0052"/>
                  </w:r>
                  <w:r>
                    <w:rPr>
                      <w:rFonts w:ascii="Times New Roman" w:hAnsi="Times New Roman"/>
                      <w:color w:val="auto"/>
                      <w:sz w:val="21"/>
                      <w:szCs w:val="28"/>
                    </w:rPr>
                    <w:t>否</w:t>
                  </w:r>
                </w:p>
              </w:tc>
            </w:tr>
            <w:tr w14:paraId="4E970F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2196" w:type="dxa"/>
                  <w:vMerge w:val="continue"/>
                  <w:noWrap w:val="0"/>
                  <w:vAlign w:val="center"/>
                </w:tcPr>
                <w:p w14:paraId="0223CE4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p>
              </w:tc>
              <w:tc>
                <w:tcPr>
                  <w:tcW w:w="2888" w:type="dxa"/>
                  <w:noWrap w:val="0"/>
                  <w:vAlign w:val="center"/>
                </w:tcPr>
                <w:p w14:paraId="6207DD2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海岸线距离/m</w:t>
                  </w:r>
                </w:p>
              </w:tc>
              <w:tc>
                <w:tcPr>
                  <w:tcW w:w="2856" w:type="dxa"/>
                  <w:noWrap w:val="0"/>
                  <w:vAlign w:val="center"/>
                </w:tcPr>
                <w:p w14:paraId="1814D67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w:t>
                  </w:r>
                </w:p>
              </w:tc>
            </w:tr>
            <w:tr w14:paraId="6EE787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97" w:hRule="atLeast"/>
                <w:jc w:val="center"/>
              </w:trPr>
              <w:tc>
                <w:tcPr>
                  <w:tcW w:w="2196" w:type="dxa"/>
                  <w:vMerge w:val="continue"/>
                  <w:noWrap w:val="0"/>
                  <w:vAlign w:val="center"/>
                </w:tcPr>
                <w:p w14:paraId="6575812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p>
              </w:tc>
              <w:tc>
                <w:tcPr>
                  <w:tcW w:w="2888" w:type="dxa"/>
                  <w:noWrap w:val="0"/>
                  <w:vAlign w:val="center"/>
                </w:tcPr>
                <w:p w14:paraId="62B1CD5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海岸线方向/°</w:t>
                  </w:r>
                </w:p>
              </w:tc>
              <w:tc>
                <w:tcPr>
                  <w:tcW w:w="2856" w:type="dxa"/>
                  <w:noWrap w:val="0"/>
                  <w:vAlign w:val="center"/>
                </w:tcPr>
                <w:p w14:paraId="00272FF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8"/>
                    </w:rPr>
                  </w:pPr>
                  <w:r>
                    <w:rPr>
                      <w:rFonts w:ascii="Times New Roman" w:hAnsi="Times New Roman"/>
                      <w:color w:val="auto"/>
                      <w:sz w:val="21"/>
                      <w:szCs w:val="28"/>
                    </w:rPr>
                    <w:t>/</w:t>
                  </w:r>
                </w:p>
              </w:tc>
            </w:tr>
          </w:tbl>
          <w:p w14:paraId="04CA6D73">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（4）敏感点废气影响分析</w:t>
            </w:r>
          </w:p>
          <w:p w14:paraId="3F350D8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0"/>
                <w:lang w:eastAsia="zh-CN"/>
              </w:rPr>
            </w:pPr>
            <w:r>
              <w:rPr>
                <w:rFonts w:hint="eastAsia" w:ascii="Times New Roman" w:hAnsi="Times New Roman" w:eastAsia="宋体" w:cs="Times New Roman"/>
                <w:color w:val="auto"/>
                <w:kern w:val="0"/>
                <w:sz w:val="24"/>
                <w:szCs w:val="20"/>
                <w:lang w:eastAsia="zh-CN"/>
              </w:rPr>
              <w:t>项目合理厂区布置，对靠近</w:t>
            </w:r>
            <w:r>
              <w:rPr>
                <w:rFonts w:hint="eastAsia" w:ascii="Times New Roman" w:hAnsi="Times New Roman" w:eastAsia="宋体" w:cs="Times New Roman"/>
                <w:color w:val="auto"/>
                <w:kern w:val="0"/>
                <w:sz w:val="24"/>
                <w:szCs w:val="20"/>
                <w:lang w:val="en-US" w:eastAsia="zh-CN"/>
              </w:rPr>
              <w:t>居民区</w:t>
            </w:r>
            <w:r>
              <w:rPr>
                <w:rFonts w:hint="eastAsia" w:ascii="Times New Roman" w:hAnsi="Times New Roman" w:eastAsia="宋体" w:cs="Times New Roman"/>
                <w:color w:val="auto"/>
                <w:kern w:val="0"/>
                <w:sz w:val="24"/>
                <w:szCs w:val="20"/>
                <w:lang w:eastAsia="zh-CN"/>
              </w:rPr>
              <w:t>的</w:t>
            </w:r>
            <w:r>
              <w:rPr>
                <w:rFonts w:hint="eastAsia" w:ascii="Times New Roman" w:hAnsi="Times New Roman" w:eastAsia="宋体" w:cs="Times New Roman"/>
                <w:color w:val="auto"/>
                <w:kern w:val="0"/>
                <w:sz w:val="24"/>
                <w:szCs w:val="20"/>
                <w:lang w:val="en-US" w:eastAsia="zh-CN"/>
              </w:rPr>
              <w:t>厂区</w:t>
            </w:r>
            <w:r>
              <w:rPr>
                <w:rFonts w:hint="eastAsia" w:ascii="Times New Roman" w:hAnsi="Times New Roman" w:eastAsia="宋体" w:cs="Times New Roman"/>
                <w:color w:val="auto"/>
                <w:kern w:val="0"/>
                <w:sz w:val="24"/>
                <w:szCs w:val="20"/>
                <w:lang w:eastAsia="zh-CN"/>
              </w:rPr>
              <w:t>西侧、北侧布设生活区及仓库区，</w:t>
            </w:r>
            <w:r>
              <w:rPr>
                <w:rFonts w:hint="eastAsia" w:ascii="Times New Roman" w:hAnsi="Times New Roman" w:eastAsia="宋体" w:cs="Times New Roman"/>
                <w:color w:val="auto"/>
                <w:kern w:val="0"/>
                <w:sz w:val="24"/>
                <w:szCs w:val="20"/>
                <w:lang w:val="en-US" w:eastAsia="zh-CN"/>
              </w:rPr>
              <w:t>布局</w:t>
            </w:r>
            <w:r>
              <w:rPr>
                <w:rFonts w:hint="eastAsia" w:ascii="Times New Roman" w:hAnsi="Times New Roman" w:eastAsia="宋体" w:cs="Times New Roman"/>
                <w:color w:val="auto"/>
                <w:kern w:val="0"/>
                <w:sz w:val="24"/>
                <w:szCs w:val="20"/>
                <w:lang w:eastAsia="zh-CN"/>
              </w:rPr>
              <w:t>废气产生点距离</w:t>
            </w:r>
            <w:r>
              <w:rPr>
                <w:rFonts w:hint="eastAsia" w:ascii="Times New Roman" w:hAnsi="Times New Roman" w:eastAsia="宋体" w:cs="Times New Roman"/>
                <w:color w:val="auto"/>
                <w:kern w:val="0"/>
                <w:sz w:val="24"/>
                <w:szCs w:val="20"/>
                <w:lang w:val="en-US" w:eastAsia="zh-CN"/>
              </w:rPr>
              <w:t>最近</w:t>
            </w:r>
            <w:r>
              <w:rPr>
                <w:rFonts w:hint="eastAsia" w:ascii="Times New Roman" w:hAnsi="Times New Roman" w:eastAsia="宋体" w:cs="Times New Roman"/>
                <w:color w:val="auto"/>
                <w:kern w:val="0"/>
                <w:sz w:val="24"/>
                <w:szCs w:val="20"/>
                <w:lang w:eastAsia="zh-CN"/>
              </w:rPr>
              <w:t>居民区大于</w:t>
            </w:r>
            <w:r>
              <w:rPr>
                <w:rFonts w:hint="eastAsia" w:ascii="Times New Roman" w:hAnsi="Times New Roman" w:eastAsia="宋体" w:cs="Times New Roman"/>
                <w:color w:val="auto"/>
                <w:kern w:val="0"/>
                <w:sz w:val="24"/>
                <w:szCs w:val="20"/>
                <w:lang w:val="en-US" w:eastAsia="zh-CN"/>
              </w:rPr>
              <w:t>50m</w:t>
            </w:r>
            <w:r>
              <w:rPr>
                <w:rFonts w:hint="eastAsia" w:ascii="Times New Roman" w:hAnsi="Times New Roman" w:eastAsia="宋体" w:cs="Times New Roman"/>
                <w:color w:val="auto"/>
                <w:kern w:val="0"/>
                <w:sz w:val="24"/>
                <w:szCs w:val="20"/>
                <w:lang w:eastAsia="zh-CN"/>
              </w:rPr>
              <w:t>，减少对</w:t>
            </w:r>
            <w:r>
              <w:rPr>
                <w:rFonts w:hint="eastAsia" w:ascii="Times New Roman" w:hAnsi="Times New Roman" w:eastAsia="宋体" w:cs="Times New Roman"/>
                <w:color w:val="auto"/>
                <w:kern w:val="0"/>
                <w:sz w:val="24"/>
                <w:szCs w:val="20"/>
                <w:lang w:val="en-US" w:eastAsia="zh-CN"/>
              </w:rPr>
              <w:t>周边居民区</w:t>
            </w:r>
            <w:r>
              <w:rPr>
                <w:rFonts w:hint="eastAsia" w:ascii="Times New Roman" w:hAnsi="Times New Roman" w:eastAsia="宋体" w:cs="Times New Roman"/>
                <w:color w:val="auto"/>
                <w:kern w:val="0"/>
                <w:sz w:val="24"/>
                <w:szCs w:val="20"/>
                <w:lang w:eastAsia="zh-CN"/>
              </w:rPr>
              <w:t>的大气环境影响。</w:t>
            </w:r>
            <w:r>
              <w:rPr>
                <w:rFonts w:hint="eastAsia" w:ascii="Times New Roman" w:hAnsi="Times New Roman" w:eastAsia="宋体" w:cs="Times New Roman"/>
                <w:color w:val="auto"/>
                <w:kern w:val="0"/>
                <w:sz w:val="24"/>
                <w:lang w:val="en-US" w:eastAsia="zh-CN" w:bidi="ar"/>
              </w:rPr>
              <w:t>为了解本项目建设对项目周边敏感点的影响，现对其进行影响预测</w:t>
            </w:r>
            <w:r>
              <w:rPr>
                <w:rFonts w:hint="eastAsia" w:ascii="Times New Roman" w:hAnsi="Times New Roman" w:eastAsia="宋体" w:cs="Times New Roman"/>
                <w:color w:val="auto"/>
                <w:kern w:val="0"/>
                <w:sz w:val="24"/>
                <w:szCs w:val="20"/>
                <w:lang w:eastAsia="zh-CN"/>
              </w:rPr>
              <w:t>，经预测，各污染源落地浓度叠加后对</w:t>
            </w:r>
            <w:r>
              <w:rPr>
                <w:rFonts w:hint="eastAsia" w:ascii="Times New Roman" w:hAnsi="Times New Roman" w:eastAsia="宋体" w:cs="Times New Roman"/>
                <w:color w:val="auto"/>
                <w:kern w:val="0"/>
                <w:sz w:val="24"/>
                <w:szCs w:val="20"/>
                <w:lang w:val="en-US" w:eastAsia="zh-CN"/>
              </w:rPr>
              <w:t>山前村、港西村</w:t>
            </w:r>
            <w:r>
              <w:rPr>
                <w:rFonts w:hint="eastAsia" w:ascii="Times New Roman" w:hAnsi="Times New Roman" w:eastAsia="宋体" w:cs="Times New Roman"/>
                <w:color w:val="auto"/>
                <w:kern w:val="0"/>
                <w:sz w:val="24"/>
                <w:szCs w:val="20"/>
                <w:lang w:eastAsia="zh-CN"/>
              </w:rPr>
              <w:t>的贡献值小。</w:t>
            </w:r>
          </w:p>
          <w:p w14:paraId="14299FB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kern w:val="0"/>
                <w:sz w:val="24"/>
                <w:szCs w:val="20"/>
                <w:lang w:val="en-US" w:eastAsia="zh-CN"/>
              </w:rPr>
            </w:pPr>
            <w:r>
              <w:rPr>
                <w:rFonts w:hint="eastAsia" w:ascii="Times New Roman" w:hAnsi="Times New Roman" w:eastAsia="宋体" w:cs="Times New Roman"/>
                <w:color w:val="auto"/>
                <w:kern w:val="0"/>
                <w:sz w:val="24"/>
                <w:szCs w:val="20"/>
                <w:lang w:val="en-US" w:eastAsia="zh-CN"/>
              </w:rPr>
              <w:t>同时，本评价叠加项目区域山前村TSP现状监测结果最大值0.121mg/m</w:t>
            </w:r>
            <w:r>
              <w:rPr>
                <w:rFonts w:hint="eastAsia" w:ascii="Times New Roman" w:hAnsi="Times New Roman" w:eastAsia="宋体" w:cs="Times New Roman"/>
                <w:color w:val="auto"/>
                <w:kern w:val="0"/>
                <w:sz w:val="24"/>
                <w:szCs w:val="20"/>
                <w:vertAlign w:val="superscript"/>
                <w:lang w:val="en-US" w:eastAsia="zh-CN"/>
              </w:rPr>
              <w:t>3</w:t>
            </w:r>
            <w:r>
              <w:rPr>
                <w:rFonts w:hint="eastAsia" w:ascii="Times New Roman" w:hAnsi="Times New Roman" w:eastAsia="宋体" w:cs="Times New Roman"/>
                <w:color w:val="auto"/>
                <w:kern w:val="0"/>
                <w:sz w:val="24"/>
                <w:szCs w:val="20"/>
                <w:lang w:val="en-US" w:eastAsia="zh-CN"/>
              </w:rPr>
              <w:t>（监测数据详见表3.1-2），经叠加项目污染源贡献值后，山前村（西）颗粒物预测浓度值为0.193mg/m</w:t>
            </w:r>
            <w:r>
              <w:rPr>
                <w:rFonts w:hint="eastAsia" w:ascii="Times New Roman" w:hAnsi="Times New Roman" w:eastAsia="宋体" w:cs="Times New Roman"/>
                <w:color w:val="auto"/>
                <w:kern w:val="0"/>
                <w:sz w:val="24"/>
                <w:szCs w:val="20"/>
                <w:vertAlign w:val="superscript"/>
                <w:lang w:val="en-US" w:eastAsia="zh-CN"/>
              </w:rPr>
              <w:t>3</w:t>
            </w:r>
            <w:r>
              <w:rPr>
                <w:rFonts w:hint="eastAsia" w:ascii="Times New Roman" w:hAnsi="Times New Roman" w:eastAsia="宋体" w:cs="Times New Roman"/>
                <w:color w:val="auto"/>
                <w:kern w:val="0"/>
                <w:sz w:val="24"/>
                <w:szCs w:val="20"/>
                <w:lang w:val="en-US" w:eastAsia="zh-CN"/>
              </w:rPr>
              <w:t>，山前村（北）颗粒物预测浓度值为0.181mg/m</w:t>
            </w:r>
            <w:r>
              <w:rPr>
                <w:rFonts w:hint="eastAsia" w:ascii="Times New Roman" w:hAnsi="Times New Roman" w:eastAsia="宋体" w:cs="Times New Roman"/>
                <w:color w:val="auto"/>
                <w:kern w:val="0"/>
                <w:sz w:val="24"/>
                <w:szCs w:val="20"/>
                <w:vertAlign w:val="superscript"/>
                <w:lang w:val="en-US" w:eastAsia="zh-CN"/>
              </w:rPr>
              <w:t>3</w:t>
            </w:r>
            <w:r>
              <w:rPr>
                <w:rFonts w:hint="eastAsia" w:ascii="Times New Roman" w:hAnsi="Times New Roman" w:eastAsia="宋体" w:cs="Times New Roman"/>
                <w:color w:val="auto"/>
                <w:kern w:val="0"/>
                <w:sz w:val="24"/>
                <w:szCs w:val="20"/>
                <w:lang w:val="en-US" w:eastAsia="zh-CN"/>
              </w:rPr>
              <w:t>，均可达到《环境空气质量标准》（GB3095-2012）中规定的二级标准（≤0.3mg/m</w:t>
            </w:r>
            <w:r>
              <w:rPr>
                <w:rFonts w:hint="eastAsia" w:ascii="Times New Roman" w:hAnsi="Times New Roman" w:eastAsia="宋体" w:cs="Times New Roman"/>
                <w:color w:val="auto"/>
                <w:kern w:val="0"/>
                <w:sz w:val="24"/>
                <w:szCs w:val="20"/>
                <w:vertAlign w:val="superscript"/>
                <w:lang w:val="en-US" w:eastAsia="zh-CN"/>
              </w:rPr>
              <w:t>3</w:t>
            </w:r>
            <w:r>
              <w:rPr>
                <w:rFonts w:hint="eastAsia" w:ascii="Times New Roman" w:hAnsi="Times New Roman" w:eastAsia="宋体" w:cs="Times New Roman"/>
                <w:color w:val="auto"/>
                <w:kern w:val="0"/>
                <w:sz w:val="24"/>
                <w:szCs w:val="20"/>
                <w:lang w:val="en-US" w:eastAsia="zh-CN"/>
              </w:rPr>
              <w:t>）。</w:t>
            </w:r>
          </w:p>
          <w:p w14:paraId="2D346E00">
            <w:pPr>
              <w:pStyle w:val="5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黑体" w:cs="黑体"/>
                <w:b w:val="0"/>
                <w:bCs/>
                <w:color w:val="auto"/>
                <w:lang w:eastAsia="zh-CN"/>
              </w:rPr>
            </w:pPr>
            <w:r>
              <w:rPr>
                <w:rFonts w:hint="eastAsia" w:ascii="Times New Roman" w:hAnsi="Times New Roman" w:eastAsia="黑体" w:cs="黑体"/>
                <w:b w:val="0"/>
                <w:bCs/>
                <w:color w:val="auto"/>
                <w:lang w:eastAsia="zh-CN"/>
              </w:rPr>
              <w:t>表</w:t>
            </w:r>
            <w:r>
              <w:rPr>
                <w:rFonts w:hint="eastAsia" w:ascii="Times New Roman" w:hAnsi="Times New Roman" w:eastAsia="黑体" w:cs="黑体"/>
                <w:b w:val="0"/>
                <w:bCs/>
                <w:color w:val="auto"/>
                <w:lang w:val="en-US" w:eastAsia="zh-CN"/>
              </w:rPr>
              <w:t xml:space="preserve">4.2-7 </w:t>
            </w:r>
            <w:r>
              <w:rPr>
                <w:rFonts w:hint="eastAsia" w:ascii="Times New Roman" w:hAnsi="Times New Roman" w:eastAsia="黑体" w:cs="黑体"/>
                <w:b w:val="0"/>
                <w:bCs/>
                <w:color w:val="auto"/>
                <w:lang w:eastAsia="zh-CN"/>
              </w:rPr>
              <w:t>敏感点预测分析</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867"/>
              <w:gridCol w:w="1260"/>
              <w:gridCol w:w="1055"/>
              <w:gridCol w:w="1219"/>
              <w:gridCol w:w="1219"/>
              <w:gridCol w:w="767"/>
              <w:gridCol w:w="651"/>
            </w:tblGrid>
            <w:tr w14:paraId="20AE1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noWrap w:val="0"/>
                  <w:vAlign w:val="center"/>
                </w:tcPr>
                <w:p w14:paraId="30DB57CC">
                  <w:pPr>
                    <w:pStyle w:val="52"/>
                    <w:rPr>
                      <w:rFonts w:ascii="Times New Roman" w:hAnsi="Times New Roman"/>
                      <w:b/>
                      <w:bCs/>
                      <w:color w:val="auto"/>
                    </w:rPr>
                  </w:pPr>
                  <w:r>
                    <w:rPr>
                      <w:rFonts w:hint="eastAsia" w:ascii="Times New Roman" w:hAnsi="Times New Roman"/>
                      <w:b/>
                      <w:bCs/>
                      <w:color w:val="auto"/>
                    </w:rPr>
                    <w:t>敏感点名称</w:t>
                  </w:r>
                </w:p>
              </w:tc>
              <w:tc>
                <w:tcPr>
                  <w:tcW w:w="547" w:type="pct"/>
                  <w:noWrap w:val="0"/>
                  <w:vAlign w:val="center"/>
                </w:tcPr>
                <w:p w14:paraId="76E73FEB">
                  <w:pPr>
                    <w:pStyle w:val="52"/>
                    <w:rPr>
                      <w:rFonts w:ascii="Times New Roman" w:hAnsi="Times New Roman"/>
                      <w:b/>
                      <w:bCs/>
                      <w:color w:val="auto"/>
                    </w:rPr>
                  </w:pPr>
                  <w:r>
                    <w:rPr>
                      <w:rFonts w:hint="eastAsia" w:ascii="Times New Roman" w:hAnsi="Times New Roman"/>
                      <w:b/>
                      <w:bCs/>
                      <w:color w:val="auto"/>
                    </w:rPr>
                    <w:t>污染物名称</w:t>
                  </w:r>
                </w:p>
              </w:tc>
              <w:tc>
                <w:tcPr>
                  <w:tcW w:w="1459" w:type="pct"/>
                  <w:gridSpan w:val="2"/>
                  <w:noWrap w:val="0"/>
                  <w:vAlign w:val="center"/>
                </w:tcPr>
                <w:p w14:paraId="0E3CF577">
                  <w:pPr>
                    <w:pStyle w:val="52"/>
                    <w:rPr>
                      <w:rFonts w:ascii="Times New Roman" w:hAnsi="Times New Roman"/>
                      <w:b/>
                      <w:bCs/>
                      <w:color w:val="auto"/>
                    </w:rPr>
                  </w:pPr>
                  <w:r>
                    <w:rPr>
                      <w:rFonts w:hint="eastAsia" w:ascii="Times New Roman" w:hAnsi="Times New Roman"/>
                      <w:b/>
                      <w:bCs/>
                      <w:color w:val="auto"/>
                    </w:rPr>
                    <w:t>污染源落地浓度</w:t>
                  </w:r>
                  <w:r>
                    <w:rPr>
                      <w:rFonts w:ascii="Times New Roman" w:hAnsi="Times New Roman"/>
                      <w:b/>
                      <w:bCs/>
                      <w:color w:val="auto"/>
                    </w:rPr>
                    <w:t>（</w:t>
                  </w:r>
                  <w:r>
                    <w:rPr>
                      <w:rFonts w:hint="eastAsia" w:ascii="Times New Roman" w:hAnsi="Times New Roman"/>
                      <w:b/>
                      <w:bCs/>
                      <w:color w:val="auto"/>
                      <w:lang w:val="en-US" w:eastAsia="zh-CN"/>
                    </w:rPr>
                    <w:t>m</w:t>
                  </w:r>
                  <w:r>
                    <w:rPr>
                      <w:rFonts w:ascii="Times New Roman" w:hAnsi="Times New Roman"/>
                      <w:b/>
                      <w:bCs/>
                      <w:color w:val="auto"/>
                    </w:rPr>
                    <w:t>g/</w:t>
                  </w:r>
                  <w:r>
                    <w:rPr>
                      <w:rFonts w:ascii="Times New Roman" w:hAnsi="Times New Roman"/>
                      <w:b/>
                      <w:bCs/>
                      <w:color w:val="auto"/>
                      <w:szCs w:val="24"/>
                    </w:rPr>
                    <w:t>m</w:t>
                  </w:r>
                  <w:r>
                    <w:rPr>
                      <w:rFonts w:ascii="Times New Roman" w:hAnsi="Times New Roman"/>
                      <w:b/>
                      <w:bCs/>
                      <w:color w:val="auto"/>
                      <w:szCs w:val="24"/>
                      <w:vertAlign w:val="superscript"/>
                    </w:rPr>
                    <w:t>3</w:t>
                  </w:r>
                  <w:r>
                    <w:rPr>
                      <w:rFonts w:ascii="Times New Roman" w:hAnsi="Times New Roman"/>
                      <w:b/>
                      <w:bCs/>
                      <w:color w:val="auto"/>
                    </w:rPr>
                    <w:t>）</w:t>
                  </w:r>
                </w:p>
              </w:tc>
              <w:tc>
                <w:tcPr>
                  <w:tcW w:w="767" w:type="pct"/>
                  <w:noWrap w:val="0"/>
                  <w:vAlign w:val="center"/>
                </w:tcPr>
                <w:p w14:paraId="44E01389">
                  <w:pPr>
                    <w:pStyle w:val="52"/>
                    <w:rPr>
                      <w:rFonts w:hint="eastAsia" w:ascii="Times New Roman" w:hAnsi="Times New Roman"/>
                      <w:b/>
                      <w:bCs/>
                      <w:color w:val="auto"/>
                    </w:rPr>
                  </w:pPr>
                  <w:r>
                    <w:rPr>
                      <w:rFonts w:hint="eastAsia" w:ascii="Times New Roman" w:hAnsi="Times New Roman"/>
                      <w:b/>
                      <w:bCs/>
                      <w:color w:val="auto"/>
                    </w:rPr>
                    <w:t>污染源叠加后落地浓度</w:t>
                  </w:r>
                  <w:r>
                    <w:rPr>
                      <w:rFonts w:ascii="Times New Roman" w:hAnsi="Times New Roman"/>
                      <w:b/>
                      <w:bCs/>
                      <w:color w:val="auto"/>
                    </w:rPr>
                    <w:t>（</w:t>
                  </w:r>
                  <w:r>
                    <w:rPr>
                      <w:rFonts w:hint="eastAsia" w:ascii="Times New Roman" w:hAnsi="Times New Roman"/>
                      <w:b/>
                      <w:bCs/>
                      <w:color w:val="auto"/>
                      <w:lang w:val="en-US" w:eastAsia="zh-CN"/>
                    </w:rPr>
                    <w:t>m</w:t>
                  </w:r>
                  <w:r>
                    <w:rPr>
                      <w:rFonts w:ascii="Times New Roman" w:hAnsi="Times New Roman"/>
                      <w:b/>
                      <w:bCs/>
                      <w:color w:val="auto"/>
                    </w:rPr>
                    <w:t>g/</w:t>
                  </w:r>
                  <w:r>
                    <w:rPr>
                      <w:rFonts w:ascii="Times New Roman" w:hAnsi="Times New Roman"/>
                      <w:b/>
                      <w:bCs/>
                      <w:color w:val="auto"/>
                      <w:szCs w:val="24"/>
                    </w:rPr>
                    <w:t>m</w:t>
                  </w:r>
                  <w:r>
                    <w:rPr>
                      <w:rFonts w:ascii="Times New Roman" w:hAnsi="Times New Roman"/>
                      <w:b/>
                      <w:bCs/>
                      <w:color w:val="auto"/>
                      <w:szCs w:val="24"/>
                      <w:vertAlign w:val="superscript"/>
                    </w:rPr>
                    <w:t>3</w:t>
                  </w:r>
                  <w:r>
                    <w:rPr>
                      <w:rFonts w:ascii="Times New Roman" w:hAnsi="Times New Roman"/>
                      <w:b/>
                      <w:bCs/>
                      <w:color w:val="auto"/>
                    </w:rPr>
                    <w:t>）</w:t>
                  </w:r>
                </w:p>
              </w:tc>
              <w:tc>
                <w:tcPr>
                  <w:tcW w:w="759" w:type="pct"/>
                  <w:noWrap w:val="0"/>
                  <w:vAlign w:val="center"/>
                </w:tcPr>
                <w:p w14:paraId="5D8129DB">
                  <w:pPr>
                    <w:pStyle w:val="52"/>
                    <w:rPr>
                      <w:rFonts w:ascii="Times New Roman" w:hAnsi="Times New Roman"/>
                      <w:b/>
                      <w:bCs/>
                      <w:color w:val="auto"/>
                    </w:rPr>
                  </w:pPr>
                  <w:r>
                    <w:rPr>
                      <w:rFonts w:hint="eastAsia" w:ascii="Times New Roman" w:hAnsi="Times New Roman"/>
                      <w:b/>
                      <w:bCs/>
                      <w:color w:val="auto"/>
                    </w:rPr>
                    <w:t>质量标准</w:t>
                  </w:r>
                  <w:r>
                    <w:rPr>
                      <w:rFonts w:ascii="Times New Roman" w:hAnsi="Times New Roman"/>
                      <w:b/>
                      <w:bCs/>
                      <w:color w:val="auto"/>
                    </w:rPr>
                    <w:t>（</w:t>
                  </w:r>
                  <w:r>
                    <w:rPr>
                      <w:rFonts w:hint="eastAsia" w:ascii="Times New Roman" w:hAnsi="Times New Roman"/>
                      <w:b/>
                      <w:bCs/>
                      <w:color w:val="auto"/>
                      <w:lang w:val="en-US" w:eastAsia="zh-CN"/>
                    </w:rPr>
                    <w:t>m</w:t>
                  </w:r>
                  <w:r>
                    <w:rPr>
                      <w:rFonts w:ascii="Times New Roman" w:hAnsi="Times New Roman"/>
                      <w:b/>
                      <w:bCs/>
                      <w:color w:val="auto"/>
                    </w:rPr>
                    <w:t>g/</w:t>
                  </w:r>
                  <w:r>
                    <w:rPr>
                      <w:rFonts w:ascii="Times New Roman" w:hAnsi="Times New Roman"/>
                      <w:b/>
                      <w:bCs/>
                      <w:color w:val="auto"/>
                      <w:szCs w:val="24"/>
                    </w:rPr>
                    <w:t>m</w:t>
                  </w:r>
                  <w:r>
                    <w:rPr>
                      <w:rFonts w:ascii="Times New Roman" w:hAnsi="Times New Roman"/>
                      <w:b/>
                      <w:bCs/>
                      <w:color w:val="auto"/>
                      <w:szCs w:val="24"/>
                      <w:vertAlign w:val="superscript"/>
                    </w:rPr>
                    <w:t>3</w:t>
                  </w:r>
                  <w:r>
                    <w:rPr>
                      <w:rFonts w:ascii="Times New Roman" w:hAnsi="Times New Roman"/>
                      <w:b/>
                      <w:bCs/>
                      <w:color w:val="auto"/>
                    </w:rPr>
                    <w:t>）</w:t>
                  </w:r>
                </w:p>
              </w:tc>
              <w:tc>
                <w:tcPr>
                  <w:tcW w:w="484" w:type="pct"/>
                  <w:noWrap w:val="0"/>
                  <w:vAlign w:val="center"/>
                </w:tcPr>
                <w:p w14:paraId="528C95F4">
                  <w:pPr>
                    <w:pStyle w:val="52"/>
                    <w:rPr>
                      <w:rFonts w:hint="default" w:ascii="Times New Roman" w:hAnsi="Times New Roman" w:eastAsia="宋体"/>
                      <w:b/>
                      <w:bCs/>
                      <w:color w:val="auto"/>
                      <w:lang w:val="en-US" w:eastAsia="zh-CN"/>
                    </w:rPr>
                  </w:pPr>
                  <w:r>
                    <w:rPr>
                      <w:rFonts w:hint="eastAsia" w:ascii="Times New Roman" w:hAnsi="Times New Roman"/>
                      <w:b/>
                      <w:bCs/>
                      <w:color w:val="auto"/>
                      <w:lang w:val="en-US" w:eastAsia="zh-CN"/>
                    </w:rPr>
                    <w:t>占标率</w:t>
                  </w:r>
                </w:p>
              </w:tc>
              <w:tc>
                <w:tcPr>
                  <w:tcW w:w="411" w:type="pct"/>
                  <w:noWrap w:val="0"/>
                  <w:vAlign w:val="center"/>
                </w:tcPr>
                <w:p w14:paraId="58D5F664">
                  <w:pPr>
                    <w:pStyle w:val="52"/>
                    <w:rPr>
                      <w:rFonts w:hint="eastAsia" w:ascii="Times New Roman" w:hAnsi="Times New Roman"/>
                      <w:b/>
                      <w:bCs/>
                      <w:color w:val="auto"/>
                    </w:rPr>
                  </w:pPr>
                  <w:r>
                    <w:rPr>
                      <w:rFonts w:hint="eastAsia" w:ascii="Times New Roman" w:hAnsi="Times New Roman"/>
                      <w:b/>
                      <w:bCs/>
                      <w:color w:val="auto"/>
                    </w:rPr>
                    <w:t>达标</w:t>
                  </w:r>
                </w:p>
                <w:p w14:paraId="7E13C792">
                  <w:pPr>
                    <w:pStyle w:val="52"/>
                    <w:rPr>
                      <w:rFonts w:ascii="Times New Roman" w:hAnsi="Times New Roman"/>
                      <w:b/>
                      <w:bCs/>
                      <w:color w:val="auto"/>
                    </w:rPr>
                  </w:pPr>
                  <w:r>
                    <w:rPr>
                      <w:rFonts w:hint="eastAsia" w:ascii="Times New Roman" w:hAnsi="Times New Roman"/>
                      <w:b/>
                      <w:bCs/>
                      <w:color w:val="auto"/>
                    </w:rPr>
                    <w:t>情况</w:t>
                  </w:r>
                </w:p>
              </w:tc>
            </w:tr>
            <w:tr w14:paraId="0B70C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restart"/>
                  <w:noWrap w:val="0"/>
                  <w:vAlign w:val="center"/>
                </w:tcPr>
                <w:p w14:paraId="298FF902">
                  <w:pPr>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t>山前村（西</w:t>
                  </w:r>
                  <w:r>
                    <w:rPr>
                      <w:rFonts w:hint="eastAsia" w:ascii="Times New Roman" w:hAnsi="Times New Roman" w:eastAsia="宋体"/>
                      <w:color w:val="auto"/>
                      <w:lang w:val="en-US" w:eastAsia="zh-CN"/>
                    </w:rPr>
                    <w:t>20m</w:t>
                  </w:r>
                  <w:r>
                    <w:rPr>
                      <w:rFonts w:hint="eastAsia" w:ascii="Times New Roman" w:hAnsi="Times New Roman" w:eastAsia="宋体"/>
                      <w:color w:val="auto"/>
                      <w:lang w:eastAsia="zh-CN"/>
                    </w:rPr>
                    <w:t>）</w:t>
                  </w:r>
                </w:p>
              </w:tc>
              <w:tc>
                <w:tcPr>
                  <w:tcW w:w="547" w:type="pct"/>
                  <w:vMerge w:val="restart"/>
                  <w:noWrap w:val="0"/>
                  <w:vAlign w:val="center"/>
                </w:tcPr>
                <w:p w14:paraId="40D9D88A">
                  <w:pPr>
                    <w:pStyle w:val="52"/>
                    <w:rPr>
                      <w:rFonts w:hint="eastAsia" w:ascii="Times New Roman" w:hAnsi="Times New Roman" w:eastAsia="宋体"/>
                      <w:color w:val="auto"/>
                      <w:lang w:eastAsia="zh-CN"/>
                    </w:rPr>
                  </w:pPr>
                  <w:r>
                    <w:rPr>
                      <w:rFonts w:ascii="Times New Roman" w:hAnsi="Times New Roman"/>
                      <w:color w:val="auto"/>
                    </w:rPr>
                    <w:t>VOCs</w:t>
                  </w:r>
                  <w:r>
                    <w:rPr>
                      <w:rFonts w:hint="eastAsia" w:ascii="Times New Roman" w:hAnsi="Times New Roman"/>
                      <w:color w:val="auto"/>
                      <w:lang w:eastAsia="zh-CN"/>
                    </w:rPr>
                    <w:t>（以非甲烷总烃计）</w:t>
                  </w:r>
                </w:p>
              </w:tc>
              <w:tc>
                <w:tcPr>
                  <w:tcW w:w="794" w:type="pct"/>
                  <w:noWrap w:val="0"/>
                  <w:vAlign w:val="center"/>
                </w:tcPr>
                <w:p w14:paraId="2C026F2B">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DA001</w:t>
                  </w:r>
                </w:p>
              </w:tc>
              <w:tc>
                <w:tcPr>
                  <w:tcW w:w="665" w:type="pct"/>
                  <w:noWrap w:val="0"/>
                  <w:vAlign w:val="center"/>
                </w:tcPr>
                <w:p w14:paraId="2722FD58">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1.82E-03</w:t>
                  </w:r>
                </w:p>
              </w:tc>
              <w:tc>
                <w:tcPr>
                  <w:tcW w:w="767" w:type="pct"/>
                  <w:vMerge w:val="restart"/>
                  <w:noWrap w:val="0"/>
                  <w:vAlign w:val="center"/>
                </w:tcPr>
                <w:p w14:paraId="6D54B9DB">
                  <w:pPr>
                    <w:pStyle w:val="52"/>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3.43E-01</w:t>
                  </w:r>
                </w:p>
              </w:tc>
              <w:tc>
                <w:tcPr>
                  <w:tcW w:w="759" w:type="pct"/>
                  <w:vMerge w:val="restart"/>
                  <w:noWrap w:val="0"/>
                  <w:vAlign w:val="center"/>
                </w:tcPr>
                <w:p w14:paraId="1AE4FE0C">
                  <w:pPr>
                    <w:pStyle w:val="52"/>
                    <w:rPr>
                      <w:rFonts w:hint="default" w:ascii="Times New Roman" w:hAnsi="Times New Roman"/>
                      <w:color w:val="auto"/>
                      <w:lang w:val="en-US" w:eastAsia="zh-CN"/>
                    </w:rPr>
                  </w:pPr>
                  <w:r>
                    <w:rPr>
                      <w:rFonts w:hint="eastAsia" w:ascii="Times New Roman" w:hAnsi="Times New Roman"/>
                      <w:color w:val="auto"/>
                      <w:lang w:val="en-US" w:eastAsia="zh-CN"/>
                    </w:rPr>
                    <w:t>2.0</w:t>
                  </w:r>
                </w:p>
              </w:tc>
              <w:tc>
                <w:tcPr>
                  <w:tcW w:w="484" w:type="pct"/>
                  <w:vMerge w:val="restart"/>
                  <w:noWrap w:val="0"/>
                  <w:vAlign w:val="center"/>
                </w:tcPr>
                <w:p w14:paraId="223293A5">
                  <w:pPr>
                    <w:pStyle w:val="52"/>
                    <w:rPr>
                      <w:rFonts w:hint="default" w:ascii="Times New Roman" w:hAnsi="Times New Roman"/>
                      <w:color w:val="auto"/>
                      <w:lang w:val="en-US" w:eastAsia="zh-CN"/>
                    </w:rPr>
                  </w:pPr>
                  <w:r>
                    <w:rPr>
                      <w:rFonts w:hint="eastAsia" w:ascii="Times New Roman" w:hAnsi="Times New Roman"/>
                      <w:color w:val="auto"/>
                      <w:lang w:val="en-US" w:eastAsia="zh-CN"/>
                    </w:rPr>
                    <w:t>17.1%</w:t>
                  </w:r>
                </w:p>
              </w:tc>
              <w:tc>
                <w:tcPr>
                  <w:tcW w:w="411" w:type="pct"/>
                  <w:vMerge w:val="restart"/>
                  <w:noWrap w:val="0"/>
                  <w:vAlign w:val="center"/>
                </w:tcPr>
                <w:p w14:paraId="6B57E134">
                  <w:pPr>
                    <w:pStyle w:val="52"/>
                    <w:rPr>
                      <w:rFonts w:hint="eastAsia" w:ascii="Times New Roman" w:hAnsi="Times New Roman" w:eastAsia="宋体"/>
                      <w:color w:val="auto"/>
                      <w:lang w:eastAsia="zh-CN"/>
                    </w:rPr>
                  </w:pPr>
                  <w:r>
                    <w:rPr>
                      <w:rFonts w:hint="eastAsia" w:ascii="Times New Roman" w:hAnsi="Times New Roman"/>
                      <w:color w:val="auto"/>
                      <w:lang w:eastAsia="zh-CN"/>
                    </w:rPr>
                    <w:t>达标</w:t>
                  </w:r>
                </w:p>
              </w:tc>
            </w:tr>
            <w:tr w14:paraId="158F1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5CD42678">
                  <w:pPr>
                    <w:jc w:val="center"/>
                    <w:rPr>
                      <w:rFonts w:hint="eastAsia" w:ascii="Times New Roman" w:hAnsi="Times New Roman" w:eastAsia="宋体"/>
                      <w:color w:val="auto"/>
                      <w:lang w:eastAsia="zh-CN"/>
                    </w:rPr>
                  </w:pPr>
                </w:p>
              </w:tc>
              <w:tc>
                <w:tcPr>
                  <w:tcW w:w="547" w:type="pct"/>
                  <w:vMerge w:val="continue"/>
                  <w:noWrap w:val="0"/>
                  <w:vAlign w:val="center"/>
                </w:tcPr>
                <w:p w14:paraId="1C433C52">
                  <w:pPr>
                    <w:pStyle w:val="52"/>
                    <w:rPr>
                      <w:rFonts w:ascii="Times New Roman" w:hAnsi="Times New Roman"/>
                      <w:color w:val="auto"/>
                    </w:rPr>
                  </w:pPr>
                </w:p>
              </w:tc>
              <w:tc>
                <w:tcPr>
                  <w:tcW w:w="794" w:type="pct"/>
                  <w:noWrap w:val="0"/>
                  <w:vAlign w:val="center"/>
                </w:tcPr>
                <w:p w14:paraId="388AA378">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DA002</w:t>
                  </w:r>
                </w:p>
              </w:tc>
              <w:tc>
                <w:tcPr>
                  <w:tcW w:w="665" w:type="pct"/>
                  <w:noWrap w:val="0"/>
                  <w:vAlign w:val="center"/>
                </w:tcPr>
                <w:p w14:paraId="21F2F30E">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2.55E-03</w:t>
                  </w:r>
                </w:p>
              </w:tc>
              <w:tc>
                <w:tcPr>
                  <w:tcW w:w="767" w:type="pct"/>
                  <w:vMerge w:val="continue"/>
                  <w:noWrap w:val="0"/>
                  <w:vAlign w:val="center"/>
                </w:tcPr>
                <w:p w14:paraId="5BA8DB79">
                  <w:pPr>
                    <w:pStyle w:val="52"/>
                    <w:rPr>
                      <w:rFonts w:hint="default" w:ascii="Times New Roman" w:hAnsi="Times New Roman" w:eastAsia="宋体"/>
                      <w:color w:val="auto"/>
                      <w:lang w:val="en-US" w:eastAsia="zh-CN"/>
                    </w:rPr>
                  </w:pPr>
                </w:p>
              </w:tc>
              <w:tc>
                <w:tcPr>
                  <w:tcW w:w="759" w:type="pct"/>
                  <w:vMerge w:val="continue"/>
                  <w:noWrap w:val="0"/>
                  <w:vAlign w:val="center"/>
                </w:tcPr>
                <w:p w14:paraId="0661B6FE">
                  <w:pPr>
                    <w:pStyle w:val="52"/>
                    <w:rPr>
                      <w:rFonts w:hint="eastAsia" w:ascii="Times New Roman" w:hAnsi="Times New Roman"/>
                      <w:color w:val="auto"/>
                      <w:lang w:val="en-US" w:eastAsia="zh-CN"/>
                    </w:rPr>
                  </w:pPr>
                </w:p>
              </w:tc>
              <w:tc>
                <w:tcPr>
                  <w:tcW w:w="484" w:type="pct"/>
                  <w:vMerge w:val="continue"/>
                  <w:noWrap w:val="0"/>
                  <w:vAlign w:val="center"/>
                </w:tcPr>
                <w:p w14:paraId="23A7A3F6">
                  <w:pPr>
                    <w:pStyle w:val="52"/>
                    <w:rPr>
                      <w:rFonts w:hint="eastAsia" w:ascii="Times New Roman" w:hAnsi="Times New Roman"/>
                      <w:color w:val="auto"/>
                      <w:lang w:val="en-US" w:eastAsia="zh-CN"/>
                    </w:rPr>
                  </w:pPr>
                </w:p>
              </w:tc>
              <w:tc>
                <w:tcPr>
                  <w:tcW w:w="411" w:type="pct"/>
                  <w:vMerge w:val="continue"/>
                  <w:noWrap w:val="0"/>
                  <w:vAlign w:val="center"/>
                </w:tcPr>
                <w:p w14:paraId="7A796625">
                  <w:pPr>
                    <w:pStyle w:val="52"/>
                    <w:rPr>
                      <w:rFonts w:hint="eastAsia" w:ascii="Times New Roman" w:hAnsi="Times New Roman"/>
                      <w:color w:val="auto"/>
                    </w:rPr>
                  </w:pPr>
                </w:p>
              </w:tc>
            </w:tr>
            <w:tr w14:paraId="608B2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pct"/>
                  <w:vMerge w:val="continue"/>
                  <w:noWrap w:val="0"/>
                  <w:vAlign w:val="center"/>
                </w:tcPr>
                <w:p w14:paraId="0D935BA3">
                  <w:pPr>
                    <w:jc w:val="center"/>
                    <w:rPr>
                      <w:rFonts w:hint="eastAsia" w:ascii="Times New Roman" w:hAnsi="Times New Roman" w:eastAsia="宋体"/>
                      <w:color w:val="auto"/>
                      <w:lang w:eastAsia="zh-CN"/>
                    </w:rPr>
                  </w:pPr>
                </w:p>
              </w:tc>
              <w:tc>
                <w:tcPr>
                  <w:tcW w:w="547" w:type="pct"/>
                  <w:vMerge w:val="continue"/>
                  <w:noWrap w:val="0"/>
                  <w:vAlign w:val="center"/>
                </w:tcPr>
                <w:p w14:paraId="6B84ECAC">
                  <w:pPr>
                    <w:pStyle w:val="52"/>
                    <w:rPr>
                      <w:rFonts w:ascii="Times New Roman" w:hAnsi="Times New Roman"/>
                      <w:color w:val="auto"/>
                    </w:rPr>
                  </w:pPr>
                </w:p>
              </w:tc>
              <w:tc>
                <w:tcPr>
                  <w:tcW w:w="794" w:type="pct"/>
                  <w:noWrap w:val="0"/>
                  <w:vAlign w:val="center"/>
                </w:tcPr>
                <w:p w14:paraId="5AC0C973">
                  <w:pPr>
                    <w:pStyle w:val="52"/>
                    <w:rPr>
                      <w:rFonts w:hint="default" w:ascii="Times New Roman" w:hAnsi="Times New Roman"/>
                      <w:color w:val="auto"/>
                      <w:lang w:val="en-US" w:eastAsia="zh-CN"/>
                    </w:rPr>
                  </w:pPr>
                  <w:r>
                    <w:rPr>
                      <w:rFonts w:hint="eastAsia" w:ascii="Times New Roman" w:hAnsi="Times New Roman"/>
                      <w:color w:val="auto"/>
                      <w:lang w:val="en-US" w:eastAsia="zh-CN"/>
                    </w:rPr>
                    <w:t>DA003</w:t>
                  </w:r>
                </w:p>
              </w:tc>
              <w:tc>
                <w:tcPr>
                  <w:tcW w:w="665" w:type="pct"/>
                  <w:noWrap w:val="0"/>
                  <w:vAlign w:val="center"/>
                </w:tcPr>
                <w:p w14:paraId="6C3362CD">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1.70E-04</w:t>
                  </w:r>
                </w:p>
              </w:tc>
              <w:tc>
                <w:tcPr>
                  <w:tcW w:w="767" w:type="pct"/>
                  <w:vMerge w:val="continue"/>
                  <w:noWrap w:val="0"/>
                  <w:vAlign w:val="center"/>
                </w:tcPr>
                <w:p w14:paraId="4345A0FF">
                  <w:pPr>
                    <w:pStyle w:val="52"/>
                    <w:rPr>
                      <w:rFonts w:hint="default" w:ascii="Times New Roman" w:hAnsi="Times New Roman" w:eastAsia="宋体"/>
                      <w:color w:val="auto"/>
                      <w:lang w:val="en-US" w:eastAsia="zh-CN"/>
                    </w:rPr>
                  </w:pPr>
                </w:p>
              </w:tc>
              <w:tc>
                <w:tcPr>
                  <w:tcW w:w="759" w:type="pct"/>
                  <w:vMerge w:val="continue"/>
                  <w:noWrap w:val="0"/>
                  <w:vAlign w:val="center"/>
                </w:tcPr>
                <w:p w14:paraId="003D259D">
                  <w:pPr>
                    <w:pStyle w:val="52"/>
                    <w:rPr>
                      <w:rFonts w:hint="eastAsia" w:ascii="Times New Roman" w:hAnsi="Times New Roman"/>
                      <w:color w:val="auto"/>
                      <w:lang w:val="en-US" w:eastAsia="zh-CN"/>
                    </w:rPr>
                  </w:pPr>
                </w:p>
              </w:tc>
              <w:tc>
                <w:tcPr>
                  <w:tcW w:w="484" w:type="pct"/>
                  <w:vMerge w:val="continue"/>
                  <w:noWrap w:val="0"/>
                  <w:vAlign w:val="center"/>
                </w:tcPr>
                <w:p w14:paraId="700659A9">
                  <w:pPr>
                    <w:pStyle w:val="52"/>
                    <w:rPr>
                      <w:rFonts w:hint="eastAsia" w:ascii="Times New Roman" w:hAnsi="Times New Roman"/>
                      <w:color w:val="auto"/>
                      <w:lang w:val="en-US" w:eastAsia="zh-CN"/>
                    </w:rPr>
                  </w:pPr>
                </w:p>
              </w:tc>
              <w:tc>
                <w:tcPr>
                  <w:tcW w:w="411" w:type="pct"/>
                  <w:vMerge w:val="continue"/>
                  <w:noWrap w:val="0"/>
                  <w:vAlign w:val="center"/>
                </w:tcPr>
                <w:p w14:paraId="4371B934">
                  <w:pPr>
                    <w:pStyle w:val="52"/>
                    <w:rPr>
                      <w:rFonts w:hint="eastAsia" w:ascii="Times New Roman" w:hAnsi="Times New Roman"/>
                      <w:color w:val="auto"/>
                    </w:rPr>
                  </w:pPr>
                </w:p>
              </w:tc>
            </w:tr>
            <w:tr w14:paraId="1D4C8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05A01A06">
                  <w:pPr>
                    <w:jc w:val="center"/>
                    <w:rPr>
                      <w:rFonts w:hint="eastAsia" w:ascii="Times New Roman" w:hAnsi="Times New Roman" w:eastAsia="宋体"/>
                      <w:color w:val="auto"/>
                      <w:lang w:eastAsia="zh-CN"/>
                    </w:rPr>
                  </w:pPr>
                </w:p>
              </w:tc>
              <w:tc>
                <w:tcPr>
                  <w:tcW w:w="547" w:type="pct"/>
                  <w:vMerge w:val="continue"/>
                  <w:noWrap w:val="0"/>
                  <w:vAlign w:val="center"/>
                </w:tcPr>
                <w:p w14:paraId="53BE4407">
                  <w:pPr>
                    <w:pStyle w:val="52"/>
                    <w:rPr>
                      <w:rFonts w:ascii="Times New Roman" w:hAnsi="Times New Roman"/>
                      <w:color w:val="auto"/>
                    </w:rPr>
                  </w:pPr>
                </w:p>
              </w:tc>
              <w:tc>
                <w:tcPr>
                  <w:tcW w:w="794" w:type="pct"/>
                  <w:noWrap w:val="0"/>
                  <w:vAlign w:val="center"/>
                </w:tcPr>
                <w:p w14:paraId="2DFC520A">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预处理车间</w:t>
                  </w:r>
                </w:p>
              </w:tc>
              <w:tc>
                <w:tcPr>
                  <w:tcW w:w="665" w:type="pct"/>
                  <w:noWrap w:val="0"/>
                  <w:vAlign w:val="center"/>
                </w:tcPr>
                <w:p w14:paraId="5778011A">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1.18E-01</w:t>
                  </w:r>
                </w:p>
              </w:tc>
              <w:tc>
                <w:tcPr>
                  <w:tcW w:w="767" w:type="pct"/>
                  <w:vMerge w:val="continue"/>
                  <w:noWrap w:val="0"/>
                  <w:vAlign w:val="center"/>
                </w:tcPr>
                <w:p w14:paraId="3BCE568E">
                  <w:pPr>
                    <w:pStyle w:val="52"/>
                    <w:rPr>
                      <w:rFonts w:hint="default" w:ascii="Times New Roman" w:hAnsi="Times New Roman" w:eastAsia="宋体"/>
                      <w:color w:val="auto"/>
                      <w:lang w:val="en-US" w:eastAsia="zh-CN"/>
                    </w:rPr>
                  </w:pPr>
                </w:p>
              </w:tc>
              <w:tc>
                <w:tcPr>
                  <w:tcW w:w="759" w:type="pct"/>
                  <w:vMerge w:val="continue"/>
                  <w:noWrap w:val="0"/>
                  <w:vAlign w:val="center"/>
                </w:tcPr>
                <w:p w14:paraId="4B5CDBF9">
                  <w:pPr>
                    <w:pStyle w:val="52"/>
                    <w:rPr>
                      <w:rFonts w:hint="eastAsia" w:ascii="Times New Roman" w:hAnsi="Times New Roman"/>
                      <w:color w:val="auto"/>
                      <w:lang w:val="en-US" w:eastAsia="zh-CN"/>
                    </w:rPr>
                  </w:pPr>
                </w:p>
              </w:tc>
              <w:tc>
                <w:tcPr>
                  <w:tcW w:w="484" w:type="pct"/>
                  <w:vMerge w:val="continue"/>
                  <w:noWrap w:val="0"/>
                  <w:vAlign w:val="center"/>
                </w:tcPr>
                <w:p w14:paraId="3D70A9AA">
                  <w:pPr>
                    <w:pStyle w:val="52"/>
                    <w:rPr>
                      <w:rFonts w:hint="eastAsia" w:ascii="Times New Roman" w:hAnsi="Times New Roman"/>
                      <w:color w:val="auto"/>
                      <w:lang w:val="en-US" w:eastAsia="zh-CN"/>
                    </w:rPr>
                  </w:pPr>
                </w:p>
              </w:tc>
              <w:tc>
                <w:tcPr>
                  <w:tcW w:w="411" w:type="pct"/>
                  <w:vMerge w:val="continue"/>
                  <w:noWrap w:val="0"/>
                  <w:vAlign w:val="center"/>
                </w:tcPr>
                <w:p w14:paraId="2AF31457">
                  <w:pPr>
                    <w:pStyle w:val="52"/>
                    <w:rPr>
                      <w:rFonts w:hint="eastAsia" w:ascii="Times New Roman" w:hAnsi="Times New Roman"/>
                      <w:color w:val="auto"/>
                    </w:rPr>
                  </w:pPr>
                </w:p>
              </w:tc>
            </w:tr>
            <w:tr w14:paraId="52149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9" w:type="pct"/>
                  <w:vMerge w:val="continue"/>
                  <w:noWrap w:val="0"/>
                  <w:vAlign w:val="center"/>
                </w:tcPr>
                <w:p w14:paraId="6C11E39C">
                  <w:pPr>
                    <w:jc w:val="center"/>
                    <w:rPr>
                      <w:rFonts w:hint="eastAsia" w:ascii="Times New Roman" w:hAnsi="Times New Roman" w:eastAsia="宋体"/>
                      <w:color w:val="auto"/>
                      <w:lang w:eastAsia="zh-CN"/>
                    </w:rPr>
                  </w:pPr>
                </w:p>
              </w:tc>
              <w:tc>
                <w:tcPr>
                  <w:tcW w:w="547" w:type="pct"/>
                  <w:vMerge w:val="continue"/>
                  <w:noWrap w:val="0"/>
                  <w:vAlign w:val="center"/>
                </w:tcPr>
                <w:p w14:paraId="305242CC">
                  <w:pPr>
                    <w:pStyle w:val="52"/>
                    <w:rPr>
                      <w:rFonts w:ascii="Times New Roman" w:hAnsi="Times New Roman"/>
                      <w:color w:val="auto"/>
                    </w:rPr>
                  </w:pPr>
                </w:p>
              </w:tc>
              <w:tc>
                <w:tcPr>
                  <w:tcW w:w="794" w:type="pct"/>
                  <w:noWrap w:val="0"/>
                  <w:vAlign w:val="center"/>
                </w:tcPr>
                <w:p w14:paraId="65826671">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废变压器拆解车间</w:t>
                  </w:r>
                </w:p>
              </w:tc>
              <w:tc>
                <w:tcPr>
                  <w:tcW w:w="665" w:type="pct"/>
                  <w:noWrap w:val="0"/>
                  <w:vAlign w:val="center"/>
                </w:tcPr>
                <w:p w14:paraId="797DA21F">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1.80E-01</w:t>
                  </w:r>
                </w:p>
              </w:tc>
              <w:tc>
                <w:tcPr>
                  <w:tcW w:w="767" w:type="pct"/>
                  <w:vMerge w:val="continue"/>
                  <w:noWrap w:val="0"/>
                  <w:vAlign w:val="center"/>
                </w:tcPr>
                <w:p w14:paraId="123C973F">
                  <w:pPr>
                    <w:pStyle w:val="52"/>
                    <w:rPr>
                      <w:rFonts w:hint="default" w:ascii="Times New Roman" w:hAnsi="Times New Roman" w:eastAsia="宋体"/>
                      <w:color w:val="auto"/>
                      <w:lang w:val="en-US" w:eastAsia="zh-CN"/>
                    </w:rPr>
                  </w:pPr>
                </w:p>
              </w:tc>
              <w:tc>
                <w:tcPr>
                  <w:tcW w:w="759" w:type="pct"/>
                  <w:vMerge w:val="continue"/>
                  <w:noWrap w:val="0"/>
                  <w:vAlign w:val="center"/>
                </w:tcPr>
                <w:p w14:paraId="03AB6E93">
                  <w:pPr>
                    <w:pStyle w:val="52"/>
                    <w:rPr>
                      <w:rFonts w:hint="eastAsia" w:ascii="Times New Roman" w:hAnsi="Times New Roman"/>
                      <w:color w:val="auto"/>
                      <w:lang w:val="en-US" w:eastAsia="zh-CN"/>
                    </w:rPr>
                  </w:pPr>
                </w:p>
              </w:tc>
              <w:tc>
                <w:tcPr>
                  <w:tcW w:w="484" w:type="pct"/>
                  <w:vMerge w:val="continue"/>
                  <w:noWrap w:val="0"/>
                  <w:vAlign w:val="center"/>
                </w:tcPr>
                <w:p w14:paraId="5B2A379D">
                  <w:pPr>
                    <w:pStyle w:val="52"/>
                    <w:rPr>
                      <w:rFonts w:hint="eastAsia" w:ascii="Times New Roman" w:hAnsi="Times New Roman"/>
                      <w:color w:val="auto"/>
                      <w:lang w:val="en-US" w:eastAsia="zh-CN"/>
                    </w:rPr>
                  </w:pPr>
                </w:p>
              </w:tc>
              <w:tc>
                <w:tcPr>
                  <w:tcW w:w="411" w:type="pct"/>
                  <w:vMerge w:val="continue"/>
                  <w:noWrap w:val="0"/>
                  <w:vAlign w:val="center"/>
                </w:tcPr>
                <w:p w14:paraId="74651C4C">
                  <w:pPr>
                    <w:pStyle w:val="52"/>
                    <w:rPr>
                      <w:rFonts w:hint="eastAsia" w:ascii="Times New Roman" w:hAnsi="Times New Roman"/>
                      <w:color w:val="auto"/>
                    </w:rPr>
                  </w:pPr>
                </w:p>
              </w:tc>
            </w:tr>
            <w:tr w14:paraId="7B859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48195CAD">
                  <w:pPr>
                    <w:jc w:val="center"/>
                    <w:rPr>
                      <w:rFonts w:hint="eastAsia" w:ascii="Times New Roman" w:hAnsi="Times New Roman" w:eastAsia="宋体"/>
                      <w:color w:val="auto"/>
                      <w:lang w:eastAsia="zh-CN"/>
                    </w:rPr>
                  </w:pPr>
                </w:p>
              </w:tc>
              <w:tc>
                <w:tcPr>
                  <w:tcW w:w="547" w:type="pct"/>
                  <w:vMerge w:val="continue"/>
                  <w:noWrap w:val="0"/>
                  <w:vAlign w:val="center"/>
                </w:tcPr>
                <w:p w14:paraId="27DA6452">
                  <w:pPr>
                    <w:pStyle w:val="52"/>
                    <w:rPr>
                      <w:rFonts w:ascii="Times New Roman" w:hAnsi="Times New Roman"/>
                      <w:color w:val="auto"/>
                    </w:rPr>
                  </w:pPr>
                </w:p>
              </w:tc>
              <w:tc>
                <w:tcPr>
                  <w:tcW w:w="794" w:type="pct"/>
                  <w:noWrap w:val="0"/>
                  <w:vAlign w:val="center"/>
                </w:tcPr>
                <w:p w14:paraId="4A831228">
                  <w:pPr>
                    <w:pStyle w:val="52"/>
                    <w:rPr>
                      <w:rFonts w:hint="default" w:ascii="Times New Roman" w:hAnsi="Times New Roman"/>
                      <w:color w:val="auto"/>
                      <w:lang w:val="en-US" w:eastAsia="zh-CN"/>
                    </w:rPr>
                  </w:pPr>
                  <w:r>
                    <w:rPr>
                      <w:rFonts w:hint="eastAsia" w:ascii="Times New Roman" w:hAnsi="Times New Roman"/>
                      <w:color w:val="auto"/>
                      <w:lang w:val="en-US" w:eastAsia="zh-CN"/>
                    </w:rPr>
                    <w:t>危废暂存间</w:t>
                  </w:r>
                </w:p>
              </w:tc>
              <w:tc>
                <w:tcPr>
                  <w:tcW w:w="665" w:type="pct"/>
                  <w:noWrap w:val="0"/>
                  <w:vAlign w:val="center"/>
                </w:tcPr>
                <w:p w14:paraId="7AFE9440">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4.13E-02</w:t>
                  </w:r>
                </w:p>
              </w:tc>
              <w:tc>
                <w:tcPr>
                  <w:tcW w:w="767" w:type="pct"/>
                  <w:vMerge w:val="continue"/>
                  <w:noWrap w:val="0"/>
                  <w:vAlign w:val="center"/>
                </w:tcPr>
                <w:p w14:paraId="211F95E3">
                  <w:pPr>
                    <w:pStyle w:val="52"/>
                    <w:rPr>
                      <w:rFonts w:hint="default" w:ascii="Times New Roman" w:hAnsi="Times New Roman" w:eastAsia="宋体"/>
                      <w:color w:val="auto"/>
                      <w:lang w:val="en-US" w:eastAsia="zh-CN"/>
                    </w:rPr>
                  </w:pPr>
                </w:p>
              </w:tc>
              <w:tc>
                <w:tcPr>
                  <w:tcW w:w="759" w:type="pct"/>
                  <w:vMerge w:val="continue"/>
                  <w:noWrap w:val="0"/>
                  <w:vAlign w:val="center"/>
                </w:tcPr>
                <w:p w14:paraId="5AC18151">
                  <w:pPr>
                    <w:pStyle w:val="52"/>
                    <w:rPr>
                      <w:rFonts w:hint="eastAsia" w:ascii="Times New Roman" w:hAnsi="Times New Roman"/>
                      <w:color w:val="auto"/>
                      <w:lang w:val="en-US" w:eastAsia="zh-CN"/>
                    </w:rPr>
                  </w:pPr>
                </w:p>
              </w:tc>
              <w:tc>
                <w:tcPr>
                  <w:tcW w:w="484" w:type="pct"/>
                  <w:vMerge w:val="continue"/>
                  <w:noWrap w:val="0"/>
                  <w:vAlign w:val="center"/>
                </w:tcPr>
                <w:p w14:paraId="1E61DE22">
                  <w:pPr>
                    <w:pStyle w:val="52"/>
                    <w:rPr>
                      <w:rFonts w:hint="eastAsia" w:ascii="Times New Roman" w:hAnsi="Times New Roman"/>
                      <w:color w:val="auto"/>
                      <w:lang w:val="en-US" w:eastAsia="zh-CN"/>
                    </w:rPr>
                  </w:pPr>
                </w:p>
              </w:tc>
              <w:tc>
                <w:tcPr>
                  <w:tcW w:w="411" w:type="pct"/>
                  <w:vMerge w:val="continue"/>
                  <w:noWrap w:val="0"/>
                  <w:vAlign w:val="center"/>
                </w:tcPr>
                <w:p w14:paraId="5CD437E4">
                  <w:pPr>
                    <w:pStyle w:val="52"/>
                    <w:rPr>
                      <w:rFonts w:hint="eastAsia" w:ascii="Times New Roman" w:hAnsi="Times New Roman"/>
                      <w:color w:val="auto"/>
                    </w:rPr>
                  </w:pPr>
                </w:p>
              </w:tc>
            </w:tr>
            <w:tr w14:paraId="1B5C0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69" w:type="pct"/>
                  <w:vMerge w:val="continue"/>
                  <w:noWrap w:val="0"/>
                  <w:vAlign w:val="center"/>
                </w:tcPr>
                <w:p w14:paraId="09C3E550">
                  <w:pPr>
                    <w:jc w:val="center"/>
                    <w:rPr>
                      <w:rFonts w:hint="eastAsia" w:ascii="Times New Roman" w:hAnsi="Times New Roman" w:eastAsia="宋体"/>
                      <w:color w:val="auto"/>
                      <w:lang w:eastAsia="zh-CN"/>
                    </w:rPr>
                  </w:pPr>
                </w:p>
              </w:tc>
              <w:tc>
                <w:tcPr>
                  <w:tcW w:w="547" w:type="pct"/>
                  <w:vMerge w:val="restart"/>
                  <w:noWrap w:val="0"/>
                  <w:vAlign w:val="center"/>
                </w:tcPr>
                <w:p w14:paraId="20B3DE54">
                  <w:pPr>
                    <w:pStyle w:val="52"/>
                    <w:rPr>
                      <w:rFonts w:hint="eastAsia" w:ascii="Times New Roman" w:hAnsi="Times New Roman" w:eastAsia="宋体"/>
                      <w:color w:val="auto"/>
                      <w:lang w:eastAsia="zh-CN"/>
                    </w:rPr>
                  </w:pPr>
                  <w:r>
                    <w:rPr>
                      <w:rFonts w:hint="eastAsia" w:ascii="Times New Roman" w:hAnsi="Times New Roman"/>
                      <w:color w:val="auto"/>
                      <w:lang w:eastAsia="zh-CN"/>
                    </w:rPr>
                    <w:t>颗粒物</w:t>
                  </w:r>
                </w:p>
              </w:tc>
              <w:tc>
                <w:tcPr>
                  <w:tcW w:w="794" w:type="pct"/>
                  <w:noWrap w:val="0"/>
                  <w:vAlign w:val="center"/>
                </w:tcPr>
                <w:p w14:paraId="2611AFE7">
                  <w:pPr>
                    <w:pStyle w:val="52"/>
                    <w:rPr>
                      <w:rFonts w:hint="eastAsia" w:ascii="Times New Roman" w:hAnsi="Times New Roman" w:eastAsia="宋体"/>
                      <w:color w:val="auto"/>
                      <w:lang w:eastAsia="zh-CN"/>
                    </w:rPr>
                  </w:pPr>
                  <w:r>
                    <w:rPr>
                      <w:rFonts w:hint="eastAsia" w:ascii="Times New Roman" w:hAnsi="Times New Roman"/>
                      <w:color w:val="auto"/>
                      <w:lang w:eastAsia="zh-CN"/>
                    </w:rPr>
                    <w:t>大小车拆解车间</w:t>
                  </w:r>
                </w:p>
              </w:tc>
              <w:tc>
                <w:tcPr>
                  <w:tcW w:w="665" w:type="pct"/>
                  <w:noWrap w:val="0"/>
                  <w:vAlign w:val="center"/>
                </w:tcPr>
                <w:p w14:paraId="56B6F3C4">
                  <w:pPr>
                    <w:pStyle w:val="52"/>
                    <w:rPr>
                      <w:rFonts w:hint="eastAsia" w:ascii="Times New Roman" w:hAnsi="Times New Roman"/>
                      <w:color w:val="auto"/>
                    </w:rPr>
                  </w:pPr>
                  <w:r>
                    <w:rPr>
                      <w:rFonts w:hint="eastAsia" w:ascii="Times New Roman" w:hAnsi="Times New Roman"/>
                      <w:color w:val="auto"/>
                    </w:rPr>
                    <w:t>6.53E-02</w:t>
                  </w:r>
                </w:p>
              </w:tc>
              <w:tc>
                <w:tcPr>
                  <w:tcW w:w="767" w:type="pct"/>
                  <w:vMerge w:val="restart"/>
                  <w:noWrap w:val="0"/>
                  <w:vAlign w:val="center"/>
                </w:tcPr>
                <w:p w14:paraId="08752143">
                  <w:pPr>
                    <w:pStyle w:val="52"/>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6.80E-02</w:t>
                  </w:r>
                </w:p>
              </w:tc>
              <w:tc>
                <w:tcPr>
                  <w:tcW w:w="759" w:type="pct"/>
                  <w:vMerge w:val="restart"/>
                  <w:noWrap w:val="0"/>
                  <w:vAlign w:val="center"/>
                </w:tcPr>
                <w:p w14:paraId="0E3247F5">
                  <w:pPr>
                    <w:pStyle w:val="52"/>
                    <w:rPr>
                      <w:rFonts w:hint="default" w:ascii="Times New Roman" w:hAnsi="Times New Roman"/>
                      <w:color w:val="auto"/>
                      <w:lang w:val="en-US" w:eastAsia="zh-CN"/>
                    </w:rPr>
                  </w:pPr>
                  <w:r>
                    <w:rPr>
                      <w:rFonts w:hint="eastAsia" w:ascii="Times New Roman" w:hAnsi="Times New Roman"/>
                      <w:color w:val="auto"/>
                      <w:lang w:val="en-US" w:eastAsia="zh-CN"/>
                    </w:rPr>
                    <w:t>0.3</w:t>
                  </w:r>
                </w:p>
              </w:tc>
              <w:tc>
                <w:tcPr>
                  <w:tcW w:w="484" w:type="pct"/>
                  <w:vMerge w:val="restart"/>
                  <w:noWrap w:val="0"/>
                  <w:vAlign w:val="center"/>
                </w:tcPr>
                <w:p w14:paraId="087257A6">
                  <w:pPr>
                    <w:pStyle w:val="52"/>
                    <w:rPr>
                      <w:rFonts w:hint="default" w:ascii="Times New Roman" w:hAnsi="Times New Roman"/>
                      <w:color w:val="auto"/>
                      <w:lang w:val="en-US" w:eastAsia="zh-CN"/>
                    </w:rPr>
                  </w:pPr>
                  <w:r>
                    <w:rPr>
                      <w:rFonts w:hint="eastAsia" w:ascii="Times New Roman" w:hAnsi="Times New Roman"/>
                      <w:color w:val="auto"/>
                      <w:lang w:val="en-US" w:eastAsia="zh-CN"/>
                    </w:rPr>
                    <w:t>22.7%</w:t>
                  </w:r>
                </w:p>
              </w:tc>
              <w:tc>
                <w:tcPr>
                  <w:tcW w:w="411" w:type="pct"/>
                  <w:vMerge w:val="restart"/>
                  <w:noWrap w:val="0"/>
                  <w:vAlign w:val="center"/>
                </w:tcPr>
                <w:p w14:paraId="2ABCC8ED">
                  <w:pPr>
                    <w:pStyle w:val="52"/>
                    <w:rPr>
                      <w:rFonts w:hint="eastAsia" w:ascii="Times New Roman" w:hAnsi="Times New Roman" w:eastAsia="宋体"/>
                      <w:color w:val="auto"/>
                      <w:lang w:eastAsia="zh-CN"/>
                    </w:rPr>
                  </w:pPr>
                  <w:r>
                    <w:rPr>
                      <w:rFonts w:hint="eastAsia" w:ascii="Times New Roman" w:hAnsi="Times New Roman"/>
                      <w:color w:val="auto"/>
                      <w:lang w:eastAsia="zh-CN"/>
                    </w:rPr>
                    <w:t>达标</w:t>
                  </w:r>
                </w:p>
              </w:tc>
            </w:tr>
            <w:tr w14:paraId="7FDCB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69" w:type="pct"/>
                  <w:vMerge w:val="continue"/>
                  <w:noWrap w:val="0"/>
                  <w:vAlign w:val="center"/>
                </w:tcPr>
                <w:p w14:paraId="502D07B4">
                  <w:pPr>
                    <w:jc w:val="center"/>
                    <w:rPr>
                      <w:rFonts w:hint="eastAsia" w:ascii="Times New Roman" w:hAnsi="Times New Roman" w:eastAsia="宋体"/>
                      <w:color w:val="auto"/>
                      <w:lang w:eastAsia="zh-CN"/>
                    </w:rPr>
                  </w:pPr>
                </w:p>
              </w:tc>
              <w:tc>
                <w:tcPr>
                  <w:tcW w:w="547" w:type="pct"/>
                  <w:vMerge w:val="continue"/>
                  <w:noWrap w:val="0"/>
                  <w:vAlign w:val="center"/>
                </w:tcPr>
                <w:p w14:paraId="12D2A765">
                  <w:pPr>
                    <w:pStyle w:val="52"/>
                    <w:rPr>
                      <w:rFonts w:hint="eastAsia" w:ascii="Times New Roman" w:hAnsi="Times New Roman"/>
                      <w:color w:val="auto"/>
                      <w:lang w:eastAsia="zh-CN"/>
                    </w:rPr>
                  </w:pPr>
                </w:p>
              </w:tc>
              <w:tc>
                <w:tcPr>
                  <w:tcW w:w="794" w:type="pct"/>
                  <w:noWrap w:val="0"/>
                  <w:vAlign w:val="center"/>
                </w:tcPr>
                <w:p w14:paraId="3349D677">
                  <w:pPr>
                    <w:pStyle w:val="52"/>
                    <w:rPr>
                      <w:rFonts w:hint="eastAsia" w:ascii="Times New Roman" w:hAnsi="Times New Roman" w:eastAsia="宋体"/>
                      <w:color w:val="auto"/>
                      <w:lang w:eastAsia="zh-CN"/>
                    </w:rPr>
                  </w:pPr>
                  <w:r>
                    <w:rPr>
                      <w:rFonts w:hint="eastAsia" w:ascii="Times New Roman" w:hAnsi="Times New Roman"/>
                      <w:color w:val="auto"/>
                      <w:lang w:eastAsia="zh-CN"/>
                    </w:rPr>
                    <w:t>变压器拆解车间</w:t>
                  </w:r>
                </w:p>
              </w:tc>
              <w:tc>
                <w:tcPr>
                  <w:tcW w:w="665" w:type="pct"/>
                  <w:noWrap w:val="0"/>
                  <w:vAlign w:val="center"/>
                </w:tcPr>
                <w:p w14:paraId="69958F8B">
                  <w:pPr>
                    <w:pStyle w:val="52"/>
                    <w:rPr>
                      <w:rFonts w:hint="eastAsia" w:ascii="Times New Roman" w:hAnsi="Times New Roman"/>
                      <w:color w:val="auto"/>
                    </w:rPr>
                  </w:pPr>
                  <w:r>
                    <w:rPr>
                      <w:rFonts w:hint="eastAsia" w:ascii="Times New Roman" w:hAnsi="Times New Roman"/>
                      <w:color w:val="auto"/>
                    </w:rPr>
                    <w:t>1.62E-03</w:t>
                  </w:r>
                </w:p>
              </w:tc>
              <w:tc>
                <w:tcPr>
                  <w:tcW w:w="767" w:type="pct"/>
                  <w:vMerge w:val="continue"/>
                  <w:noWrap w:val="0"/>
                  <w:vAlign w:val="center"/>
                </w:tcPr>
                <w:p w14:paraId="6AC57417">
                  <w:pPr>
                    <w:pStyle w:val="52"/>
                    <w:rPr>
                      <w:rFonts w:hint="eastAsia" w:ascii="Times New Roman" w:hAnsi="Times New Roman"/>
                      <w:color w:val="auto"/>
                    </w:rPr>
                  </w:pPr>
                </w:p>
              </w:tc>
              <w:tc>
                <w:tcPr>
                  <w:tcW w:w="759" w:type="pct"/>
                  <w:vMerge w:val="continue"/>
                  <w:noWrap w:val="0"/>
                  <w:vAlign w:val="center"/>
                </w:tcPr>
                <w:p w14:paraId="6135F514">
                  <w:pPr>
                    <w:pStyle w:val="52"/>
                    <w:rPr>
                      <w:rFonts w:hint="eastAsia" w:ascii="Times New Roman" w:hAnsi="Times New Roman"/>
                      <w:color w:val="auto"/>
                      <w:lang w:val="en-US" w:eastAsia="zh-CN"/>
                    </w:rPr>
                  </w:pPr>
                </w:p>
              </w:tc>
              <w:tc>
                <w:tcPr>
                  <w:tcW w:w="484" w:type="pct"/>
                  <w:vMerge w:val="continue"/>
                  <w:noWrap w:val="0"/>
                  <w:vAlign w:val="center"/>
                </w:tcPr>
                <w:p w14:paraId="1D9AA673">
                  <w:pPr>
                    <w:pStyle w:val="52"/>
                    <w:rPr>
                      <w:rFonts w:hint="eastAsia" w:ascii="Times New Roman" w:hAnsi="Times New Roman"/>
                      <w:color w:val="auto"/>
                      <w:lang w:val="en-US" w:eastAsia="zh-CN"/>
                    </w:rPr>
                  </w:pPr>
                </w:p>
              </w:tc>
              <w:tc>
                <w:tcPr>
                  <w:tcW w:w="411" w:type="pct"/>
                  <w:vMerge w:val="continue"/>
                  <w:noWrap w:val="0"/>
                  <w:vAlign w:val="center"/>
                </w:tcPr>
                <w:p w14:paraId="0FD28D6B">
                  <w:pPr>
                    <w:pStyle w:val="52"/>
                    <w:rPr>
                      <w:rFonts w:hint="eastAsia" w:ascii="Times New Roman" w:hAnsi="Times New Roman"/>
                      <w:color w:val="auto"/>
                    </w:rPr>
                  </w:pPr>
                </w:p>
              </w:tc>
            </w:tr>
            <w:tr w14:paraId="2B142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69" w:type="pct"/>
                  <w:vMerge w:val="continue"/>
                  <w:noWrap w:val="0"/>
                  <w:vAlign w:val="center"/>
                </w:tcPr>
                <w:p w14:paraId="6926E27D">
                  <w:pPr>
                    <w:jc w:val="center"/>
                    <w:rPr>
                      <w:rFonts w:hint="eastAsia" w:ascii="Times New Roman" w:hAnsi="Times New Roman" w:eastAsia="宋体"/>
                      <w:color w:val="auto"/>
                      <w:lang w:eastAsia="zh-CN"/>
                    </w:rPr>
                  </w:pPr>
                </w:p>
              </w:tc>
              <w:tc>
                <w:tcPr>
                  <w:tcW w:w="547" w:type="pct"/>
                  <w:vMerge w:val="continue"/>
                  <w:noWrap w:val="0"/>
                  <w:vAlign w:val="center"/>
                </w:tcPr>
                <w:p w14:paraId="7DC4A3F9">
                  <w:pPr>
                    <w:pStyle w:val="52"/>
                    <w:rPr>
                      <w:rFonts w:hint="eastAsia" w:ascii="Times New Roman" w:hAnsi="Times New Roman"/>
                      <w:color w:val="auto"/>
                      <w:lang w:eastAsia="zh-CN"/>
                    </w:rPr>
                  </w:pPr>
                </w:p>
              </w:tc>
              <w:tc>
                <w:tcPr>
                  <w:tcW w:w="794" w:type="pct"/>
                  <w:noWrap w:val="0"/>
                  <w:vAlign w:val="center"/>
                </w:tcPr>
                <w:p w14:paraId="7E15CC48">
                  <w:pPr>
                    <w:pStyle w:val="52"/>
                    <w:rPr>
                      <w:rFonts w:hint="eastAsia" w:ascii="Times New Roman" w:hAnsi="Times New Roman" w:eastAsia="宋体"/>
                      <w:color w:val="auto"/>
                      <w:lang w:eastAsia="zh-CN"/>
                    </w:rPr>
                  </w:pPr>
                  <w:r>
                    <w:rPr>
                      <w:rFonts w:hint="eastAsia" w:ascii="Times New Roman" w:hAnsi="Times New Roman"/>
                      <w:color w:val="auto"/>
                      <w:lang w:eastAsia="zh-CN"/>
                    </w:rPr>
                    <w:t>废电机拆解车间</w:t>
                  </w:r>
                </w:p>
              </w:tc>
              <w:tc>
                <w:tcPr>
                  <w:tcW w:w="665" w:type="pct"/>
                  <w:noWrap w:val="0"/>
                  <w:vAlign w:val="center"/>
                </w:tcPr>
                <w:p w14:paraId="5D1ADEBE">
                  <w:pPr>
                    <w:pStyle w:val="52"/>
                    <w:rPr>
                      <w:rFonts w:hint="eastAsia" w:ascii="Times New Roman" w:hAnsi="Times New Roman"/>
                      <w:color w:val="auto"/>
                    </w:rPr>
                  </w:pPr>
                  <w:r>
                    <w:rPr>
                      <w:rFonts w:hint="eastAsia" w:ascii="Times New Roman" w:hAnsi="Times New Roman"/>
                      <w:color w:val="auto"/>
                    </w:rPr>
                    <w:t>1.16E-03</w:t>
                  </w:r>
                </w:p>
              </w:tc>
              <w:tc>
                <w:tcPr>
                  <w:tcW w:w="767" w:type="pct"/>
                  <w:vMerge w:val="continue"/>
                  <w:noWrap w:val="0"/>
                  <w:vAlign w:val="center"/>
                </w:tcPr>
                <w:p w14:paraId="2A316667">
                  <w:pPr>
                    <w:pStyle w:val="52"/>
                    <w:rPr>
                      <w:rFonts w:hint="eastAsia" w:ascii="Times New Roman" w:hAnsi="Times New Roman"/>
                      <w:color w:val="auto"/>
                    </w:rPr>
                  </w:pPr>
                </w:p>
              </w:tc>
              <w:tc>
                <w:tcPr>
                  <w:tcW w:w="759" w:type="pct"/>
                  <w:vMerge w:val="continue"/>
                  <w:noWrap w:val="0"/>
                  <w:vAlign w:val="center"/>
                </w:tcPr>
                <w:p w14:paraId="10EF360C">
                  <w:pPr>
                    <w:pStyle w:val="52"/>
                    <w:rPr>
                      <w:rFonts w:hint="eastAsia" w:ascii="Times New Roman" w:hAnsi="Times New Roman"/>
                      <w:color w:val="auto"/>
                      <w:lang w:val="en-US" w:eastAsia="zh-CN"/>
                    </w:rPr>
                  </w:pPr>
                </w:p>
              </w:tc>
              <w:tc>
                <w:tcPr>
                  <w:tcW w:w="484" w:type="pct"/>
                  <w:vMerge w:val="continue"/>
                  <w:noWrap w:val="0"/>
                  <w:vAlign w:val="center"/>
                </w:tcPr>
                <w:p w14:paraId="07A81085">
                  <w:pPr>
                    <w:pStyle w:val="52"/>
                    <w:rPr>
                      <w:rFonts w:hint="eastAsia" w:ascii="Times New Roman" w:hAnsi="Times New Roman"/>
                      <w:color w:val="auto"/>
                      <w:lang w:val="en-US" w:eastAsia="zh-CN"/>
                    </w:rPr>
                  </w:pPr>
                </w:p>
              </w:tc>
              <w:tc>
                <w:tcPr>
                  <w:tcW w:w="411" w:type="pct"/>
                  <w:vMerge w:val="continue"/>
                  <w:noWrap w:val="0"/>
                  <w:vAlign w:val="center"/>
                </w:tcPr>
                <w:p w14:paraId="3EB4ADB4">
                  <w:pPr>
                    <w:pStyle w:val="52"/>
                    <w:rPr>
                      <w:rFonts w:hint="eastAsia" w:ascii="Times New Roman" w:hAnsi="Times New Roman"/>
                      <w:color w:val="auto"/>
                    </w:rPr>
                  </w:pPr>
                </w:p>
              </w:tc>
            </w:tr>
            <w:tr w14:paraId="20709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restart"/>
                  <w:noWrap w:val="0"/>
                  <w:vAlign w:val="center"/>
                </w:tcPr>
                <w:p w14:paraId="04DC0F73">
                  <w:pPr>
                    <w:jc w:val="center"/>
                    <w:rPr>
                      <w:rFonts w:hint="eastAsia" w:ascii="Times New Roman" w:hAnsi="Times New Roman" w:eastAsia="宋体"/>
                      <w:color w:val="auto"/>
                      <w:lang w:val="en-US" w:eastAsia="zh-CN"/>
                    </w:rPr>
                  </w:pPr>
                  <w:r>
                    <w:rPr>
                      <w:rFonts w:hint="eastAsia" w:ascii="Times New Roman" w:hAnsi="Times New Roman" w:eastAsia="宋体"/>
                      <w:color w:val="auto"/>
                      <w:lang w:eastAsia="zh-CN"/>
                    </w:rPr>
                    <w:t>山前村（北</w:t>
                  </w:r>
                  <w:r>
                    <w:rPr>
                      <w:rFonts w:hint="eastAsia" w:ascii="Times New Roman" w:hAnsi="Times New Roman" w:eastAsia="宋体"/>
                      <w:color w:val="auto"/>
                      <w:lang w:val="en-US" w:eastAsia="zh-CN"/>
                    </w:rPr>
                    <w:t>95m</w:t>
                  </w:r>
                  <w:r>
                    <w:rPr>
                      <w:rFonts w:hint="eastAsia" w:ascii="Times New Roman" w:hAnsi="Times New Roman" w:eastAsia="宋体"/>
                      <w:color w:val="auto"/>
                      <w:lang w:eastAsia="zh-CN"/>
                    </w:rPr>
                    <w:t>）</w:t>
                  </w:r>
                </w:p>
              </w:tc>
              <w:tc>
                <w:tcPr>
                  <w:tcW w:w="547" w:type="pct"/>
                  <w:vMerge w:val="restart"/>
                  <w:noWrap w:val="0"/>
                  <w:vAlign w:val="center"/>
                </w:tcPr>
                <w:p w14:paraId="362E611A">
                  <w:pPr>
                    <w:pStyle w:val="52"/>
                    <w:ind w:firstLine="0" w:firstLineChars="0"/>
                    <w:rPr>
                      <w:rFonts w:ascii="Times New Roman" w:hAnsi="Times New Roman"/>
                      <w:color w:val="auto"/>
                    </w:rPr>
                  </w:pPr>
                  <w:r>
                    <w:rPr>
                      <w:rFonts w:ascii="Times New Roman" w:hAnsi="Times New Roman"/>
                      <w:color w:val="auto"/>
                    </w:rPr>
                    <w:t>VOCs</w:t>
                  </w:r>
                  <w:r>
                    <w:rPr>
                      <w:rFonts w:hint="eastAsia" w:ascii="Times New Roman" w:hAnsi="Times New Roman"/>
                      <w:color w:val="auto"/>
                      <w:lang w:eastAsia="zh-CN"/>
                    </w:rPr>
                    <w:t>（以非甲烷总烃计）</w:t>
                  </w:r>
                </w:p>
              </w:tc>
              <w:tc>
                <w:tcPr>
                  <w:tcW w:w="794" w:type="pct"/>
                  <w:noWrap w:val="0"/>
                  <w:vAlign w:val="center"/>
                </w:tcPr>
                <w:p w14:paraId="32DDBCA1">
                  <w:pPr>
                    <w:pStyle w:val="52"/>
                    <w:ind w:firstLine="0" w:firstLineChars="0"/>
                    <w:rPr>
                      <w:rFonts w:hint="default" w:ascii="Times New Roman" w:hAnsi="Times New Roman" w:eastAsia="宋体"/>
                      <w:color w:val="auto"/>
                      <w:lang w:val="en-US" w:eastAsia="zh-CN"/>
                    </w:rPr>
                  </w:pPr>
                  <w:r>
                    <w:rPr>
                      <w:rFonts w:hint="eastAsia" w:ascii="Times New Roman" w:hAnsi="Times New Roman"/>
                      <w:color w:val="auto"/>
                      <w:lang w:val="en-US" w:eastAsia="zh-CN"/>
                    </w:rPr>
                    <w:t>DA001</w:t>
                  </w:r>
                </w:p>
              </w:tc>
              <w:tc>
                <w:tcPr>
                  <w:tcW w:w="665" w:type="pct"/>
                  <w:noWrap w:val="0"/>
                  <w:vAlign w:val="center"/>
                </w:tcPr>
                <w:p w14:paraId="185018BD">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1.17E-03</w:t>
                  </w:r>
                </w:p>
              </w:tc>
              <w:tc>
                <w:tcPr>
                  <w:tcW w:w="767" w:type="pct"/>
                  <w:vMerge w:val="restart"/>
                  <w:noWrap w:val="0"/>
                  <w:vAlign w:val="center"/>
                </w:tcPr>
                <w:p w14:paraId="4998682F">
                  <w:pPr>
                    <w:pStyle w:val="52"/>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1.76E-01</w:t>
                  </w:r>
                </w:p>
              </w:tc>
              <w:tc>
                <w:tcPr>
                  <w:tcW w:w="759" w:type="pct"/>
                  <w:vMerge w:val="restart"/>
                  <w:noWrap w:val="0"/>
                  <w:vAlign w:val="center"/>
                </w:tcPr>
                <w:p w14:paraId="71E7600B">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2.0</w:t>
                  </w:r>
                </w:p>
              </w:tc>
              <w:tc>
                <w:tcPr>
                  <w:tcW w:w="484" w:type="pct"/>
                  <w:vMerge w:val="restart"/>
                  <w:noWrap w:val="0"/>
                  <w:vAlign w:val="center"/>
                </w:tcPr>
                <w:p w14:paraId="6D0F7222">
                  <w:pPr>
                    <w:pStyle w:val="52"/>
                    <w:rPr>
                      <w:rFonts w:hint="default" w:ascii="Times New Roman" w:hAnsi="Times New Roman"/>
                      <w:color w:val="auto"/>
                      <w:lang w:val="en-US" w:eastAsia="zh-CN"/>
                    </w:rPr>
                  </w:pPr>
                  <w:r>
                    <w:rPr>
                      <w:rFonts w:hint="eastAsia" w:ascii="Times New Roman" w:hAnsi="Times New Roman"/>
                      <w:color w:val="auto"/>
                      <w:lang w:val="en-US" w:eastAsia="zh-CN"/>
                    </w:rPr>
                    <w:t>8.8%</w:t>
                  </w:r>
                </w:p>
              </w:tc>
              <w:tc>
                <w:tcPr>
                  <w:tcW w:w="411" w:type="pct"/>
                  <w:vMerge w:val="restart"/>
                  <w:noWrap w:val="0"/>
                  <w:vAlign w:val="center"/>
                </w:tcPr>
                <w:p w14:paraId="41F44D50">
                  <w:pPr>
                    <w:pStyle w:val="52"/>
                    <w:rPr>
                      <w:rFonts w:ascii="Times New Roman" w:hAnsi="Times New Roman"/>
                      <w:color w:val="auto"/>
                    </w:rPr>
                  </w:pPr>
                  <w:r>
                    <w:rPr>
                      <w:rFonts w:hint="eastAsia" w:ascii="Times New Roman" w:hAnsi="Times New Roman"/>
                      <w:color w:val="auto"/>
                    </w:rPr>
                    <w:t>达标</w:t>
                  </w:r>
                </w:p>
              </w:tc>
            </w:tr>
            <w:tr w14:paraId="1A828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5DA8DEB2">
                  <w:pPr>
                    <w:jc w:val="center"/>
                    <w:rPr>
                      <w:rFonts w:hint="eastAsia" w:ascii="Times New Roman" w:hAnsi="Times New Roman" w:eastAsia="宋体"/>
                      <w:color w:val="auto"/>
                      <w:lang w:eastAsia="zh-CN"/>
                    </w:rPr>
                  </w:pPr>
                </w:p>
              </w:tc>
              <w:tc>
                <w:tcPr>
                  <w:tcW w:w="547" w:type="pct"/>
                  <w:vMerge w:val="continue"/>
                  <w:noWrap w:val="0"/>
                  <w:vAlign w:val="center"/>
                </w:tcPr>
                <w:p w14:paraId="7EB12D61">
                  <w:pPr>
                    <w:pStyle w:val="52"/>
                    <w:ind w:firstLine="0" w:firstLineChars="0"/>
                    <w:rPr>
                      <w:rFonts w:ascii="Times New Roman" w:hAnsi="Times New Roman"/>
                      <w:color w:val="auto"/>
                    </w:rPr>
                  </w:pPr>
                </w:p>
              </w:tc>
              <w:tc>
                <w:tcPr>
                  <w:tcW w:w="794" w:type="pct"/>
                  <w:noWrap w:val="0"/>
                  <w:vAlign w:val="center"/>
                </w:tcPr>
                <w:p w14:paraId="2ECFFD9B">
                  <w:pPr>
                    <w:pStyle w:val="52"/>
                    <w:ind w:firstLine="0" w:firstLineChars="0"/>
                    <w:rPr>
                      <w:rFonts w:hint="default" w:ascii="Times New Roman" w:hAnsi="Times New Roman" w:eastAsia="宋体"/>
                      <w:color w:val="auto"/>
                      <w:lang w:val="en-US" w:eastAsia="zh-CN"/>
                    </w:rPr>
                  </w:pPr>
                  <w:r>
                    <w:rPr>
                      <w:rFonts w:hint="eastAsia" w:ascii="Times New Roman" w:hAnsi="Times New Roman"/>
                      <w:color w:val="auto"/>
                      <w:lang w:val="en-US" w:eastAsia="zh-CN"/>
                    </w:rPr>
                    <w:t>DA002</w:t>
                  </w:r>
                </w:p>
              </w:tc>
              <w:tc>
                <w:tcPr>
                  <w:tcW w:w="665" w:type="pct"/>
                  <w:noWrap w:val="0"/>
                  <w:vAlign w:val="center"/>
                </w:tcPr>
                <w:p w14:paraId="68AB451D">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2.17E-03</w:t>
                  </w:r>
                </w:p>
              </w:tc>
              <w:tc>
                <w:tcPr>
                  <w:tcW w:w="767" w:type="pct"/>
                  <w:vMerge w:val="continue"/>
                  <w:noWrap w:val="0"/>
                  <w:vAlign w:val="center"/>
                </w:tcPr>
                <w:p w14:paraId="2AF0C342">
                  <w:pPr>
                    <w:pStyle w:val="52"/>
                    <w:rPr>
                      <w:rFonts w:hint="default" w:ascii="Times New Roman" w:hAnsi="Times New Roman" w:eastAsia="宋体"/>
                      <w:color w:val="auto"/>
                      <w:lang w:val="en-US" w:eastAsia="zh-CN"/>
                    </w:rPr>
                  </w:pPr>
                </w:p>
              </w:tc>
              <w:tc>
                <w:tcPr>
                  <w:tcW w:w="759" w:type="pct"/>
                  <w:vMerge w:val="continue"/>
                  <w:noWrap w:val="0"/>
                  <w:vAlign w:val="center"/>
                </w:tcPr>
                <w:p w14:paraId="77844A12">
                  <w:pPr>
                    <w:pStyle w:val="52"/>
                    <w:rPr>
                      <w:rFonts w:hint="eastAsia" w:ascii="Times New Roman" w:hAnsi="Times New Roman"/>
                      <w:color w:val="auto"/>
                      <w:lang w:val="en-US" w:eastAsia="zh-CN"/>
                    </w:rPr>
                  </w:pPr>
                </w:p>
              </w:tc>
              <w:tc>
                <w:tcPr>
                  <w:tcW w:w="484" w:type="pct"/>
                  <w:vMerge w:val="continue"/>
                  <w:noWrap w:val="0"/>
                  <w:vAlign w:val="center"/>
                </w:tcPr>
                <w:p w14:paraId="092208C6">
                  <w:pPr>
                    <w:pStyle w:val="52"/>
                    <w:rPr>
                      <w:rFonts w:hint="eastAsia" w:ascii="Times New Roman" w:hAnsi="Times New Roman"/>
                      <w:color w:val="auto"/>
                      <w:lang w:val="en-US" w:eastAsia="zh-CN"/>
                    </w:rPr>
                  </w:pPr>
                </w:p>
              </w:tc>
              <w:tc>
                <w:tcPr>
                  <w:tcW w:w="411" w:type="pct"/>
                  <w:vMerge w:val="continue"/>
                  <w:noWrap w:val="0"/>
                  <w:vAlign w:val="center"/>
                </w:tcPr>
                <w:p w14:paraId="15293B54">
                  <w:pPr>
                    <w:pStyle w:val="52"/>
                    <w:rPr>
                      <w:rFonts w:hint="eastAsia" w:ascii="Times New Roman" w:hAnsi="Times New Roman"/>
                      <w:color w:val="auto"/>
                    </w:rPr>
                  </w:pPr>
                </w:p>
              </w:tc>
            </w:tr>
            <w:tr w14:paraId="6E060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66C2E6BC">
                  <w:pPr>
                    <w:jc w:val="center"/>
                    <w:rPr>
                      <w:rFonts w:hint="eastAsia" w:ascii="Times New Roman" w:hAnsi="Times New Roman" w:eastAsia="宋体"/>
                      <w:color w:val="auto"/>
                      <w:lang w:eastAsia="zh-CN"/>
                    </w:rPr>
                  </w:pPr>
                </w:p>
              </w:tc>
              <w:tc>
                <w:tcPr>
                  <w:tcW w:w="547" w:type="pct"/>
                  <w:vMerge w:val="continue"/>
                  <w:noWrap w:val="0"/>
                  <w:vAlign w:val="center"/>
                </w:tcPr>
                <w:p w14:paraId="571DA762">
                  <w:pPr>
                    <w:pStyle w:val="52"/>
                    <w:ind w:firstLine="0" w:firstLineChars="0"/>
                    <w:rPr>
                      <w:rFonts w:ascii="Times New Roman" w:hAnsi="Times New Roman"/>
                      <w:color w:val="auto"/>
                    </w:rPr>
                  </w:pPr>
                </w:p>
              </w:tc>
              <w:tc>
                <w:tcPr>
                  <w:tcW w:w="794" w:type="pct"/>
                  <w:noWrap w:val="0"/>
                  <w:vAlign w:val="center"/>
                </w:tcPr>
                <w:p w14:paraId="0C8787F9">
                  <w:pPr>
                    <w:pStyle w:val="52"/>
                    <w:ind w:firstLine="0" w:firstLineChars="0"/>
                    <w:rPr>
                      <w:rFonts w:hint="default" w:ascii="Times New Roman" w:hAnsi="Times New Roman"/>
                      <w:color w:val="auto"/>
                      <w:lang w:val="en-US" w:eastAsia="zh-CN"/>
                    </w:rPr>
                  </w:pPr>
                  <w:r>
                    <w:rPr>
                      <w:rFonts w:hint="eastAsia" w:ascii="Times New Roman" w:hAnsi="Times New Roman"/>
                      <w:color w:val="auto"/>
                      <w:lang w:val="en-US" w:eastAsia="zh-CN"/>
                    </w:rPr>
                    <w:t>DA003</w:t>
                  </w:r>
                </w:p>
              </w:tc>
              <w:tc>
                <w:tcPr>
                  <w:tcW w:w="665" w:type="pct"/>
                  <w:noWrap w:val="0"/>
                  <w:vAlign w:val="center"/>
                </w:tcPr>
                <w:p w14:paraId="26378247">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1.59E-04</w:t>
                  </w:r>
                </w:p>
              </w:tc>
              <w:tc>
                <w:tcPr>
                  <w:tcW w:w="767" w:type="pct"/>
                  <w:vMerge w:val="continue"/>
                  <w:noWrap w:val="0"/>
                  <w:vAlign w:val="center"/>
                </w:tcPr>
                <w:p w14:paraId="34C9F2CB">
                  <w:pPr>
                    <w:pStyle w:val="52"/>
                    <w:rPr>
                      <w:rFonts w:hint="default" w:ascii="Times New Roman" w:hAnsi="Times New Roman" w:eastAsia="宋体"/>
                      <w:color w:val="auto"/>
                      <w:lang w:val="en-US" w:eastAsia="zh-CN"/>
                    </w:rPr>
                  </w:pPr>
                </w:p>
              </w:tc>
              <w:tc>
                <w:tcPr>
                  <w:tcW w:w="759" w:type="pct"/>
                  <w:vMerge w:val="continue"/>
                  <w:noWrap w:val="0"/>
                  <w:vAlign w:val="center"/>
                </w:tcPr>
                <w:p w14:paraId="11791878">
                  <w:pPr>
                    <w:pStyle w:val="52"/>
                    <w:rPr>
                      <w:rFonts w:hint="eastAsia" w:ascii="Times New Roman" w:hAnsi="Times New Roman"/>
                      <w:color w:val="auto"/>
                      <w:lang w:val="en-US" w:eastAsia="zh-CN"/>
                    </w:rPr>
                  </w:pPr>
                </w:p>
              </w:tc>
              <w:tc>
                <w:tcPr>
                  <w:tcW w:w="484" w:type="pct"/>
                  <w:vMerge w:val="continue"/>
                  <w:noWrap w:val="0"/>
                  <w:vAlign w:val="center"/>
                </w:tcPr>
                <w:p w14:paraId="5FDCBCE4">
                  <w:pPr>
                    <w:pStyle w:val="52"/>
                    <w:rPr>
                      <w:rFonts w:hint="eastAsia" w:ascii="Times New Roman" w:hAnsi="Times New Roman"/>
                      <w:color w:val="auto"/>
                      <w:lang w:val="en-US" w:eastAsia="zh-CN"/>
                    </w:rPr>
                  </w:pPr>
                </w:p>
              </w:tc>
              <w:tc>
                <w:tcPr>
                  <w:tcW w:w="411" w:type="pct"/>
                  <w:vMerge w:val="continue"/>
                  <w:noWrap w:val="0"/>
                  <w:vAlign w:val="center"/>
                </w:tcPr>
                <w:p w14:paraId="16E40DD2">
                  <w:pPr>
                    <w:pStyle w:val="52"/>
                    <w:rPr>
                      <w:rFonts w:hint="eastAsia" w:ascii="Times New Roman" w:hAnsi="Times New Roman"/>
                      <w:color w:val="auto"/>
                    </w:rPr>
                  </w:pPr>
                </w:p>
              </w:tc>
            </w:tr>
            <w:tr w14:paraId="00CAF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54B881CC">
                  <w:pPr>
                    <w:jc w:val="center"/>
                    <w:rPr>
                      <w:rFonts w:hint="eastAsia" w:ascii="Times New Roman" w:hAnsi="Times New Roman" w:eastAsia="宋体"/>
                      <w:color w:val="auto"/>
                      <w:lang w:eastAsia="zh-CN"/>
                    </w:rPr>
                  </w:pPr>
                </w:p>
              </w:tc>
              <w:tc>
                <w:tcPr>
                  <w:tcW w:w="547" w:type="pct"/>
                  <w:vMerge w:val="continue"/>
                  <w:noWrap w:val="0"/>
                  <w:vAlign w:val="center"/>
                </w:tcPr>
                <w:p w14:paraId="31022A0A">
                  <w:pPr>
                    <w:pStyle w:val="52"/>
                    <w:ind w:firstLine="0" w:firstLineChars="0"/>
                    <w:rPr>
                      <w:rFonts w:ascii="Times New Roman" w:hAnsi="Times New Roman"/>
                      <w:color w:val="auto"/>
                    </w:rPr>
                  </w:pPr>
                </w:p>
              </w:tc>
              <w:tc>
                <w:tcPr>
                  <w:tcW w:w="794" w:type="pct"/>
                  <w:noWrap w:val="0"/>
                  <w:vAlign w:val="center"/>
                </w:tcPr>
                <w:p w14:paraId="08B553D8">
                  <w:pPr>
                    <w:pStyle w:val="52"/>
                    <w:ind w:firstLine="0" w:firstLineChars="0"/>
                    <w:rPr>
                      <w:rFonts w:hint="default" w:ascii="Times New Roman" w:hAnsi="Times New Roman" w:eastAsia="宋体"/>
                      <w:color w:val="auto"/>
                      <w:lang w:val="en-US" w:eastAsia="zh-CN"/>
                    </w:rPr>
                  </w:pPr>
                  <w:r>
                    <w:rPr>
                      <w:rFonts w:hint="eastAsia" w:ascii="Times New Roman" w:hAnsi="Times New Roman"/>
                      <w:color w:val="auto"/>
                      <w:lang w:val="en-US" w:eastAsia="zh-CN"/>
                    </w:rPr>
                    <w:t>预处理车间</w:t>
                  </w:r>
                </w:p>
              </w:tc>
              <w:tc>
                <w:tcPr>
                  <w:tcW w:w="665" w:type="pct"/>
                  <w:noWrap w:val="0"/>
                  <w:vAlign w:val="center"/>
                </w:tcPr>
                <w:p w14:paraId="00368416">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4.82E-02</w:t>
                  </w:r>
                </w:p>
              </w:tc>
              <w:tc>
                <w:tcPr>
                  <w:tcW w:w="767" w:type="pct"/>
                  <w:vMerge w:val="continue"/>
                  <w:noWrap w:val="0"/>
                  <w:vAlign w:val="center"/>
                </w:tcPr>
                <w:p w14:paraId="295A1026">
                  <w:pPr>
                    <w:pStyle w:val="52"/>
                    <w:rPr>
                      <w:rFonts w:hint="default" w:ascii="Times New Roman" w:hAnsi="Times New Roman" w:eastAsia="宋体"/>
                      <w:color w:val="auto"/>
                      <w:lang w:val="en-US" w:eastAsia="zh-CN"/>
                    </w:rPr>
                  </w:pPr>
                </w:p>
              </w:tc>
              <w:tc>
                <w:tcPr>
                  <w:tcW w:w="759" w:type="pct"/>
                  <w:vMerge w:val="continue"/>
                  <w:noWrap w:val="0"/>
                  <w:vAlign w:val="center"/>
                </w:tcPr>
                <w:p w14:paraId="4EEAF9C4">
                  <w:pPr>
                    <w:pStyle w:val="52"/>
                    <w:rPr>
                      <w:rFonts w:hint="eastAsia" w:ascii="Times New Roman" w:hAnsi="Times New Roman"/>
                      <w:color w:val="auto"/>
                      <w:lang w:val="en-US" w:eastAsia="zh-CN"/>
                    </w:rPr>
                  </w:pPr>
                </w:p>
              </w:tc>
              <w:tc>
                <w:tcPr>
                  <w:tcW w:w="484" w:type="pct"/>
                  <w:vMerge w:val="continue"/>
                  <w:noWrap w:val="0"/>
                  <w:vAlign w:val="center"/>
                </w:tcPr>
                <w:p w14:paraId="4DD51A76">
                  <w:pPr>
                    <w:pStyle w:val="52"/>
                    <w:rPr>
                      <w:rFonts w:hint="eastAsia" w:ascii="Times New Roman" w:hAnsi="Times New Roman"/>
                      <w:color w:val="auto"/>
                      <w:lang w:val="en-US" w:eastAsia="zh-CN"/>
                    </w:rPr>
                  </w:pPr>
                </w:p>
              </w:tc>
              <w:tc>
                <w:tcPr>
                  <w:tcW w:w="411" w:type="pct"/>
                  <w:vMerge w:val="continue"/>
                  <w:noWrap w:val="0"/>
                  <w:vAlign w:val="center"/>
                </w:tcPr>
                <w:p w14:paraId="636239C6">
                  <w:pPr>
                    <w:pStyle w:val="52"/>
                    <w:rPr>
                      <w:rFonts w:hint="eastAsia" w:ascii="Times New Roman" w:hAnsi="Times New Roman"/>
                      <w:color w:val="auto"/>
                    </w:rPr>
                  </w:pPr>
                </w:p>
              </w:tc>
            </w:tr>
            <w:tr w14:paraId="76E2D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69" w:type="pct"/>
                  <w:vMerge w:val="continue"/>
                  <w:noWrap w:val="0"/>
                  <w:vAlign w:val="center"/>
                </w:tcPr>
                <w:p w14:paraId="3185AA84">
                  <w:pPr>
                    <w:jc w:val="center"/>
                    <w:rPr>
                      <w:rFonts w:hint="eastAsia" w:ascii="Times New Roman" w:hAnsi="Times New Roman" w:eastAsia="宋体"/>
                      <w:color w:val="auto"/>
                      <w:lang w:eastAsia="zh-CN"/>
                    </w:rPr>
                  </w:pPr>
                </w:p>
              </w:tc>
              <w:tc>
                <w:tcPr>
                  <w:tcW w:w="547" w:type="pct"/>
                  <w:vMerge w:val="continue"/>
                  <w:noWrap w:val="0"/>
                  <w:vAlign w:val="center"/>
                </w:tcPr>
                <w:p w14:paraId="365BE8CF">
                  <w:pPr>
                    <w:pStyle w:val="52"/>
                    <w:ind w:firstLine="0" w:firstLineChars="0"/>
                    <w:rPr>
                      <w:rFonts w:ascii="Times New Roman" w:hAnsi="Times New Roman"/>
                      <w:color w:val="auto"/>
                    </w:rPr>
                  </w:pPr>
                </w:p>
              </w:tc>
              <w:tc>
                <w:tcPr>
                  <w:tcW w:w="794" w:type="pct"/>
                  <w:noWrap w:val="0"/>
                  <w:vAlign w:val="center"/>
                </w:tcPr>
                <w:p w14:paraId="2485D6D2">
                  <w:pPr>
                    <w:pStyle w:val="52"/>
                    <w:ind w:firstLine="0" w:firstLineChars="0"/>
                    <w:rPr>
                      <w:rFonts w:hint="default" w:ascii="Times New Roman" w:hAnsi="Times New Roman" w:eastAsia="宋体"/>
                      <w:color w:val="auto"/>
                      <w:lang w:val="en-US" w:eastAsia="zh-CN"/>
                    </w:rPr>
                  </w:pPr>
                  <w:r>
                    <w:rPr>
                      <w:rFonts w:hint="eastAsia" w:ascii="Times New Roman" w:hAnsi="Times New Roman"/>
                      <w:color w:val="auto"/>
                      <w:lang w:val="en-US" w:eastAsia="zh-CN"/>
                    </w:rPr>
                    <w:t>废变压器拆解车间</w:t>
                  </w:r>
                </w:p>
              </w:tc>
              <w:tc>
                <w:tcPr>
                  <w:tcW w:w="665" w:type="pct"/>
                  <w:noWrap w:val="0"/>
                  <w:vAlign w:val="center"/>
                </w:tcPr>
                <w:p w14:paraId="18248133">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1.14E-01</w:t>
                  </w:r>
                </w:p>
              </w:tc>
              <w:tc>
                <w:tcPr>
                  <w:tcW w:w="767" w:type="pct"/>
                  <w:vMerge w:val="continue"/>
                  <w:noWrap w:val="0"/>
                  <w:vAlign w:val="center"/>
                </w:tcPr>
                <w:p w14:paraId="116D4004">
                  <w:pPr>
                    <w:pStyle w:val="52"/>
                    <w:rPr>
                      <w:rFonts w:hint="default" w:ascii="Times New Roman" w:hAnsi="Times New Roman" w:eastAsia="宋体"/>
                      <w:color w:val="auto"/>
                      <w:lang w:val="en-US" w:eastAsia="zh-CN"/>
                    </w:rPr>
                  </w:pPr>
                </w:p>
              </w:tc>
              <w:tc>
                <w:tcPr>
                  <w:tcW w:w="759" w:type="pct"/>
                  <w:vMerge w:val="continue"/>
                  <w:noWrap w:val="0"/>
                  <w:vAlign w:val="center"/>
                </w:tcPr>
                <w:p w14:paraId="6CCE37DF">
                  <w:pPr>
                    <w:pStyle w:val="52"/>
                    <w:rPr>
                      <w:rFonts w:hint="eastAsia" w:ascii="Times New Roman" w:hAnsi="Times New Roman"/>
                      <w:color w:val="auto"/>
                      <w:lang w:val="en-US" w:eastAsia="zh-CN"/>
                    </w:rPr>
                  </w:pPr>
                </w:p>
              </w:tc>
              <w:tc>
                <w:tcPr>
                  <w:tcW w:w="484" w:type="pct"/>
                  <w:vMerge w:val="continue"/>
                  <w:noWrap w:val="0"/>
                  <w:vAlign w:val="center"/>
                </w:tcPr>
                <w:p w14:paraId="07A98AF6">
                  <w:pPr>
                    <w:pStyle w:val="52"/>
                    <w:rPr>
                      <w:rFonts w:hint="eastAsia" w:ascii="Times New Roman" w:hAnsi="Times New Roman"/>
                      <w:color w:val="auto"/>
                      <w:lang w:val="en-US" w:eastAsia="zh-CN"/>
                    </w:rPr>
                  </w:pPr>
                </w:p>
              </w:tc>
              <w:tc>
                <w:tcPr>
                  <w:tcW w:w="411" w:type="pct"/>
                  <w:vMerge w:val="continue"/>
                  <w:noWrap w:val="0"/>
                  <w:vAlign w:val="center"/>
                </w:tcPr>
                <w:p w14:paraId="6DF49441">
                  <w:pPr>
                    <w:pStyle w:val="52"/>
                    <w:rPr>
                      <w:rFonts w:hint="eastAsia" w:ascii="Times New Roman" w:hAnsi="Times New Roman"/>
                      <w:color w:val="auto"/>
                    </w:rPr>
                  </w:pPr>
                </w:p>
              </w:tc>
            </w:tr>
            <w:tr w14:paraId="25261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69" w:type="pct"/>
                  <w:vMerge w:val="continue"/>
                  <w:noWrap w:val="0"/>
                  <w:vAlign w:val="center"/>
                </w:tcPr>
                <w:p w14:paraId="14C49DF7">
                  <w:pPr>
                    <w:jc w:val="center"/>
                    <w:rPr>
                      <w:rFonts w:hint="eastAsia" w:ascii="Times New Roman" w:hAnsi="Times New Roman" w:eastAsia="宋体"/>
                      <w:color w:val="auto"/>
                      <w:lang w:eastAsia="zh-CN"/>
                    </w:rPr>
                  </w:pPr>
                </w:p>
              </w:tc>
              <w:tc>
                <w:tcPr>
                  <w:tcW w:w="547" w:type="pct"/>
                  <w:vMerge w:val="continue"/>
                  <w:noWrap w:val="0"/>
                  <w:vAlign w:val="center"/>
                </w:tcPr>
                <w:p w14:paraId="19474487">
                  <w:pPr>
                    <w:pStyle w:val="52"/>
                    <w:ind w:firstLine="0" w:firstLineChars="0"/>
                    <w:rPr>
                      <w:rFonts w:ascii="Times New Roman" w:hAnsi="Times New Roman"/>
                      <w:color w:val="auto"/>
                    </w:rPr>
                  </w:pPr>
                </w:p>
              </w:tc>
              <w:tc>
                <w:tcPr>
                  <w:tcW w:w="794" w:type="pct"/>
                  <w:noWrap w:val="0"/>
                  <w:vAlign w:val="center"/>
                </w:tcPr>
                <w:p w14:paraId="452C015B">
                  <w:pPr>
                    <w:pStyle w:val="52"/>
                    <w:ind w:firstLine="0" w:firstLineChars="0"/>
                    <w:rPr>
                      <w:rFonts w:hint="default" w:ascii="Times New Roman" w:hAnsi="Times New Roman"/>
                      <w:color w:val="auto"/>
                      <w:lang w:val="en-US" w:eastAsia="zh-CN"/>
                    </w:rPr>
                  </w:pPr>
                  <w:r>
                    <w:rPr>
                      <w:rFonts w:hint="eastAsia" w:ascii="Times New Roman" w:hAnsi="Times New Roman"/>
                      <w:color w:val="auto"/>
                      <w:lang w:val="en-US" w:eastAsia="zh-CN"/>
                    </w:rPr>
                    <w:t>危废暂存间</w:t>
                  </w:r>
                </w:p>
              </w:tc>
              <w:tc>
                <w:tcPr>
                  <w:tcW w:w="665" w:type="pct"/>
                  <w:noWrap w:val="0"/>
                  <w:vAlign w:val="center"/>
                </w:tcPr>
                <w:p w14:paraId="32FA2FC5">
                  <w:pPr>
                    <w:pStyle w:val="5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1.01E-02</w:t>
                  </w:r>
                </w:p>
              </w:tc>
              <w:tc>
                <w:tcPr>
                  <w:tcW w:w="767" w:type="pct"/>
                  <w:vMerge w:val="continue"/>
                  <w:noWrap w:val="0"/>
                  <w:vAlign w:val="center"/>
                </w:tcPr>
                <w:p w14:paraId="38F16666">
                  <w:pPr>
                    <w:pStyle w:val="52"/>
                    <w:rPr>
                      <w:rFonts w:hint="default" w:ascii="Times New Roman" w:hAnsi="Times New Roman" w:eastAsia="宋体"/>
                      <w:color w:val="auto"/>
                      <w:lang w:val="en-US" w:eastAsia="zh-CN"/>
                    </w:rPr>
                  </w:pPr>
                </w:p>
              </w:tc>
              <w:tc>
                <w:tcPr>
                  <w:tcW w:w="759" w:type="pct"/>
                  <w:vMerge w:val="continue"/>
                  <w:noWrap w:val="0"/>
                  <w:vAlign w:val="center"/>
                </w:tcPr>
                <w:p w14:paraId="05568479">
                  <w:pPr>
                    <w:pStyle w:val="52"/>
                    <w:rPr>
                      <w:rFonts w:hint="eastAsia" w:ascii="Times New Roman" w:hAnsi="Times New Roman"/>
                      <w:color w:val="auto"/>
                      <w:lang w:val="en-US" w:eastAsia="zh-CN"/>
                    </w:rPr>
                  </w:pPr>
                </w:p>
              </w:tc>
              <w:tc>
                <w:tcPr>
                  <w:tcW w:w="484" w:type="pct"/>
                  <w:vMerge w:val="continue"/>
                  <w:noWrap w:val="0"/>
                  <w:vAlign w:val="center"/>
                </w:tcPr>
                <w:p w14:paraId="5D0ED32C">
                  <w:pPr>
                    <w:pStyle w:val="52"/>
                    <w:rPr>
                      <w:rFonts w:hint="eastAsia" w:ascii="Times New Roman" w:hAnsi="Times New Roman"/>
                      <w:color w:val="auto"/>
                      <w:lang w:val="en-US" w:eastAsia="zh-CN"/>
                    </w:rPr>
                  </w:pPr>
                </w:p>
              </w:tc>
              <w:tc>
                <w:tcPr>
                  <w:tcW w:w="411" w:type="pct"/>
                  <w:vMerge w:val="continue"/>
                  <w:noWrap w:val="0"/>
                  <w:vAlign w:val="center"/>
                </w:tcPr>
                <w:p w14:paraId="6B6D3C57">
                  <w:pPr>
                    <w:pStyle w:val="52"/>
                    <w:rPr>
                      <w:rFonts w:hint="eastAsia" w:ascii="Times New Roman" w:hAnsi="Times New Roman"/>
                      <w:color w:val="auto"/>
                    </w:rPr>
                  </w:pPr>
                </w:p>
              </w:tc>
            </w:tr>
            <w:tr w14:paraId="15030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6ABEDD42">
                  <w:pPr>
                    <w:jc w:val="center"/>
                    <w:rPr>
                      <w:rFonts w:ascii="Times New Roman" w:hAnsi="Times New Roman"/>
                      <w:color w:val="auto"/>
                      <w:sz w:val="21"/>
                    </w:rPr>
                  </w:pPr>
                </w:p>
              </w:tc>
              <w:tc>
                <w:tcPr>
                  <w:tcW w:w="547" w:type="pct"/>
                  <w:vMerge w:val="restart"/>
                  <w:noWrap w:val="0"/>
                  <w:vAlign w:val="center"/>
                </w:tcPr>
                <w:p w14:paraId="0BEE2601">
                  <w:pPr>
                    <w:pStyle w:val="52"/>
                    <w:ind w:firstLine="0" w:firstLineChars="0"/>
                    <w:rPr>
                      <w:rFonts w:ascii="Times New Roman" w:hAnsi="Times New Roman"/>
                      <w:color w:val="auto"/>
                    </w:rPr>
                  </w:pPr>
                  <w:r>
                    <w:rPr>
                      <w:rFonts w:hint="eastAsia" w:ascii="Times New Roman" w:hAnsi="Times New Roman"/>
                      <w:color w:val="auto"/>
                      <w:lang w:eastAsia="zh-CN"/>
                    </w:rPr>
                    <w:t>颗粒物</w:t>
                  </w:r>
                </w:p>
              </w:tc>
              <w:tc>
                <w:tcPr>
                  <w:tcW w:w="794" w:type="pct"/>
                  <w:noWrap w:val="0"/>
                  <w:vAlign w:val="center"/>
                </w:tcPr>
                <w:p w14:paraId="7878893A">
                  <w:pPr>
                    <w:pStyle w:val="52"/>
                    <w:ind w:firstLine="0" w:firstLineChars="0"/>
                    <w:rPr>
                      <w:rFonts w:ascii="Times New Roman" w:hAnsi="Times New Roman"/>
                      <w:color w:val="auto"/>
                    </w:rPr>
                  </w:pPr>
                  <w:r>
                    <w:rPr>
                      <w:rFonts w:hint="eastAsia" w:ascii="Times New Roman" w:hAnsi="Times New Roman"/>
                      <w:color w:val="auto"/>
                      <w:lang w:eastAsia="zh-CN"/>
                    </w:rPr>
                    <w:t>大小车拆解车间</w:t>
                  </w:r>
                </w:p>
              </w:tc>
              <w:tc>
                <w:tcPr>
                  <w:tcW w:w="665" w:type="pct"/>
                  <w:noWrap w:val="0"/>
                  <w:vAlign w:val="center"/>
                </w:tcPr>
                <w:p w14:paraId="0973FD98">
                  <w:pPr>
                    <w:pStyle w:val="52"/>
                    <w:rPr>
                      <w:rFonts w:ascii="Times New Roman" w:hAnsi="Times New Roman"/>
                      <w:color w:val="auto"/>
                    </w:rPr>
                  </w:pPr>
                  <w:r>
                    <w:rPr>
                      <w:rFonts w:hint="eastAsia" w:ascii="Times New Roman" w:hAnsi="Times New Roman"/>
                      <w:color w:val="auto"/>
                    </w:rPr>
                    <w:t>3.61E-02</w:t>
                  </w:r>
                </w:p>
              </w:tc>
              <w:tc>
                <w:tcPr>
                  <w:tcW w:w="767" w:type="pct"/>
                  <w:vMerge w:val="restart"/>
                  <w:noWrap w:val="0"/>
                  <w:vAlign w:val="center"/>
                </w:tcPr>
                <w:p w14:paraId="7BB68ECC">
                  <w:pPr>
                    <w:pStyle w:val="52"/>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3.80E-02</w:t>
                  </w:r>
                </w:p>
              </w:tc>
              <w:tc>
                <w:tcPr>
                  <w:tcW w:w="759" w:type="pct"/>
                  <w:vMerge w:val="restart"/>
                  <w:noWrap w:val="0"/>
                  <w:vAlign w:val="center"/>
                </w:tcPr>
                <w:p w14:paraId="53352233">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0.3</w:t>
                  </w:r>
                </w:p>
              </w:tc>
              <w:tc>
                <w:tcPr>
                  <w:tcW w:w="484" w:type="pct"/>
                  <w:vMerge w:val="restart"/>
                  <w:noWrap w:val="0"/>
                  <w:vAlign w:val="center"/>
                </w:tcPr>
                <w:p w14:paraId="7E4401DF">
                  <w:pPr>
                    <w:pStyle w:val="52"/>
                    <w:rPr>
                      <w:rFonts w:hint="default" w:ascii="Times New Roman" w:hAnsi="Times New Roman"/>
                      <w:color w:val="auto"/>
                      <w:lang w:val="en-US" w:eastAsia="zh-CN"/>
                    </w:rPr>
                  </w:pPr>
                  <w:r>
                    <w:rPr>
                      <w:rFonts w:hint="eastAsia" w:ascii="Times New Roman" w:hAnsi="Times New Roman"/>
                      <w:color w:val="auto"/>
                      <w:lang w:val="en-US" w:eastAsia="zh-CN"/>
                    </w:rPr>
                    <w:t>12.7%</w:t>
                  </w:r>
                </w:p>
              </w:tc>
              <w:tc>
                <w:tcPr>
                  <w:tcW w:w="411" w:type="pct"/>
                  <w:vMerge w:val="restart"/>
                  <w:noWrap w:val="0"/>
                  <w:vAlign w:val="center"/>
                </w:tcPr>
                <w:p w14:paraId="51C75579">
                  <w:pPr>
                    <w:pStyle w:val="52"/>
                    <w:rPr>
                      <w:rFonts w:ascii="Times New Roman" w:hAnsi="Times New Roman"/>
                      <w:color w:val="auto"/>
                    </w:rPr>
                  </w:pPr>
                  <w:r>
                    <w:rPr>
                      <w:rFonts w:hint="eastAsia" w:ascii="Times New Roman" w:hAnsi="Times New Roman"/>
                      <w:color w:val="auto"/>
                    </w:rPr>
                    <w:t>达标</w:t>
                  </w:r>
                </w:p>
              </w:tc>
            </w:tr>
            <w:tr w14:paraId="195E8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4E6D3ABB">
                  <w:pPr>
                    <w:jc w:val="center"/>
                    <w:rPr>
                      <w:rFonts w:ascii="Times New Roman" w:hAnsi="Times New Roman"/>
                      <w:color w:val="auto"/>
                      <w:sz w:val="21"/>
                    </w:rPr>
                  </w:pPr>
                </w:p>
              </w:tc>
              <w:tc>
                <w:tcPr>
                  <w:tcW w:w="547" w:type="pct"/>
                  <w:vMerge w:val="continue"/>
                  <w:noWrap w:val="0"/>
                  <w:vAlign w:val="center"/>
                </w:tcPr>
                <w:p w14:paraId="2E7A2D79">
                  <w:pPr>
                    <w:pStyle w:val="52"/>
                    <w:ind w:firstLine="0" w:firstLineChars="0"/>
                    <w:rPr>
                      <w:rFonts w:hint="eastAsia" w:ascii="Times New Roman" w:hAnsi="Times New Roman"/>
                      <w:color w:val="auto"/>
                      <w:lang w:eastAsia="zh-CN"/>
                    </w:rPr>
                  </w:pPr>
                </w:p>
              </w:tc>
              <w:tc>
                <w:tcPr>
                  <w:tcW w:w="794" w:type="pct"/>
                  <w:noWrap w:val="0"/>
                  <w:vAlign w:val="center"/>
                </w:tcPr>
                <w:p w14:paraId="3683D223">
                  <w:pPr>
                    <w:pStyle w:val="52"/>
                    <w:ind w:firstLine="0" w:firstLineChars="0"/>
                    <w:rPr>
                      <w:rFonts w:ascii="Times New Roman" w:hAnsi="Times New Roman"/>
                      <w:color w:val="auto"/>
                    </w:rPr>
                  </w:pPr>
                  <w:r>
                    <w:rPr>
                      <w:rFonts w:hint="eastAsia" w:ascii="Times New Roman" w:hAnsi="Times New Roman"/>
                      <w:color w:val="auto"/>
                      <w:lang w:eastAsia="zh-CN"/>
                    </w:rPr>
                    <w:t>变压器拆解车间</w:t>
                  </w:r>
                </w:p>
              </w:tc>
              <w:tc>
                <w:tcPr>
                  <w:tcW w:w="665" w:type="pct"/>
                  <w:noWrap w:val="0"/>
                  <w:vAlign w:val="center"/>
                </w:tcPr>
                <w:p w14:paraId="0F2E5BAB">
                  <w:pPr>
                    <w:pStyle w:val="52"/>
                    <w:rPr>
                      <w:rFonts w:ascii="Times New Roman" w:hAnsi="Times New Roman"/>
                      <w:color w:val="auto"/>
                    </w:rPr>
                  </w:pPr>
                  <w:r>
                    <w:rPr>
                      <w:rFonts w:hint="eastAsia" w:ascii="Times New Roman" w:hAnsi="Times New Roman"/>
                      <w:color w:val="auto"/>
                    </w:rPr>
                    <w:t>1.03E-03</w:t>
                  </w:r>
                </w:p>
              </w:tc>
              <w:tc>
                <w:tcPr>
                  <w:tcW w:w="767" w:type="pct"/>
                  <w:vMerge w:val="continue"/>
                  <w:noWrap w:val="0"/>
                  <w:vAlign w:val="center"/>
                </w:tcPr>
                <w:p w14:paraId="058A0CF2">
                  <w:pPr>
                    <w:pStyle w:val="52"/>
                    <w:rPr>
                      <w:rFonts w:ascii="Times New Roman" w:hAnsi="Times New Roman"/>
                      <w:color w:val="auto"/>
                    </w:rPr>
                  </w:pPr>
                </w:p>
              </w:tc>
              <w:tc>
                <w:tcPr>
                  <w:tcW w:w="759" w:type="pct"/>
                  <w:vMerge w:val="continue"/>
                  <w:noWrap w:val="0"/>
                  <w:vAlign w:val="center"/>
                </w:tcPr>
                <w:p w14:paraId="65CF8ACD">
                  <w:pPr>
                    <w:pStyle w:val="52"/>
                    <w:rPr>
                      <w:rFonts w:hint="eastAsia" w:ascii="Times New Roman" w:hAnsi="Times New Roman"/>
                      <w:color w:val="auto"/>
                      <w:lang w:val="en-US" w:eastAsia="zh-CN"/>
                    </w:rPr>
                  </w:pPr>
                </w:p>
              </w:tc>
              <w:tc>
                <w:tcPr>
                  <w:tcW w:w="484" w:type="pct"/>
                  <w:vMerge w:val="continue"/>
                  <w:noWrap w:val="0"/>
                  <w:vAlign w:val="center"/>
                </w:tcPr>
                <w:p w14:paraId="4659EE76">
                  <w:pPr>
                    <w:pStyle w:val="52"/>
                    <w:rPr>
                      <w:rFonts w:hint="eastAsia" w:ascii="Times New Roman" w:hAnsi="Times New Roman"/>
                      <w:color w:val="auto"/>
                      <w:lang w:val="en-US" w:eastAsia="zh-CN"/>
                    </w:rPr>
                  </w:pPr>
                </w:p>
              </w:tc>
              <w:tc>
                <w:tcPr>
                  <w:tcW w:w="411" w:type="pct"/>
                  <w:vMerge w:val="continue"/>
                  <w:noWrap w:val="0"/>
                  <w:vAlign w:val="center"/>
                </w:tcPr>
                <w:p w14:paraId="0D2422C8">
                  <w:pPr>
                    <w:pStyle w:val="52"/>
                    <w:rPr>
                      <w:rFonts w:hint="eastAsia" w:ascii="Times New Roman" w:hAnsi="Times New Roman"/>
                      <w:color w:val="auto"/>
                    </w:rPr>
                  </w:pPr>
                </w:p>
              </w:tc>
            </w:tr>
            <w:tr w14:paraId="57449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17A79BC5">
                  <w:pPr>
                    <w:jc w:val="center"/>
                    <w:rPr>
                      <w:rFonts w:ascii="Times New Roman" w:hAnsi="Times New Roman"/>
                      <w:color w:val="auto"/>
                      <w:sz w:val="21"/>
                    </w:rPr>
                  </w:pPr>
                </w:p>
              </w:tc>
              <w:tc>
                <w:tcPr>
                  <w:tcW w:w="547" w:type="pct"/>
                  <w:vMerge w:val="continue"/>
                  <w:noWrap w:val="0"/>
                  <w:vAlign w:val="center"/>
                </w:tcPr>
                <w:p w14:paraId="7031BFAB">
                  <w:pPr>
                    <w:pStyle w:val="52"/>
                    <w:ind w:firstLine="0" w:firstLineChars="0"/>
                    <w:rPr>
                      <w:rFonts w:hint="eastAsia" w:ascii="Times New Roman" w:hAnsi="Times New Roman"/>
                      <w:color w:val="auto"/>
                      <w:lang w:eastAsia="zh-CN"/>
                    </w:rPr>
                  </w:pPr>
                </w:p>
              </w:tc>
              <w:tc>
                <w:tcPr>
                  <w:tcW w:w="794" w:type="pct"/>
                  <w:noWrap w:val="0"/>
                  <w:vAlign w:val="center"/>
                </w:tcPr>
                <w:p w14:paraId="5B338922">
                  <w:pPr>
                    <w:pStyle w:val="52"/>
                    <w:ind w:firstLine="0" w:firstLineChars="0"/>
                    <w:rPr>
                      <w:rFonts w:ascii="Times New Roman" w:hAnsi="Times New Roman"/>
                      <w:color w:val="auto"/>
                    </w:rPr>
                  </w:pPr>
                  <w:r>
                    <w:rPr>
                      <w:rFonts w:hint="eastAsia" w:ascii="Times New Roman" w:hAnsi="Times New Roman"/>
                      <w:color w:val="auto"/>
                      <w:lang w:eastAsia="zh-CN"/>
                    </w:rPr>
                    <w:t>废电机拆解车间</w:t>
                  </w:r>
                </w:p>
              </w:tc>
              <w:tc>
                <w:tcPr>
                  <w:tcW w:w="665" w:type="pct"/>
                  <w:noWrap w:val="0"/>
                  <w:vAlign w:val="center"/>
                </w:tcPr>
                <w:p w14:paraId="16072535">
                  <w:pPr>
                    <w:pStyle w:val="52"/>
                    <w:rPr>
                      <w:rFonts w:ascii="Times New Roman" w:hAnsi="Times New Roman"/>
                      <w:color w:val="auto"/>
                    </w:rPr>
                  </w:pPr>
                  <w:r>
                    <w:rPr>
                      <w:rFonts w:hint="eastAsia" w:ascii="Times New Roman" w:hAnsi="Times New Roman"/>
                      <w:color w:val="auto"/>
                    </w:rPr>
                    <w:t>8.70E-04</w:t>
                  </w:r>
                </w:p>
              </w:tc>
              <w:tc>
                <w:tcPr>
                  <w:tcW w:w="767" w:type="pct"/>
                  <w:vMerge w:val="continue"/>
                  <w:noWrap w:val="0"/>
                  <w:vAlign w:val="center"/>
                </w:tcPr>
                <w:p w14:paraId="5B9FFA4A">
                  <w:pPr>
                    <w:pStyle w:val="52"/>
                    <w:rPr>
                      <w:rFonts w:ascii="Times New Roman" w:hAnsi="Times New Roman"/>
                      <w:color w:val="auto"/>
                    </w:rPr>
                  </w:pPr>
                </w:p>
              </w:tc>
              <w:tc>
                <w:tcPr>
                  <w:tcW w:w="759" w:type="pct"/>
                  <w:vMerge w:val="continue"/>
                  <w:noWrap w:val="0"/>
                  <w:vAlign w:val="center"/>
                </w:tcPr>
                <w:p w14:paraId="2A0CBC55">
                  <w:pPr>
                    <w:pStyle w:val="52"/>
                    <w:rPr>
                      <w:rFonts w:hint="eastAsia" w:ascii="Times New Roman" w:hAnsi="Times New Roman"/>
                      <w:color w:val="auto"/>
                      <w:lang w:val="en-US" w:eastAsia="zh-CN"/>
                    </w:rPr>
                  </w:pPr>
                </w:p>
              </w:tc>
              <w:tc>
                <w:tcPr>
                  <w:tcW w:w="484" w:type="pct"/>
                  <w:vMerge w:val="continue"/>
                  <w:noWrap w:val="0"/>
                  <w:vAlign w:val="center"/>
                </w:tcPr>
                <w:p w14:paraId="4FE5B186">
                  <w:pPr>
                    <w:pStyle w:val="52"/>
                    <w:rPr>
                      <w:rFonts w:hint="eastAsia" w:ascii="Times New Roman" w:hAnsi="Times New Roman"/>
                      <w:color w:val="auto"/>
                      <w:lang w:val="en-US" w:eastAsia="zh-CN"/>
                    </w:rPr>
                  </w:pPr>
                </w:p>
              </w:tc>
              <w:tc>
                <w:tcPr>
                  <w:tcW w:w="411" w:type="pct"/>
                  <w:vMerge w:val="continue"/>
                  <w:noWrap w:val="0"/>
                  <w:vAlign w:val="center"/>
                </w:tcPr>
                <w:p w14:paraId="0E2384DD">
                  <w:pPr>
                    <w:pStyle w:val="52"/>
                    <w:rPr>
                      <w:rFonts w:hint="eastAsia" w:ascii="Times New Roman" w:hAnsi="Times New Roman"/>
                      <w:color w:val="auto"/>
                    </w:rPr>
                  </w:pPr>
                </w:p>
              </w:tc>
            </w:tr>
            <w:tr w14:paraId="10A64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69" w:type="pct"/>
                  <w:vMerge w:val="restart"/>
                  <w:noWrap w:val="0"/>
                  <w:vAlign w:val="center"/>
                </w:tcPr>
                <w:p w14:paraId="6775679E">
                  <w:pPr>
                    <w:jc w:val="center"/>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港西村（西南385m）</w:t>
                  </w:r>
                </w:p>
              </w:tc>
              <w:tc>
                <w:tcPr>
                  <w:tcW w:w="547" w:type="pct"/>
                  <w:vMerge w:val="restart"/>
                  <w:noWrap w:val="0"/>
                  <w:vAlign w:val="center"/>
                </w:tcPr>
                <w:p w14:paraId="7C74D13C">
                  <w:pPr>
                    <w:pStyle w:val="52"/>
                    <w:ind w:firstLine="0" w:firstLineChars="0"/>
                    <w:rPr>
                      <w:rFonts w:hint="eastAsia" w:ascii="Times New Roman" w:hAnsi="Times New Roman"/>
                      <w:color w:val="auto"/>
                      <w:lang w:eastAsia="zh-CN"/>
                    </w:rPr>
                  </w:pPr>
                  <w:r>
                    <w:rPr>
                      <w:rFonts w:ascii="Times New Roman" w:hAnsi="Times New Roman"/>
                      <w:color w:val="auto"/>
                    </w:rPr>
                    <w:t>VOCs</w:t>
                  </w:r>
                  <w:r>
                    <w:rPr>
                      <w:rFonts w:hint="eastAsia" w:ascii="Times New Roman" w:hAnsi="Times New Roman"/>
                      <w:color w:val="auto"/>
                      <w:lang w:eastAsia="zh-CN"/>
                    </w:rPr>
                    <w:t>（以非甲烷总烃计）</w:t>
                  </w:r>
                </w:p>
              </w:tc>
              <w:tc>
                <w:tcPr>
                  <w:tcW w:w="794" w:type="pct"/>
                  <w:noWrap w:val="0"/>
                  <w:vAlign w:val="center"/>
                </w:tcPr>
                <w:p w14:paraId="1F5EF4B5">
                  <w:pPr>
                    <w:pStyle w:val="52"/>
                    <w:ind w:firstLine="0" w:firstLineChars="0"/>
                    <w:rPr>
                      <w:rFonts w:hint="eastAsia" w:ascii="Times New Roman" w:hAnsi="Times New Roman"/>
                      <w:color w:val="auto"/>
                      <w:lang w:eastAsia="zh-CN"/>
                    </w:rPr>
                  </w:pPr>
                  <w:r>
                    <w:rPr>
                      <w:rFonts w:hint="eastAsia" w:ascii="Times New Roman" w:hAnsi="Times New Roman"/>
                      <w:color w:val="auto"/>
                      <w:lang w:val="en-US" w:eastAsia="zh-CN"/>
                    </w:rPr>
                    <w:t>DA001</w:t>
                  </w:r>
                </w:p>
              </w:tc>
              <w:tc>
                <w:tcPr>
                  <w:tcW w:w="665" w:type="pct"/>
                  <w:noWrap w:val="0"/>
                  <w:vAlign w:val="center"/>
                </w:tcPr>
                <w:p w14:paraId="7C9E4DA3">
                  <w:pPr>
                    <w:pStyle w:val="52"/>
                    <w:rPr>
                      <w:rFonts w:hint="eastAsia" w:ascii="Times New Roman" w:hAnsi="Times New Roman"/>
                      <w:color w:val="auto"/>
                    </w:rPr>
                  </w:pPr>
                  <w:r>
                    <w:rPr>
                      <w:rFonts w:hint="eastAsia" w:ascii="Times New Roman" w:hAnsi="Times New Roman"/>
                      <w:color w:val="auto"/>
                    </w:rPr>
                    <w:t>1.50E-03</w:t>
                  </w:r>
                </w:p>
              </w:tc>
              <w:tc>
                <w:tcPr>
                  <w:tcW w:w="767" w:type="pct"/>
                  <w:vMerge w:val="restart"/>
                  <w:noWrap w:val="0"/>
                  <w:vAlign w:val="center"/>
                </w:tcPr>
                <w:p w14:paraId="2B17F849">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5.33E-02</w:t>
                  </w:r>
                </w:p>
              </w:tc>
              <w:tc>
                <w:tcPr>
                  <w:tcW w:w="759" w:type="pct"/>
                  <w:vMerge w:val="restart"/>
                  <w:noWrap w:val="0"/>
                  <w:vAlign w:val="center"/>
                </w:tcPr>
                <w:p w14:paraId="32E1A1DA">
                  <w:pPr>
                    <w:pStyle w:val="52"/>
                    <w:rPr>
                      <w:rFonts w:hint="default" w:ascii="Times New Roman" w:hAnsi="Times New Roman"/>
                      <w:color w:val="auto"/>
                      <w:lang w:val="en-US" w:eastAsia="zh-CN"/>
                    </w:rPr>
                  </w:pPr>
                  <w:r>
                    <w:rPr>
                      <w:rFonts w:hint="eastAsia" w:ascii="Times New Roman" w:hAnsi="Times New Roman"/>
                      <w:color w:val="auto"/>
                      <w:lang w:val="en-US" w:eastAsia="zh-CN"/>
                    </w:rPr>
                    <w:t>2.0</w:t>
                  </w:r>
                </w:p>
              </w:tc>
              <w:tc>
                <w:tcPr>
                  <w:tcW w:w="484" w:type="pct"/>
                  <w:vMerge w:val="restart"/>
                  <w:noWrap w:val="0"/>
                  <w:vAlign w:val="center"/>
                </w:tcPr>
                <w:p w14:paraId="3276CA62">
                  <w:pPr>
                    <w:pStyle w:val="52"/>
                    <w:rPr>
                      <w:rFonts w:hint="default" w:ascii="Times New Roman" w:hAnsi="Times New Roman"/>
                      <w:color w:val="auto"/>
                      <w:lang w:val="en-US" w:eastAsia="zh-CN"/>
                    </w:rPr>
                  </w:pPr>
                  <w:r>
                    <w:rPr>
                      <w:rFonts w:hint="eastAsia" w:ascii="Times New Roman" w:hAnsi="Times New Roman"/>
                      <w:color w:val="auto"/>
                      <w:lang w:val="en-US" w:eastAsia="zh-CN"/>
                    </w:rPr>
                    <w:t>2.6%</w:t>
                  </w:r>
                </w:p>
              </w:tc>
              <w:tc>
                <w:tcPr>
                  <w:tcW w:w="411" w:type="pct"/>
                  <w:vMerge w:val="restart"/>
                  <w:noWrap w:val="0"/>
                  <w:vAlign w:val="center"/>
                </w:tcPr>
                <w:p w14:paraId="7AB642B7">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达标</w:t>
                  </w:r>
                </w:p>
              </w:tc>
            </w:tr>
            <w:tr w14:paraId="79AF2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1B20C871">
                  <w:pPr>
                    <w:jc w:val="center"/>
                    <w:rPr>
                      <w:rFonts w:ascii="Times New Roman" w:hAnsi="Times New Roman"/>
                      <w:color w:val="auto"/>
                      <w:sz w:val="21"/>
                    </w:rPr>
                  </w:pPr>
                </w:p>
              </w:tc>
              <w:tc>
                <w:tcPr>
                  <w:tcW w:w="547" w:type="pct"/>
                  <w:vMerge w:val="continue"/>
                  <w:noWrap w:val="0"/>
                  <w:vAlign w:val="center"/>
                </w:tcPr>
                <w:p w14:paraId="027B6F76">
                  <w:pPr>
                    <w:pStyle w:val="52"/>
                    <w:ind w:firstLine="0" w:firstLineChars="0"/>
                    <w:rPr>
                      <w:rFonts w:hint="eastAsia" w:ascii="Times New Roman" w:hAnsi="Times New Roman"/>
                      <w:color w:val="auto"/>
                      <w:lang w:eastAsia="zh-CN"/>
                    </w:rPr>
                  </w:pPr>
                </w:p>
              </w:tc>
              <w:tc>
                <w:tcPr>
                  <w:tcW w:w="794" w:type="pct"/>
                  <w:noWrap w:val="0"/>
                  <w:vAlign w:val="center"/>
                </w:tcPr>
                <w:p w14:paraId="1C8CFD74">
                  <w:pPr>
                    <w:pStyle w:val="52"/>
                    <w:ind w:firstLine="0" w:firstLineChars="0"/>
                    <w:rPr>
                      <w:rFonts w:hint="eastAsia" w:ascii="Times New Roman" w:hAnsi="Times New Roman"/>
                      <w:color w:val="auto"/>
                      <w:lang w:eastAsia="zh-CN"/>
                    </w:rPr>
                  </w:pPr>
                  <w:r>
                    <w:rPr>
                      <w:rFonts w:hint="eastAsia" w:ascii="Times New Roman" w:hAnsi="Times New Roman"/>
                      <w:color w:val="auto"/>
                      <w:lang w:val="en-US" w:eastAsia="zh-CN"/>
                    </w:rPr>
                    <w:t>DA002</w:t>
                  </w:r>
                </w:p>
              </w:tc>
              <w:tc>
                <w:tcPr>
                  <w:tcW w:w="665" w:type="pct"/>
                  <w:noWrap w:val="0"/>
                  <w:vAlign w:val="center"/>
                </w:tcPr>
                <w:p w14:paraId="753FF70E">
                  <w:pPr>
                    <w:pStyle w:val="52"/>
                    <w:rPr>
                      <w:rFonts w:hint="eastAsia" w:ascii="Times New Roman" w:hAnsi="Times New Roman"/>
                      <w:color w:val="auto"/>
                    </w:rPr>
                  </w:pPr>
                  <w:r>
                    <w:rPr>
                      <w:rFonts w:hint="eastAsia" w:ascii="Times New Roman" w:hAnsi="Times New Roman"/>
                      <w:color w:val="auto"/>
                    </w:rPr>
                    <w:t>1.64E-03</w:t>
                  </w:r>
                </w:p>
              </w:tc>
              <w:tc>
                <w:tcPr>
                  <w:tcW w:w="767" w:type="pct"/>
                  <w:vMerge w:val="continue"/>
                  <w:noWrap w:val="0"/>
                  <w:vAlign w:val="center"/>
                </w:tcPr>
                <w:p w14:paraId="09B84EA4">
                  <w:pPr>
                    <w:pStyle w:val="52"/>
                    <w:rPr>
                      <w:rFonts w:ascii="Times New Roman" w:hAnsi="Times New Roman"/>
                      <w:color w:val="auto"/>
                    </w:rPr>
                  </w:pPr>
                </w:p>
              </w:tc>
              <w:tc>
                <w:tcPr>
                  <w:tcW w:w="759" w:type="pct"/>
                  <w:vMerge w:val="continue"/>
                  <w:noWrap w:val="0"/>
                  <w:vAlign w:val="center"/>
                </w:tcPr>
                <w:p w14:paraId="3F0F7500">
                  <w:pPr>
                    <w:pStyle w:val="52"/>
                    <w:rPr>
                      <w:rFonts w:hint="eastAsia" w:ascii="Times New Roman" w:hAnsi="Times New Roman"/>
                      <w:color w:val="auto"/>
                      <w:lang w:val="en-US" w:eastAsia="zh-CN"/>
                    </w:rPr>
                  </w:pPr>
                </w:p>
              </w:tc>
              <w:tc>
                <w:tcPr>
                  <w:tcW w:w="484" w:type="pct"/>
                  <w:vMerge w:val="continue"/>
                  <w:noWrap w:val="0"/>
                  <w:vAlign w:val="center"/>
                </w:tcPr>
                <w:p w14:paraId="46CAD137">
                  <w:pPr>
                    <w:pStyle w:val="52"/>
                    <w:rPr>
                      <w:rFonts w:hint="eastAsia" w:ascii="Times New Roman" w:hAnsi="Times New Roman"/>
                      <w:color w:val="auto"/>
                      <w:lang w:val="en-US" w:eastAsia="zh-CN"/>
                    </w:rPr>
                  </w:pPr>
                </w:p>
              </w:tc>
              <w:tc>
                <w:tcPr>
                  <w:tcW w:w="411" w:type="pct"/>
                  <w:vMerge w:val="continue"/>
                  <w:noWrap w:val="0"/>
                  <w:vAlign w:val="center"/>
                </w:tcPr>
                <w:p w14:paraId="38F39B4F">
                  <w:pPr>
                    <w:pStyle w:val="52"/>
                    <w:rPr>
                      <w:rFonts w:hint="eastAsia" w:ascii="Times New Roman" w:hAnsi="Times New Roman"/>
                      <w:color w:val="auto"/>
                    </w:rPr>
                  </w:pPr>
                </w:p>
              </w:tc>
            </w:tr>
            <w:tr w14:paraId="7BF6C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1508DBEC">
                  <w:pPr>
                    <w:jc w:val="center"/>
                    <w:rPr>
                      <w:rFonts w:ascii="Times New Roman" w:hAnsi="Times New Roman"/>
                      <w:color w:val="auto"/>
                      <w:sz w:val="21"/>
                    </w:rPr>
                  </w:pPr>
                </w:p>
              </w:tc>
              <w:tc>
                <w:tcPr>
                  <w:tcW w:w="547" w:type="pct"/>
                  <w:vMerge w:val="continue"/>
                  <w:noWrap w:val="0"/>
                  <w:vAlign w:val="center"/>
                </w:tcPr>
                <w:p w14:paraId="54DAFCC9">
                  <w:pPr>
                    <w:pStyle w:val="52"/>
                    <w:ind w:firstLine="0" w:firstLineChars="0"/>
                    <w:rPr>
                      <w:rFonts w:hint="eastAsia" w:ascii="Times New Roman" w:hAnsi="Times New Roman"/>
                      <w:color w:val="auto"/>
                      <w:lang w:eastAsia="zh-CN"/>
                    </w:rPr>
                  </w:pPr>
                </w:p>
              </w:tc>
              <w:tc>
                <w:tcPr>
                  <w:tcW w:w="794" w:type="pct"/>
                  <w:noWrap w:val="0"/>
                  <w:vAlign w:val="center"/>
                </w:tcPr>
                <w:p w14:paraId="5680BE58">
                  <w:pPr>
                    <w:pStyle w:val="52"/>
                    <w:ind w:firstLine="0" w:firstLineChars="0"/>
                    <w:rPr>
                      <w:rFonts w:hint="eastAsia" w:ascii="Times New Roman" w:hAnsi="Times New Roman"/>
                      <w:color w:val="auto"/>
                      <w:lang w:eastAsia="zh-CN"/>
                    </w:rPr>
                  </w:pPr>
                  <w:r>
                    <w:rPr>
                      <w:rFonts w:hint="eastAsia" w:ascii="Times New Roman" w:hAnsi="Times New Roman"/>
                      <w:color w:val="auto"/>
                      <w:lang w:val="en-US" w:eastAsia="zh-CN"/>
                    </w:rPr>
                    <w:t>DA003</w:t>
                  </w:r>
                </w:p>
              </w:tc>
              <w:tc>
                <w:tcPr>
                  <w:tcW w:w="665" w:type="pct"/>
                  <w:noWrap w:val="0"/>
                  <w:vAlign w:val="center"/>
                </w:tcPr>
                <w:p w14:paraId="197F5DF4">
                  <w:pPr>
                    <w:pStyle w:val="52"/>
                    <w:rPr>
                      <w:rFonts w:hint="eastAsia" w:ascii="Times New Roman" w:hAnsi="Times New Roman"/>
                      <w:color w:val="auto"/>
                    </w:rPr>
                  </w:pPr>
                  <w:r>
                    <w:rPr>
                      <w:rFonts w:hint="eastAsia" w:ascii="Times New Roman" w:hAnsi="Times New Roman"/>
                      <w:color w:val="auto"/>
                    </w:rPr>
                    <w:t>1.33E-04</w:t>
                  </w:r>
                </w:p>
              </w:tc>
              <w:tc>
                <w:tcPr>
                  <w:tcW w:w="767" w:type="pct"/>
                  <w:vMerge w:val="continue"/>
                  <w:noWrap w:val="0"/>
                  <w:vAlign w:val="center"/>
                </w:tcPr>
                <w:p w14:paraId="1E6EDDDD">
                  <w:pPr>
                    <w:pStyle w:val="52"/>
                    <w:rPr>
                      <w:rFonts w:ascii="Times New Roman" w:hAnsi="Times New Roman"/>
                      <w:color w:val="auto"/>
                    </w:rPr>
                  </w:pPr>
                </w:p>
              </w:tc>
              <w:tc>
                <w:tcPr>
                  <w:tcW w:w="759" w:type="pct"/>
                  <w:vMerge w:val="continue"/>
                  <w:noWrap w:val="0"/>
                  <w:vAlign w:val="center"/>
                </w:tcPr>
                <w:p w14:paraId="047CCB3B">
                  <w:pPr>
                    <w:pStyle w:val="52"/>
                    <w:rPr>
                      <w:rFonts w:hint="eastAsia" w:ascii="Times New Roman" w:hAnsi="Times New Roman"/>
                      <w:color w:val="auto"/>
                      <w:lang w:val="en-US" w:eastAsia="zh-CN"/>
                    </w:rPr>
                  </w:pPr>
                </w:p>
              </w:tc>
              <w:tc>
                <w:tcPr>
                  <w:tcW w:w="484" w:type="pct"/>
                  <w:vMerge w:val="continue"/>
                  <w:noWrap w:val="0"/>
                  <w:vAlign w:val="center"/>
                </w:tcPr>
                <w:p w14:paraId="187E2E2A">
                  <w:pPr>
                    <w:pStyle w:val="52"/>
                    <w:rPr>
                      <w:rFonts w:hint="eastAsia" w:ascii="Times New Roman" w:hAnsi="Times New Roman"/>
                      <w:color w:val="auto"/>
                      <w:lang w:val="en-US" w:eastAsia="zh-CN"/>
                    </w:rPr>
                  </w:pPr>
                </w:p>
              </w:tc>
              <w:tc>
                <w:tcPr>
                  <w:tcW w:w="411" w:type="pct"/>
                  <w:vMerge w:val="continue"/>
                  <w:noWrap w:val="0"/>
                  <w:vAlign w:val="center"/>
                </w:tcPr>
                <w:p w14:paraId="30F7DA4A">
                  <w:pPr>
                    <w:pStyle w:val="52"/>
                    <w:rPr>
                      <w:rFonts w:hint="eastAsia" w:ascii="Times New Roman" w:hAnsi="Times New Roman"/>
                      <w:color w:val="auto"/>
                    </w:rPr>
                  </w:pPr>
                </w:p>
              </w:tc>
            </w:tr>
            <w:tr w14:paraId="55380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1B6C0DA8">
                  <w:pPr>
                    <w:jc w:val="center"/>
                    <w:rPr>
                      <w:rFonts w:ascii="Times New Roman" w:hAnsi="Times New Roman"/>
                      <w:color w:val="auto"/>
                      <w:sz w:val="21"/>
                    </w:rPr>
                  </w:pPr>
                </w:p>
              </w:tc>
              <w:tc>
                <w:tcPr>
                  <w:tcW w:w="547" w:type="pct"/>
                  <w:vMerge w:val="continue"/>
                  <w:noWrap w:val="0"/>
                  <w:vAlign w:val="center"/>
                </w:tcPr>
                <w:p w14:paraId="3F67AA2D">
                  <w:pPr>
                    <w:pStyle w:val="52"/>
                    <w:ind w:firstLine="0" w:firstLineChars="0"/>
                    <w:rPr>
                      <w:rFonts w:hint="eastAsia" w:ascii="Times New Roman" w:hAnsi="Times New Roman"/>
                      <w:color w:val="auto"/>
                      <w:lang w:eastAsia="zh-CN"/>
                    </w:rPr>
                  </w:pPr>
                </w:p>
              </w:tc>
              <w:tc>
                <w:tcPr>
                  <w:tcW w:w="794" w:type="pct"/>
                  <w:noWrap w:val="0"/>
                  <w:vAlign w:val="center"/>
                </w:tcPr>
                <w:p w14:paraId="382D5BB9">
                  <w:pPr>
                    <w:pStyle w:val="52"/>
                    <w:ind w:firstLine="0" w:firstLineChars="0"/>
                    <w:rPr>
                      <w:rFonts w:hint="eastAsia" w:ascii="Times New Roman" w:hAnsi="Times New Roman"/>
                      <w:color w:val="auto"/>
                      <w:lang w:eastAsia="zh-CN"/>
                    </w:rPr>
                  </w:pPr>
                  <w:r>
                    <w:rPr>
                      <w:rFonts w:hint="eastAsia" w:ascii="Times New Roman" w:hAnsi="Times New Roman"/>
                      <w:color w:val="auto"/>
                      <w:lang w:val="en-US" w:eastAsia="zh-CN"/>
                    </w:rPr>
                    <w:t>预处理车间</w:t>
                  </w:r>
                </w:p>
              </w:tc>
              <w:tc>
                <w:tcPr>
                  <w:tcW w:w="665" w:type="pct"/>
                  <w:noWrap w:val="0"/>
                  <w:vAlign w:val="center"/>
                </w:tcPr>
                <w:p w14:paraId="7351026A">
                  <w:pPr>
                    <w:pStyle w:val="52"/>
                    <w:rPr>
                      <w:rFonts w:hint="eastAsia" w:ascii="Times New Roman" w:hAnsi="Times New Roman"/>
                      <w:color w:val="auto"/>
                    </w:rPr>
                  </w:pPr>
                  <w:r>
                    <w:rPr>
                      <w:rFonts w:hint="eastAsia" w:ascii="Times New Roman" w:hAnsi="Times New Roman"/>
                      <w:color w:val="auto"/>
                    </w:rPr>
                    <w:t>2.49E-02</w:t>
                  </w:r>
                </w:p>
              </w:tc>
              <w:tc>
                <w:tcPr>
                  <w:tcW w:w="767" w:type="pct"/>
                  <w:vMerge w:val="continue"/>
                  <w:noWrap w:val="0"/>
                  <w:vAlign w:val="center"/>
                </w:tcPr>
                <w:p w14:paraId="7C073350">
                  <w:pPr>
                    <w:pStyle w:val="52"/>
                    <w:rPr>
                      <w:rFonts w:ascii="Times New Roman" w:hAnsi="Times New Roman"/>
                      <w:color w:val="auto"/>
                    </w:rPr>
                  </w:pPr>
                </w:p>
              </w:tc>
              <w:tc>
                <w:tcPr>
                  <w:tcW w:w="759" w:type="pct"/>
                  <w:vMerge w:val="continue"/>
                  <w:noWrap w:val="0"/>
                  <w:vAlign w:val="center"/>
                </w:tcPr>
                <w:p w14:paraId="79ECA3A8">
                  <w:pPr>
                    <w:pStyle w:val="52"/>
                    <w:rPr>
                      <w:rFonts w:hint="eastAsia" w:ascii="Times New Roman" w:hAnsi="Times New Roman"/>
                      <w:color w:val="auto"/>
                      <w:lang w:val="en-US" w:eastAsia="zh-CN"/>
                    </w:rPr>
                  </w:pPr>
                </w:p>
              </w:tc>
              <w:tc>
                <w:tcPr>
                  <w:tcW w:w="484" w:type="pct"/>
                  <w:vMerge w:val="continue"/>
                  <w:noWrap w:val="0"/>
                  <w:vAlign w:val="center"/>
                </w:tcPr>
                <w:p w14:paraId="1FC44F7E">
                  <w:pPr>
                    <w:pStyle w:val="52"/>
                    <w:rPr>
                      <w:rFonts w:hint="eastAsia" w:ascii="Times New Roman" w:hAnsi="Times New Roman"/>
                      <w:color w:val="auto"/>
                      <w:lang w:val="en-US" w:eastAsia="zh-CN"/>
                    </w:rPr>
                  </w:pPr>
                </w:p>
              </w:tc>
              <w:tc>
                <w:tcPr>
                  <w:tcW w:w="411" w:type="pct"/>
                  <w:vMerge w:val="continue"/>
                  <w:noWrap w:val="0"/>
                  <w:vAlign w:val="center"/>
                </w:tcPr>
                <w:p w14:paraId="5A39B64F">
                  <w:pPr>
                    <w:pStyle w:val="52"/>
                    <w:rPr>
                      <w:rFonts w:hint="eastAsia" w:ascii="Times New Roman" w:hAnsi="Times New Roman"/>
                      <w:color w:val="auto"/>
                    </w:rPr>
                  </w:pPr>
                </w:p>
              </w:tc>
            </w:tr>
            <w:tr w14:paraId="24F91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75E37750">
                  <w:pPr>
                    <w:jc w:val="center"/>
                    <w:rPr>
                      <w:rFonts w:ascii="Times New Roman" w:hAnsi="Times New Roman"/>
                      <w:color w:val="auto"/>
                      <w:sz w:val="21"/>
                    </w:rPr>
                  </w:pPr>
                </w:p>
              </w:tc>
              <w:tc>
                <w:tcPr>
                  <w:tcW w:w="547" w:type="pct"/>
                  <w:vMerge w:val="continue"/>
                  <w:noWrap w:val="0"/>
                  <w:vAlign w:val="center"/>
                </w:tcPr>
                <w:p w14:paraId="43B230E3">
                  <w:pPr>
                    <w:pStyle w:val="52"/>
                    <w:ind w:firstLine="0" w:firstLineChars="0"/>
                    <w:rPr>
                      <w:rFonts w:hint="eastAsia" w:ascii="Times New Roman" w:hAnsi="Times New Roman"/>
                      <w:color w:val="auto"/>
                      <w:lang w:eastAsia="zh-CN"/>
                    </w:rPr>
                  </w:pPr>
                </w:p>
              </w:tc>
              <w:tc>
                <w:tcPr>
                  <w:tcW w:w="794" w:type="pct"/>
                  <w:noWrap w:val="0"/>
                  <w:vAlign w:val="center"/>
                </w:tcPr>
                <w:p w14:paraId="0101761C">
                  <w:pPr>
                    <w:pStyle w:val="52"/>
                    <w:ind w:firstLine="0" w:firstLineChars="0"/>
                    <w:rPr>
                      <w:rFonts w:hint="eastAsia" w:ascii="Times New Roman" w:hAnsi="Times New Roman"/>
                      <w:color w:val="auto"/>
                      <w:lang w:eastAsia="zh-CN"/>
                    </w:rPr>
                  </w:pPr>
                  <w:r>
                    <w:rPr>
                      <w:rFonts w:hint="eastAsia" w:ascii="Times New Roman" w:hAnsi="Times New Roman"/>
                      <w:color w:val="auto"/>
                      <w:lang w:val="en-US" w:eastAsia="zh-CN"/>
                    </w:rPr>
                    <w:t>废变压器拆解车间</w:t>
                  </w:r>
                </w:p>
              </w:tc>
              <w:tc>
                <w:tcPr>
                  <w:tcW w:w="665" w:type="pct"/>
                  <w:noWrap w:val="0"/>
                  <w:vAlign w:val="center"/>
                </w:tcPr>
                <w:p w14:paraId="46EB572B">
                  <w:pPr>
                    <w:pStyle w:val="52"/>
                    <w:rPr>
                      <w:rFonts w:hint="eastAsia" w:ascii="Times New Roman" w:hAnsi="Times New Roman"/>
                      <w:color w:val="auto"/>
                    </w:rPr>
                  </w:pPr>
                  <w:r>
                    <w:rPr>
                      <w:rFonts w:hint="eastAsia" w:ascii="Times New Roman" w:hAnsi="Times New Roman"/>
                      <w:color w:val="auto"/>
                    </w:rPr>
                    <w:t>2.28E-02</w:t>
                  </w:r>
                </w:p>
              </w:tc>
              <w:tc>
                <w:tcPr>
                  <w:tcW w:w="767" w:type="pct"/>
                  <w:vMerge w:val="continue"/>
                  <w:noWrap w:val="0"/>
                  <w:vAlign w:val="center"/>
                </w:tcPr>
                <w:p w14:paraId="2D4252CB">
                  <w:pPr>
                    <w:pStyle w:val="52"/>
                    <w:rPr>
                      <w:rFonts w:ascii="Times New Roman" w:hAnsi="Times New Roman"/>
                      <w:color w:val="auto"/>
                    </w:rPr>
                  </w:pPr>
                </w:p>
              </w:tc>
              <w:tc>
                <w:tcPr>
                  <w:tcW w:w="759" w:type="pct"/>
                  <w:vMerge w:val="continue"/>
                  <w:noWrap w:val="0"/>
                  <w:vAlign w:val="center"/>
                </w:tcPr>
                <w:p w14:paraId="12CB8CC7">
                  <w:pPr>
                    <w:pStyle w:val="52"/>
                    <w:rPr>
                      <w:rFonts w:hint="eastAsia" w:ascii="Times New Roman" w:hAnsi="Times New Roman"/>
                      <w:color w:val="auto"/>
                      <w:lang w:val="en-US" w:eastAsia="zh-CN"/>
                    </w:rPr>
                  </w:pPr>
                </w:p>
              </w:tc>
              <w:tc>
                <w:tcPr>
                  <w:tcW w:w="484" w:type="pct"/>
                  <w:vMerge w:val="continue"/>
                  <w:noWrap w:val="0"/>
                  <w:vAlign w:val="center"/>
                </w:tcPr>
                <w:p w14:paraId="169E9A5E">
                  <w:pPr>
                    <w:pStyle w:val="52"/>
                    <w:rPr>
                      <w:rFonts w:hint="eastAsia" w:ascii="Times New Roman" w:hAnsi="Times New Roman"/>
                      <w:color w:val="auto"/>
                      <w:lang w:val="en-US" w:eastAsia="zh-CN"/>
                    </w:rPr>
                  </w:pPr>
                </w:p>
              </w:tc>
              <w:tc>
                <w:tcPr>
                  <w:tcW w:w="411" w:type="pct"/>
                  <w:vMerge w:val="continue"/>
                  <w:noWrap w:val="0"/>
                  <w:vAlign w:val="center"/>
                </w:tcPr>
                <w:p w14:paraId="3624A2C3">
                  <w:pPr>
                    <w:pStyle w:val="52"/>
                    <w:rPr>
                      <w:rFonts w:hint="eastAsia" w:ascii="Times New Roman" w:hAnsi="Times New Roman"/>
                      <w:color w:val="auto"/>
                    </w:rPr>
                  </w:pPr>
                </w:p>
              </w:tc>
            </w:tr>
            <w:tr w14:paraId="2B4EE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3404736F">
                  <w:pPr>
                    <w:jc w:val="center"/>
                    <w:rPr>
                      <w:rFonts w:ascii="Times New Roman" w:hAnsi="Times New Roman"/>
                      <w:color w:val="auto"/>
                      <w:sz w:val="21"/>
                    </w:rPr>
                  </w:pPr>
                </w:p>
              </w:tc>
              <w:tc>
                <w:tcPr>
                  <w:tcW w:w="547" w:type="pct"/>
                  <w:vMerge w:val="continue"/>
                  <w:noWrap w:val="0"/>
                  <w:vAlign w:val="center"/>
                </w:tcPr>
                <w:p w14:paraId="2FF740BC">
                  <w:pPr>
                    <w:pStyle w:val="52"/>
                    <w:ind w:firstLine="0" w:firstLineChars="0"/>
                    <w:rPr>
                      <w:rFonts w:hint="eastAsia" w:ascii="Times New Roman" w:hAnsi="Times New Roman"/>
                      <w:color w:val="auto"/>
                      <w:lang w:eastAsia="zh-CN"/>
                    </w:rPr>
                  </w:pPr>
                </w:p>
              </w:tc>
              <w:tc>
                <w:tcPr>
                  <w:tcW w:w="794" w:type="pct"/>
                  <w:noWrap w:val="0"/>
                  <w:vAlign w:val="center"/>
                </w:tcPr>
                <w:p w14:paraId="35B9003E">
                  <w:pPr>
                    <w:pStyle w:val="52"/>
                    <w:ind w:firstLine="0" w:firstLineChars="0"/>
                    <w:rPr>
                      <w:rFonts w:hint="default" w:ascii="Times New Roman" w:hAnsi="Times New Roman"/>
                      <w:color w:val="auto"/>
                      <w:lang w:val="en-US" w:eastAsia="zh-CN"/>
                    </w:rPr>
                  </w:pPr>
                  <w:r>
                    <w:rPr>
                      <w:rFonts w:hint="eastAsia" w:ascii="Times New Roman" w:hAnsi="Times New Roman"/>
                      <w:color w:val="auto"/>
                      <w:lang w:val="en-US" w:eastAsia="zh-CN"/>
                    </w:rPr>
                    <w:t>危废暂存间</w:t>
                  </w:r>
                </w:p>
              </w:tc>
              <w:tc>
                <w:tcPr>
                  <w:tcW w:w="665" w:type="pct"/>
                  <w:noWrap w:val="0"/>
                  <w:vAlign w:val="center"/>
                </w:tcPr>
                <w:p w14:paraId="094B04DA">
                  <w:pPr>
                    <w:pStyle w:val="52"/>
                    <w:rPr>
                      <w:rFonts w:hint="eastAsia" w:ascii="Times New Roman" w:hAnsi="Times New Roman"/>
                      <w:color w:val="auto"/>
                    </w:rPr>
                  </w:pPr>
                  <w:r>
                    <w:rPr>
                      <w:rFonts w:hint="eastAsia" w:ascii="Times New Roman" w:hAnsi="Times New Roman"/>
                      <w:color w:val="auto"/>
                    </w:rPr>
                    <w:t>2.37E-03</w:t>
                  </w:r>
                </w:p>
              </w:tc>
              <w:tc>
                <w:tcPr>
                  <w:tcW w:w="767" w:type="pct"/>
                  <w:vMerge w:val="continue"/>
                  <w:noWrap w:val="0"/>
                  <w:vAlign w:val="center"/>
                </w:tcPr>
                <w:p w14:paraId="459BFE08">
                  <w:pPr>
                    <w:pStyle w:val="52"/>
                    <w:rPr>
                      <w:rFonts w:ascii="Times New Roman" w:hAnsi="Times New Roman"/>
                      <w:color w:val="auto"/>
                    </w:rPr>
                  </w:pPr>
                </w:p>
              </w:tc>
              <w:tc>
                <w:tcPr>
                  <w:tcW w:w="759" w:type="pct"/>
                  <w:vMerge w:val="continue"/>
                  <w:noWrap w:val="0"/>
                  <w:vAlign w:val="center"/>
                </w:tcPr>
                <w:p w14:paraId="142027B7">
                  <w:pPr>
                    <w:pStyle w:val="52"/>
                    <w:rPr>
                      <w:rFonts w:hint="eastAsia" w:ascii="Times New Roman" w:hAnsi="Times New Roman"/>
                      <w:color w:val="auto"/>
                      <w:lang w:val="en-US" w:eastAsia="zh-CN"/>
                    </w:rPr>
                  </w:pPr>
                </w:p>
              </w:tc>
              <w:tc>
                <w:tcPr>
                  <w:tcW w:w="484" w:type="pct"/>
                  <w:vMerge w:val="continue"/>
                  <w:noWrap w:val="0"/>
                  <w:vAlign w:val="center"/>
                </w:tcPr>
                <w:p w14:paraId="09AAC327">
                  <w:pPr>
                    <w:pStyle w:val="52"/>
                    <w:rPr>
                      <w:rFonts w:hint="eastAsia" w:ascii="Times New Roman" w:hAnsi="Times New Roman"/>
                      <w:color w:val="auto"/>
                      <w:lang w:val="en-US" w:eastAsia="zh-CN"/>
                    </w:rPr>
                  </w:pPr>
                </w:p>
              </w:tc>
              <w:tc>
                <w:tcPr>
                  <w:tcW w:w="411" w:type="pct"/>
                  <w:vMerge w:val="continue"/>
                  <w:noWrap w:val="0"/>
                  <w:vAlign w:val="center"/>
                </w:tcPr>
                <w:p w14:paraId="111BB74C">
                  <w:pPr>
                    <w:pStyle w:val="52"/>
                    <w:rPr>
                      <w:rFonts w:hint="eastAsia" w:ascii="Times New Roman" w:hAnsi="Times New Roman"/>
                      <w:color w:val="auto"/>
                    </w:rPr>
                  </w:pPr>
                </w:p>
              </w:tc>
            </w:tr>
            <w:tr w14:paraId="2744D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9" w:type="pct"/>
                  <w:vMerge w:val="continue"/>
                  <w:noWrap w:val="0"/>
                  <w:vAlign w:val="center"/>
                </w:tcPr>
                <w:p w14:paraId="63E5FBCB">
                  <w:pPr>
                    <w:jc w:val="center"/>
                    <w:rPr>
                      <w:rFonts w:ascii="Times New Roman" w:hAnsi="Times New Roman"/>
                      <w:color w:val="auto"/>
                      <w:sz w:val="21"/>
                    </w:rPr>
                  </w:pPr>
                </w:p>
              </w:tc>
              <w:tc>
                <w:tcPr>
                  <w:tcW w:w="547" w:type="pct"/>
                  <w:vMerge w:val="restart"/>
                  <w:noWrap w:val="0"/>
                  <w:vAlign w:val="center"/>
                </w:tcPr>
                <w:p w14:paraId="3E70DE15">
                  <w:pPr>
                    <w:pStyle w:val="52"/>
                    <w:ind w:firstLine="0" w:firstLineChars="0"/>
                    <w:rPr>
                      <w:rFonts w:hint="eastAsia" w:ascii="Times New Roman" w:hAnsi="Times New Roman"/>
                      <w:color w:val="auto"/>
                      <w:lang w:eastAsia="zh-CN"/>
                    </w:rPr>
                  </w:pPr>
                  <w:r>
                    <w:rPr>
                      <w:rFonts w:hint="eastAsia" w:ascii="Times New Roman" w:hAnsi="Times New Roman"/>
                      <w:color w:val="auto"/>
                      <w:lang w:eastAsia="zh-CN"/>
                    </w:rPr>
                    <w:t>颗粒物</w:t>
                  </w:r>
                </w:p>
              </w:tc>
              <w:tc>
                <w:tcPr>
                  <w:tcW w:w="794" w:type="pct"/>
                  <w:noWrap w:val="0"/>
                  <w:vAlign w:val="center"/>
                </w:tcPr>
                <w:p w14:paraId="3C875C56">
                  <w:pPr>
                    <w:pStyle w:val="52"/>
                    <w:ind w:firstLine="0" w:firstLineChars="0"/>
                    <w:rPr>
                      <w:rFonts w:hint="eastAsia" w:ascii="Times New Roman" w:hAnsi="Times New Roman"/>
                      <w:color w:val="auto"/>
                      <w:lang w:eastAsia="zh-CN"/>
                    </w:rPr>
                  </w:pPr>
                  <w:r>
                    <w:rPr>
                      <w:rFonts w:hint="eastAsia" w:ascii="Times New Roman" w:hAnsi="Times New Roman"/>
                      <w:color w:val="auto"/>
                      <w:lang w:eastAsia="zh-CN"/>
                    </w:rPr>
                    <w:t>大小车拆解车间</w:t>
                  </w:r>
                </w:p>
              </w:tc>
              <w:tc>
                <w:tcPr>
                  <w:tcW w:w="665" w:type="pct"/>
                  <w:noWrap w:val="0"/>
                  <w:vAlign w:val="center"/>
                </w:tcPr>
                <w:p w14:paraId="4FBB1223">
                  <w:pPr>
                    <w:pStyle w:val="52"/>
                    <w:rPr>
                      <w:rFonts w:hint="eastAsia" w:ascii="Times New Roman" w:hAnsi="Times New Roman"/>
                      <w:color w:val="auto"/>
                    </w:rPr>
                  </w:pPr>
                  <w:r>
                    <w:rPr>
                      <w:rFonts w:hint="eastAsia" w:ascii="Times New Roman" w:hAnsi="Times New Roman"/>
                      <w:color w:val="auto"/>
                    </w:rPr>
                    <w:t>7.54E-03</w:t>
                  </w:r>
                </w:p>
              </w:tc>
              <w:tc>
                <w:tcPr>
                  <w:tcW w:w="767" w:type="pct"/>
                  <w:vMerge w:val="restart"/>
                  <w:noWrap w:val="0"/>
                  <w:vAlign w:val="center"/>
                </w:tcPr>
                <w:p w14:paraId="228B48DA">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7.86E-03</w:t>
                  </w:r>
                </w:p>
              </w:tc>
              <w:tc>
                <w:tcPr>
                  <w:tcW w:w="759" w:type="pct"/>
                  <w:vMerge w:val="restart"/>
                  <w:noWrap w:val="0"/>
                  <w:vAlign w:val="center"/>
                </w:tcPr>
                <w:p w14:paraId="640E84E3">
                  <w:pPr>
                    <w:pStyle w:val="52"/>
                    <w:rPr>
                      <w:rFonts w:hint="default" w:ascii="Times New Roman" w:hAnsi="Times New Roman"/>
                      <w:color w:val="auto"/>
                      <w:lang w:val="en-US" w:eastAsia="zh-CN"/>
                    </w:rPr>
                  </w:pPr>
                  <w:r>
                    <w:rPr>
                      <w:rFonts w:hint="eastAsia" w:ascii="Times New Roman" w:hAnsi="Times New Roman"/>
                      <w:color w:val="auto"/>
                      <w:lang w:val="en-US" w:eastAsia="zh-CN"/>
                    </w:rPr>
                    <w:t>0.3</w:t>
                  </w:r>
                </w:p>
              </w:tc>
              <w:tc>
                <w:tcPr>
                  <w:tcW w:w="484" w:type="pct"/>
                  <w:vMerge w:val="restart"/>
                  <w:noWrap w:val="0"/>
                  <w:vAlign w:val="center"/>
                </w:tcPr>
                <w:p w14:paraId="30FE819E">
                  <w:pPr>
                    <w:pStyle w:val="52"/>
                    <w:rPr>
                      <w:rFonts w:hint="default" w:ascii="Times New Roman" w:hAnsi="Times New Roman"/>
                      <w:color w:val="auto"/>
                      <w:lang w:val="en-US" w:eastAsia="zh-CN"/>
                    </w:rPr>
                  </w:pPr>
                  <w:r>
                    <w:rPr>
                      <w:rFonts w:hint="eastAsia" w:ascii="Times New Roman" w:hAnsi="Times New Roman"/>
                      <w:color w:val="auto"/>
                      <w:lang w:val="en-US" w:eastAsia="zh-CN"/>
                    </w:rPr>
                    <w:t>2.6%</w:t>
                  </w:r>
                </w:p>
              </w:tc>
              <w:tc>
                <w:tcPr>
                  <w:tcW w:w="411" w:type="pct"/>
                  <w:vMerge w:val="restart"/>
                  <w:noWrap w:val="0"/>
                  <w:vAlign w:val="center"/>
                </w:tcPr>
                <w:p w14:paraId="573D35BF">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达标</w:t>
                  </w:r>
                </w:p>
              </w:tc>
            </w:tr>
            <w:tr w14:paraId="63154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46443518">
                  <w:pPr>
                    <w:jc w:val="center"/>
                    <w:rPr>
                      <w:rFonts w:ascii="Times New Roman" w:hAnsi="Times New Roman"/>
                      <w:color w:val="auto"/>
                      <w:sz w:val="21"/>
                    </w:rPr>
                  </w:pPr>
                </w:p>
              </w:tc>
              <w:tc>
                <w:tcPr>
                  <w:tcW w:w="547" w:type="pct"/>
                  <w:vMerge w:val="continue"/>
                  <w:noWrap w:val="0"/>
                  <w:vAlign w:val="center"/>
                </w:tcPr>
                <w:p w14:paraId="6D525D5F">
                  <w:pPr>
                    <w:pStyle w:val="52"/>
                    <w:ind w:firstLine="0" w:firstLineChars="0"/>
                    <w:rPr>
                      <w:rFonts w:hint="eastAsia" w:ascii="Times New Roman" w:hAnsi="Times New Roman"/>
                      <w:color w:val="auto"/>
                      <w:lang w:eastAsia="zh-CN"/>
                    </w:rPr>
                  </w:pPr>
                </w:p>
              </w:tc>
              <w:tc>
                <w:tcPr>
                  <w:tcW w:w="794" w:type="pct"/>
                  <w:noWrap w:val="0"/>
                  <w:vAlign w:val="center"/>
                </w:tcPr>
                <w:p w14:paraId="4FBB011E">
                  <w:pPr>
                    <w:pStyle w:val="52"/>
                    <w:ind w:firstLine="0" w:firstLineChars="0"/>
                    <w:rPr>
                      <w:rFonts w:hint="eastAsia" w:ascii="Times New Roman" w:hAnsi="Times New Roman"/>
                      <w:color w:val="auto"/>
                      <w:lang w:eastAsia="zh-CN"/>
                    </w:rPr>
                  </w:pPr>
                  <w:r>
                    <w:rPr>
                      <w:rFonts w:hint="eastAsia" w:ascii="Times New Roman" w:hAnsi="Times New Roman"/>
                      <w:color w:val="auto"/>
                      <w:lang w:eastAsia="zh-CN"/>
                    </w:rPr>
                    <w:t>变压器拆解车间</w:t>
                  </w:r>
                </w:p>
              </w:tc>
              <w:tc>
                <w:tcPr>
                  <w:tcW w:w="665" w:type="pct"/>
                  <w:noWrap w:val="0"/>
                  <w:vAlign w:val="center"/>
                </w:tcPr>
                <w:p w14:paraId="38904B80">
                  <w:pPr>
                    <w:pStyle w:val="52"/>
                    <w:rPr>
                      <w:rFonts w:hint="eastAsia" w:ascii="Times New Roman" w:hAnsi="Times New Roman"/>
                      <w:color w:val="auto"/>
                    </w:rPr>
                  </w:pPr>
                  <w:r>
                    <w:rPr>
                      <w:rFonts w:hint="eastAsia" w:ascii="Times New Roman" w:hAnsi="Times New Roman"/>
                      <w:color w:val="auto"/>
                    </w:rPr>
                    <w:t>2.06E-04</w:t>
                  </w:r>
                </w:p>
              </w:tc>
              <w:tc>
                <w:tcPr>
                  <w:tcW w:w="767" w:type="pct"/>
                  <w:vMerge w:val="continue"/>
                  <w:noWrap w:val="0"/>
                  <w:vAlign w:val="center"/>
                </w:tcPr>
                <w:p w14:paraId="5AB929A5">
                  <w:pPr>
                    <w:pStyle w:val="52"/>
                    <w:rPr>
                      <w:rFonts w:ascii="Times New Roman" w:hAnsi="Times New Roman"/>
                      <w:color w:val="auto"/>
                    </w:rPr>
                  </w:pPr>
                </w:p>
              </w:tc>
              <w:tc>
                <w:tcPr>
                  <w:tcW w:w="759" w:type="pct"/>
                  <w:vMerge w:val="continue"/>
                  <w:noWrap w:val="0"/>
                  <w:vAlign w:val="center"/>
                </w:tcPr>
                <w:p w14:paraId="3AAF7833">
                  <w:pPr>
                    <w:pStyle w:val="52"/>
                    <w:rPr>
                      <w:rFonts w:hint="eastAsia" w:ascii="Times New Roman" w:hAnsi="Times New Roman"/>
                      <w:color w:val="auto"/>
                      <w:lang w:val="en-US" w:eastAsia="zh-CN"/>
                    </w:rPr>
                  </w:pPr>
                </w:p>
              </w:tc>
              <w:tc>
                <w:tcPr>
                  <w:tcW w:w="484" w:type="pct"/>
                  <w:vMerge w:val="continue"/>
                  <w:noWrap w:val="0"/>
                  <w:vAlign w:val="center"/>
                </w:tcPr>
                <w:p w14:paraId="1D0F1142">
                  <w:pPr>
                    <w:pStyle w:val="52"/>
                    <w:rPr>
                      <w:rFonts w:hint="eastAsia" w:ascii="Times New Roman" w:hAnsi="Times New Roman"/>
                      <w:color w:val="auto"/>
                      <w:lang w:val="en-US" w:eastAsia="zh-CN"/>
                    </w:rPr>
                  </w:pPr>
                </w:p>
              </w:tc>
              <w:tc>
                <w:tcPr>
                  <w:tcW w:w="411" w:type="pct"/>
                  <w:vMerge w:val="continue"/>
                  <w:noWrap w:val="0"/>
                  <w:vAlign w:val="center"/>
                </w:tcPr>
                <w:p w14:paraId="7B9B7A53">
                  <w:pPr>
                    <w:pStyle w:val="52"/>
                    <w:rPr>
                      <w:rFonts w:hint="eastAsia" w:ascii="Times New Roman" w:hAnsi="Times New Roman"/>
                      <w:color w:val="auto"/>
                    </w:rPr>
                  </w:pPr>
                </w:p>
              </w:tc>
            </w:tr>
            <w:tr w14:paraId="6982C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noWrap w:val="0"/>
                  <w:vAlign w:val="center"/>
                </w:tcPr>
                <w:p w14:paraId="3AE2C400">
                  <w:pPr>
                    <w:jc w:val="center"/>
                    <w:rPr>
                      <w:rFonts w:ascii="Times New Roman" w:hAnsi="Times New Roman"/>
                      <w:color w:val="auto"/>
                      <w:sz w:val="21"/>
                    </w:rPr>
                  </w:pPr>
                </w:p>
              </w:tc>
              <w:tc>
                <w:tcPr>
                  <w:tcW w:w="547" w:type="pct"/>
                  <w:vMerge w:val="continue"/>
                  <w:noWrap w:val="0"/>
                  <w:vAlign w:val="center"/>
                </w:tcPr>
                <w:p w14:paraId="13C4683F">
                  <w:pPr>
                    <w:pStyle w:val="52"/>
                    <w:ind w:firstLine="0" w:firstLineChars="0"/>
                    <w:rPr>
                      <w:rFonts w:hint="eastAsia" w:ascii="Times New Roman" w:hAnsi="Times New Roman"/>
                      <w:color w:val="auto"/>
                      <w:lang w:eastAsia="zh-CN"/>
                    </w:rPr>
                  </w:pPr>
                </w:p>
              </w:tc>
              <w:tc>
                <w:tcPr>
                  <w:tcW w:w="794" w:type="pct"/>
                  <w:noWrap w:val="0"/>
                  <w:vAlign w:val="center"/>
                </w:tcPr>
                <w:p w14:paraId="0362E6CB">
                  <w:pPr>
                    <w:pStyle w:val="52"/>
                    <w:ind w:firstLine="0" w:firstLineChars="0"/>
                    <w:rPr>
                      <w:rFonts w:hint="eastAsia" w:ascii="Times New Roman" w:hAnsi="Times New Roman"/>
                      <w:color w:val="auto"/>
                      <w:lang w:eastAsia="zh-CN"/>
                    </w:rPr>
                  </w:pPr>
                  <w:r>
                    <w:rPr>
                      <w:rFonts w:hint="eastAsia" w:ascii="Times New Roman" w:hAnsi="Times New Roman"/>
                      <w:color w:val="auto"/>
                      <w:lang w:eastAsia="zh-CN"/>
                    </w:rPr>
                    <w:t>废电机拆解车间</w:t>
                  </w:r>
                </w:p>
              </w:tc>
              <w:tc>
                <w:tcPr>
                  <w:tcW w:w="665" w:type="pct"/>
                  <w:noWrap w:val="0"/>
                  <w:vAlign w:val="center"/>
                </w:tcPr>
                <w:p w14:paraId="117609FF">
                  <w:pPr>
                    <w:pStyle w:val="52"/>
                    <w:rPr>
                      <w:rFonts w:hint="eastAsia" w:ascii="Times New Roman" w:hAnsi="Times New Roman"/>
                      <w:color w:val="auto"/>
                    </w:rPr>
                  </w:pPr>
                  <w:r>
                    <w:rPr>
                      <w:rFonts w:hint="eastAsia" w:ascii="Times New Roman" w:hAnsi="Times New Roman"/>
                      <w:color w:val="auto"/>
                    </w:rPr>
                    <w:t>1.23E-04</w:t>
                  </w:r>
                </w:p>
              </w:tc>
              <w:tc>
                <w:tcPr>
                  <w:tcW w:w="767" w:type="pct"/>
                  <w:vMerge w:val="continue"/>
                  <w:noWrap w:val="0"/>
                  <w:vAlign w:val="center"/>
                </w:tcPr>
                <w:p w14:paraId="34B065F8">
                  <w:pPr>
                    <w:pStyle w:val="52"/>
                    <w:rPr>
                      <w:rFonts w:ascii="Times New Roman" w:hAnsi="Times New Roman"/>
                      <w:color w:val="auto"/>
                    </w:rPr>
                  </w:pPr>
                </w:p>
              </w:tc>
              <w:tc>
                <w:tcPr>
                  <w:tcW w:w="759" w:type="pct"/>
                  <w:vMerge w:val="continue"/>
                  <w:noWrap w:val="0"/>
                  <w:vAlign w:val="center"/>
                </w:tcPr>
                <w:p w14:paraId="416A81C4">
                  <w:pPr>
                    <w:pStyle w:val="52"/>
                    <w:rPr>
                      <w:rFonts w:hint="eastAsia" w:ascii="Times New Roman" w:hAnsi="Times New Roman"/>
                      <w:color w:val="auto"/>
                      <w:lang w:val="en-US" w:eastAsia="zh-CN"/>
                    </w:rPr>
                  </w:pPr>
                </w:p>
              </w:tc>
              <w:tc>
                <w:tcPr>
                  <w:tcW w:w="484" w:type="pct"/>
                  <w:vMerge w:val="continue"/>
                  <w:noWrap w:val="0"/>
                  <w:vAlign w:val="center"/>
                </w:tcPr>
                <w:p w14:paraId="57A939BA">
                  <w:pPr>
                    <w:pStyle w:val="52"/>
                    <w:rPr>
                      <w:rFonts w:hint="eastAsia" w:ascii="Times New Roman" w:hAnsi="Times New Roman"/>
                      <w:color w:val="auto"/>
                      <w:lang w:val="en-US" w:eastAsia="zh-CN"/>
                    </w:rPr>
                  </w:pPr>
                </w:p>
              </w:tc>
              <w:tc>
                <w:tcPr>
                  <w:tcW w:w="411" w:type="pct"/>
                  <w:vMerge w:val="continue"/>
                  <w:noWrap w:val="0"/>
                  <w:vAlign w:val="center"/>
                </w:tcPr>
                <w:p w14:paraId="38C500A8">
                  <w:pPr>
                    <w:pStyle w:val="52"/>
                    <w:rPr>
                      <w:rFonts w:hint="eastAsia" w:ascii="Times New Roman" w:hAnsi="Times New Roman"/>
                      <w:color w:val="auto"/>
                    </w:rPr>
                  </w:pPr>
                </w:p>
              </w:tc>
            </w:tr>
          </w:tbl>
          <w:p w14:paraId="4F204B5D">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left"/>
              <w:textAlignment w:val="bottom"/>
              <w:rPr>
                <w:rFonts w:hint="default" w:ascii="Times New Roman" w:hAnsi="Times New Roman" w:eastAsia="宋体" w:cs="Times New Roman"/>
                <w:b/>
                <w:bCs/>
                <w:color w:val="auto"/>
                <w:kern w:val="0"/>
                <w:sz w:val="24"/>
                <w:szCs w:val="20"/>
                <w:lang w:val="en-US" w:eastAsia="zh-CN" w:bidi="ar-SA"/>
              </w:rPr>
            </w:pPr>
            <w:r>
              <w:rPr>
                <w:rFonts w:hint="eastAsia" w:ascii="Times New Roman" w:hAnsi="Times New Roman" w:eastAsia="宋体" w:cs="Times New Roman"/>
                <w:b/>
                <w:bCs/>
                <w:color w:val="auto"/>
                <w:kern w:val="0"/>
                <w:sz w:val="24"/>
                <w:szCs w:val="20"/>
                <w:lang w:val="en-US" w:eastAsia="zh-CN" w:bidi="ar-SA"/>
              </w:rPr>
              <w:t>4.2.3.2 废气处理措施可行性分析</w:t>
            </w:r>
          </w:p>
          <w:p w14:paraId="2B7397FA">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bottom"/>
              <w:rPr>
                <w:rFonts w:hint="default" w:ascii="Times New Roman" w:hAnsi="Times New Roman" w:eastAsia="宋体" w:cs="Times New Roman"/>
                <w:b/>
                <w:bCs/>
                <w:color w:val="auto"/>
                <w:kern w:val="0"/>
                <w:sz w:val="24"/>
                <w:szCs w:val="20"/>
                <w:lang w:val="en-US" w:eastAsia="zh-CN" w:bidi="ar-SA"/>
              </w:rPr>
            </w:pPr>
            <w:r>
              <w:rPr>
                <w:rFonts w:hint="eastAsia" w:ascii="Times New Roman" w:hAnsi="Times New Roman" w:eastAsia="宋体" w:cs="Times New Roman"/>
                <w:b/>
                <w:bCs/>
                <w:color w:val="auto"/>
                <w:kern w:val="0"/>
                <w:sz w:val="24"/>
                <w:szCs w:val="20"/>
                <w:lang w:val="en-US" w:eastAsia="zh-CN" w:bidi="ar-SA"/>
              </w:rPr>
              <w:t>（1）有机</w:t>
            </w:r>
            <w:r>
              <w:rPr>
                <w:rFonts w:hint="default" w:ascii="Times New Roman" w:hAnsi="Times New Roman" w:eastAsia="宋体" w:cs="Times New Roman"/>
                <w:b/>
                <w:bCs/>
                <w:color w:val="auto"/>
                <w:kern w:val="0"/>
                <w:sz w:val="24"/>
                <w:szCs w:val="20"/>
                <w:lang w:val="en-US" w:eastAsia="zh-CN" w:bidi="ar-SA"/>
              </w:rPr>
              <w:t>废气处理措施</w:t>
            </w:r>
          </w:p>
          <w:p w14:paraId="5DBD67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①工艺流程</w:t>
            </w:r>
          </w:p>
          <w:p w14:paraId="04A410F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项目</w:t>
            </w:r>
            <w:r>
              <w:rPr>
                <w:rFonts w:hint="eastAsia" w:ascii="Times New Roman" w:hAnsi="Times New Roman" w:eastAsia="宋体" w:cs="Times New Roman"/>
                <w:color w:val="auto"/>
                <w:kern w:val="0"/>
                <w:sz w:val="24"/>
                <w:szCs w:val="20"/>
                <w:lang w:val="en-US" w:eastAsia="zh-CN" w:bidi="ar-SA"/>
              </w:rPr>
              <w:t>采用专用设备对废机动车废油液及废制冷剂、废变压油进行抽取排空，通过管道送至密闭废液收集容器进行储存，抽取过程中产生的有机废气经“过滤棉+双级活性炭吸附装置”处理后，</w:t>
            </w:r>
            <w:r>
              <w:rPr>
                <w:rFonts w:hint="default" w:ascii="Times New Roman" w:hAnsi="Times New Roman" w:eastAsia="宋体" w:cs="Times New Roman"/>
                <w:color w:val="auto"/>
                <w:kern w:val="0"/>
                <w:sz w:val="24"/>
                <w:szCs w:val="20"/>
                <w:lang w:val="en-US" w:eastAsia="zh-CN" w:bidi="ar-SA"/>
              </w:rPr>
              <w:t>通过15m高排气筒</w:t>
            </w:r>
            <w:r>
              <w:rPr>
                <w:rFonts w:hint="eastAsia" w:ascii="Times New Roman" w:hAnsi="Times New Roman" w:eastAsia="宋体" w:cs="Times New Roman"/>
                <w:color w:val="auto"/>
                <w:kern w:val="0"/>
                <w:sz w:val="24"/>
                <w:szCs w:val="20"/>
                <w:lang w:val="en-US" w:eastAsia="zh-CN" w:bidi="ar-SA"/>
              </w:rPr>
              <w:t>达标排放</w:t>
            </w:r>
            <w:r>
              <w:rPr>
                <w:rFonts w:hint="default" w:ascii="Times New Roman" w:hAnsi="Times New Roman" w:eastAsia="宋体" w:cs="Times New Roman"/>
                <w:color w:val="auto"/>
                <w:kern w:val="0"/>
                <w:sz w:val="24"/>
                <w:szCs w:val="20"/>
                <w:lang w:val="en-US" w:eastAsia="zh-CN" w:bidi="ar-SA"/>
              </w:rPr>
              <w:t>，</w:t>
            </w:r>
            <w:r>
              <w:rPr>
                <w:rFonts w:hint="eastAsia" w:ascii="Times New Roman" w:hAnsi="Times New Roman" w:eastAsia="宋体" w:cs="Times New Roman"/>
                <w:color w:val="auto"/>
                <w:kern w:val="0"/>
                <w:sz w:val="24"/>
                <w:szCs w:val="20"/>
                <w:lang w:val="en-US" w:eastAsia="zh-CN" w:bidi="ar-SA"/>
              </w:rPr>
              <w:t>危废暂存间废气经集气管道收集后由双级活性炭吸附处理，通过15m高排气筒达标排放，</w:t>
            </w:r>
            <w:r>
              <w:rPr>
                <w:rFonts w:hint="default" w:ascii="Times New Roman" w:hAnsi="Times New Roman" w:eastAsia="宋体" w:cs="Times New Roman"/>
                <w:color w:val="auto"/>
                <w:kern w:val="0"/>
                <w:sz w:val="24"/>
                <w:szCs w:val="20"/>
                <w:lang w:val="en-US" w:eastAsia="zh-CN" w:bidi="ar-SA"/>
              </w:rPr>
              <w:t>具体处理工艺流程</w:t>
            </w:r>
            <w:r>
              <w:rPr>
                <w:rFonts w:hint="eastAsia" w:ascii="Times New Roman" w:hAnsi="Times New Roman" w:eastAsia="宋体" w:cs="Times New Roman"/>
                <w:color w:val="auto"/>
                <w:kern w:val="0"/>
                <w:sz w:val="24"/>
                <w:szCs w:val="20"/>
                <w:lang w:val="en-US" w:eastAsia="zh-CN" w:bidi="ar-SA"/>
              </w:rPr>
              <w:t>详见</w:t>
            </w:r>
            <w:r>
              <w:rPr>
                <w:rFonts w:hint="default" w:ascii="Times New Roman" w:hAnsi="Times New Roman" w:eastAsia="宋体" w:cs="Times New Roman"/>
                <w:color w:val="auto"/>
                <w:kern w:val="0"/>
                <w:sz w:val="24"/>
                <w:szCs w:val="20"/>
                <w:lang w:val="en-US" w:eastAsia="zh-CN" w:bidi="ar-SA"/>
              </w:rPr>
              <w:t>图4.</w:t>
            </w:r>
            <w:r>
              <w:rPr>
                <w:rFonts w:hint="eastAsia" w:ascii="Times New Roman" w:hAnsi="Times New Roman" w:eastAsia="宋体" w:cs="Times New Roman"/>
                <w:color w:val="auto"/>
                <w:kern w:val="0"/>
                <w:sz w:val="24"/>
                <w:szCs w:val="20"/>
                <w:lang w:val="en-US" w:eastAsia="zh-CN" w:bidi="ar-SA"/>
              </w:rPr>
              <w:t>2</w:t>
            </w:r>
            <w:r>
              <w:rPr>
                <w:rFonts w:hint="default" w:ascii="Times New Roman" w:hAnsi="Times New Roman" w:eastAsia="宋体" w:cs="Times New Roman"/>
                <w:color w:val="auto"/>
                <w:kern w:val="0"/>
                <w:sz w:val="24"/>
                <w:szCs w:val="20"/>
                <w:lang w:val="en-US" w:eastAsia="zh-CN" w:bidi="ar-SA"/>
              </w:rPr>
              <w:t>-1。</w:t>
            </w:r>
          </w:p>
          <w:p w14:paraId="2F92CF18">
            <w:pPr>
              <w:rPr>
                <w:rFonts w:hint="default" w:ascii="Times New Roman" w:hAnsi="Times New Roman"/>
                <w:color w:val="auto"/>
                <w:lang w:val="en-US" w:eastAsia="zh-CN"/>
              </w:rPr>
            </w:pPr>
            <w:r>
              <w:rPr>
                <w:rFonts w:hint="default" w:ascii="Times New Roman" w:hAnsi="Times New Roman"/>
                <w:color w:val="auto"/>
                <w:lang w:val="en-US" w:eastAsia="zh-CN"/>
              </w:rPr>
              <w:drawing>
                <wp:inline distT="0" distB="0" distL="114300" distR="114300">
                  <wp:extent cx="5037455" cy="4378325"/>
                  <wp:effectExtent l="0" t="0" r="0" b="0"/>
                  <wp:docPr id="16" name="图片 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wps"/>
                          <pic:cNvPicPr>
                            <a:picLocks noChangeAspect="1"/>
                          </pic:cNvPicPr>
                        </pic:nvPicPr>
                        <pic:blipFill>
                          <a:blip r:embed="rId14"/>
                          <a:stretch>
                            <a:fillRect/>
                          </a:stretch>
                        </pic:blipFill>
                        <pic:spPr>
                          <a:xfrm>
                            <a:off x="0" y="0"/>
                            <a:ext cx="5037455" cy="4378325"/>
                          </a:xfrm>
                          <a:prstGeom prst="rect">
                            <a:avLst/>
                          </a:prstGeom>
                          <a:noFill/>
                          <a:ln>
                            <a:noFill/>
                          </a:ln>
                        </pic:spPr>
                      </pic:pic>
                    </a:graphicData>
                  </a:graphic>
                </wp:inline>
              </w:drawing>
            </w:r>
          </w:p>
          <w:p w14:paraId="37FBC583">
            <w:pPr>
              <w:jc w:val="center"/>
              <w:rPr>
                <w:rFonts w:eastAsia="黑体"/>
                <w:color w:val="auto"/>
                <w:sz w:val="24"/>
              </w:rPr>
            </w:pPr>
            <w:r>
              <w:rPr>
                <w:rFonts w:eastAsia="黑体"/>
                <w:color w:val="auto"/>
                <w:sz w:val="24"/>
              </w:rPr>
              <w:t>图</w:t>
            </w:r>
            <w:r>
              <w:rPr>
                <w:rFonts w:hint="eastAsia" w:eastAsia="黑体"/>
                <w:color w:val="auto"/>
                <w:sz w:val="24"/>
                <w:lang w:val="en-US" w:eastAsia="zh-CN"/>
              </w:rPr>
              <w:t>4.2</w:t>
            </w:r>
            <w:r>
              <w:rPr>
                <w:rFonts w:eastAsia="黑体"/>
                <w:color w:val="auto"/>
                <w:sz w:val="24"/>
              </w:rPr>
              <w:t>-</w:t>
            </w:r>
            <w:r>
              <w:rPr>
                <w:rFonts w:hint="eastAsia" w:eastAsia="黑体"/>
                <w:color w:val="auto"/>
                <w:sz w:val="24"/>
                <w:lang w:val="en-US" w:eastAsia="zh-CN"/>
              </w:rPr>
              <w:t>1</w:t>
            </w:r>
            <w:r>
              <w:rPr>
                <w:rFonts w:eastAsia="黑体"/>
                <w:color w:val="auto"/>
                <w:sz w:val="24"/>
              </w:rPr>
              <w:t xml:space="preserve"> 项目废气处理工艺流程图</w:t>
            </w:r>
          </w:p>
          <w:p w14:paraId="1A24A93E">
            <w:pPr>
              <w:rPr>
                <w:rFonts w:hint="default" w:ascii="Times New Roman" w:hAnsi="Times New Roman" w:eastAsia="宋体" w:cs="Times New Roman"/>
                <w:color w:val="auto"/>
                <w:sz w:val="24"/>
                <w:szCs w:val="22"/>
                <w:highlight w:val="none"/>
              </w:rPr>
            </w:pPr>
          </w:p>
          <w:p w14:paraId="7D5FCC6F">
            <w:pPr>
              <w:spacing w:line="360" w:lineRule="auto"/>
              <w:ind w:firstLine="480" w:firstLineChars="200"/>
              <w:rPr>
                <w:rFonts w:ascii="Times New Roman" w:hAnsi="Times New Roman"/>
                <w:color w:val="auto"/>
                <w:sz w:val="24"/>
              </w:rPr>
            </w:pPr>
            <w:r>
              <w:rPr>
                <w:rFonts w:ascii="Times New Roman" w:hAnsi="Times New Roman"/>
                <w:color w:val="auto"/>
                <w:sz w:val="24"/>
              </w:rPr>
              <w:t>②工艺原理</w:t>
            </w:r>
          </w:p>
          <w:p w14:paraId="31E987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活性炭，是一种具有多孔结构和大的内部比表面积的材料。由于其大的比表面积、微孔结构、高的吸附能力和很高的表面活性而成为独特的多功能吸附剂，且其价廉易得，可再生化，同时它可有效去除废水、废气中的大部分有机物和某些无机物，所以它被世界各国广泛地应用于污水及废气的处理、空气净化、回收溶剂等环境保护和资源回收等领域。</w:t>
            </w:r>
          </w:p>
          <w:p w14:paraId="210AEE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一次性活性炭吸附工艺宜采用颗粒活性炭作为吸附剂</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其碘值不宜低于800mg/g。本项目拟采用颗粒活性炭作为吸附剂，碘值800mg/g。</w:t>
            </w:r>
            <w:r>
              <w:rPr>
                <w:rFonts w:hint="eastAsia" w:ascii="Times New Roman" w:hAnsi="Times New Roman"/>
                <w:color w:val="auto"/>
                <w:sz w:val="24"/>
                <w:lang w:val="en-US" w:eastAsia="zh-CN"/>
              </w:rPr>
              <w:t>为保证活性炭的正常运行，按照《吸附法工业有机废气治理工程技术规范》（HJ 2026-2013）要求，需对活性炭吸附箱两端压力进行计量，根据压差值及时更换废活性炭（阻力低于初始值或达到初阻值1.</w:t>
            </w:r>
            <w:r>
              <w:rPr>
                <w:rFonts w:hint="eastAsia" w:ascii="Times New Roman" w:hAnsi="Times New Roman" w:eastAsia="宋体" w:cs="Times New Roman"/>
                <w:color w:val="auto"/>
                <w:sz w:val="24"/>
                <w:lang w:val="en-US" w:eastAsia="zh-CN"/>
              </w:rPr>
              <w:t>5~2倍时更换）。项目预计每半年更换一次，排气筒DA001、DA003配套活性炭装置一次最低填装量1.0t，排气筒DA002配套活性炭装置一次最低填装量1.5t（相关核算详见4.5.1章节）。同时为防止高浓度油气对活性炭产生黏连降低吸附效率，在</w:t>
            </w:r>
            <w:r>
              <w:rPr>
                <w:rFonts w:hint="eastAsia" w:ascii="Times New Roman" w:hAnsi="Times New Roman" w:eastAsia="宋体" w:cs="Times New Roman"/>
                <w:color w:val="auto"/>
                <w:kern w:val="0"/>
                <w:sz w:val="24"/>
                <w:szCs w:val="20"/>
                <w:lang w:val="en-US" w:eastAsia="zh-CN" w:bidi="ar-SA"/>
              </w:rPr>
              <w:t>废机动车废油液及废制冷剂、废变压油抽取废气的</w:t>
            </w:r>
            <w:r>
              <w:rPr>
                <w:rFonts w:hint="eastAsia" w:ascii="Times New Roman" w:hAnsi="Times New Roman" w:eastAsia="宋体" w:cs="Times New Roman"/>
                <w:color w:val="auto"/>
                <w:sz w:val="24"/>
                <w:lang w:val="en-US" w:eastAsia="zh-CN"/>
              </w:rPr>
              <w:t>双级活性炭吸附装置前端加设过滤棉过滤。</w:t>
            </w:r>
          </w:p>
          <w:p w14:paraId="25786C8B">
            <w:pPr>
              <w:pStyle w:val="34"/>
              <w:spacing w:after="0" w:line="360" w:lineRule="auto"/>
              <w:ind w:left="0" w:leftChars="0" w:firstLine="480" w:firstLineChars="200"/>
              <w:rPr>
                <w:rFonts w:hint="eastAsia" w:ascii="Times New Roman" w:hAnsi="Times New Roman" w:eastAsia="宋体"/>
                <w:color w:val="auto"/>
              </w:rPr>
            </w:pPr>
            <w:r>
              <w:rPr>
                <w:rFonts w:hint="eastAsia" w:ascii="Times New Roman" w:hAnsi="Times New Roman" w:eastAsia="宋体"/>
                <w:color w:val="auto"/>
              </w:rPr>
              <w:t>③技术可行分析</w:t>
            </w:r>
          </w:p>
          <w:p w14:paraId="7540815E">
            <w:pPr>
              <w:pStyle w:val="34"/>
              <w:spacing w:after="0" w:line="360" w:lineRule="auto"/>
              <w:ind w:left="0" w:leftChars="0" w:firstLine="480" w:firstLineChars="200"/>
              <w:rPr>
                <w:rFonts w:ascii="Times New Roman" w:hAnsi="Times New Roman" w:eastAsia="宋体"/>
                <w:color w:val="auto"/>
              </w:rPr>
            </w:pPr>
            <w:r>
              <w:rPr>
                <w:rFonts w:hint="eastAsia" w:ascii="Times New Roman" w:hAnsi="Times New Roman" w:eastAsia="宋体"/>
                <w:color w:val="auto"/>
                <w:lang w:val="en-US" w:eastAsia="zh-CN"/>
              </w:rPr>
              <w:t>参考</w:t>
            </w:r>
            <w:r>
              <w:rPr>
                <w:rFonts w:hint="eastAsia" w:ascii="Times New Roman" w:hAnsi="Times New Roman" w:eastAsia="宋体"/>
                <w:color w:val="auto"/>
              </w:rPr>
              <w:t>《</w:t>
            </w:r>
            <w:r>
              <w:rPr>
                <w:rFonts w:ascii="Times New Roman" w:hAnsi="Times New Roman" w:eastAsia="宋体"/>
                <w:color w:val="auto"/>
              </w:rPr>
              <w:t>排污许可证申请与核发技术规范</w:t>
            </w:r>
            <w:r>
              <w:rPr>
                <w:rFonts w:hint="eastAsia" w:ascii="Times New Roman" w:hAnsi="Times New Roman" w:eastAsia="宋体"/>
                <w:color w:val="auto"/>
              </w:rPr>
              <w:t xml:space="preserve"> </w:t>
            </w:r>
            <w:r>
              <w:rPr>
                <w:rFonts w:ascii="Times New Roman" w:hAnsi="Times New Roman" w:eastAsia="宋体"/>
                <w:color w:val="auto"/>
              </w:rPr>
              <w:t>废弃资源加工工业</w:t>
            </w:r>
            <w:r>
              <w:rPr>
                <w:rFonts w:hint="eastAsia" w:ascii="Times New Roman" w:hAnsi="Times New Roman" w:eastAsia="宋体"/>
                <w:color w:val="auto"/>
              </w:rPr>
              <w:t>》(HJ 1034-2019)</w:t>
            </w:r>
            <w:r>
              <w:rPr>
                <w:rFonts w:ascii="Times New Roman" w:hAnsi="Times New Roman" w:eastAsia="宋体"/>
                <w:color w:val="auto"/>
              </w:rPr>
              <w:t>中附录A中的</w:t>
            </w:r>
            <w:r>
              <w:rPr>
                <w:rFonts w:hint="eastAsia" w:ascii="Times New Roman" w:hAnsi="Times New Roman" w:eastAsia="宋体"/>
                <w:color w:val="auto"/>
              </w:rPr>
              <w:t>表A.1废弃资源加工工业排污单位废气</w:t>
            </w:r>
            <w:r>
              <w:rPr>
                <w:rFonts w:ascii="Times New Roman" w:hAnsi="Times New Roman" w:eastAsia="宋体"/>
                <w:color w:val="auto"/>
              </w:rPr>
              <w:t>污染防治可行技术参考</w:t>
            </w:r>
            <w:r>
              <w:rPr>
                <w:rFonts w:hint="eastAsia" w:ascii="Times New Roman" w:hAnsi="Times New Roman" w:eastAsia="宋体"/>
                <w:color w:val="auto"/>
              </w:rPr>
              <w:t>进行分析</w:t>
            </w:r>
            <w:r>
              <w:rPr>
                <w:rFonts w:hint="eastAsia" w:ascii="Times New Roman" w:hAnsi="Times New Roman" w:eastAsia="宋体"/>
                <w:color w:val="auto"/>
                <w:lang w:eastAsia="zh-CN"/>
              </w:rPr>
              <w:t>，</w:t>
            </w:r>
            <w:r>
              <w:rPr>
                <w:rFonts w:hint="eastAsia" w:ascii="Times New Roman" w:hAnsi="Times New Roman" w:eastAsia="宋体"/>
                <w:color w:val="auto"/>
              </w:rPr>
              <w:t>表详见表</w:t>
            </w:r>
            <w:r>
              <w:rPr>
                <w:rFonts w:hint="eastAsia" w:ascii="Times New Roman" w:hAnsi="Times New Roman" w:eastAsia="宋体"/>
                <w:color w:val="auto"/>
                <w:lang w:val="en-US" w:eastAsia="zh-CN"/>
              </w:rPr>
              <w:t>4.2-7</w:t>
            </w:r>
            <w:r>
              <w:rPr>
                <w:rFonts w:hint="eastAsia" w:ascii="Times New Roman" w:hAnsi="Times New Roman" w:eastAsia="宋体"/>
                <w:color w:val="auto"/>
              </w:rPr>
              <w:t>。</w:t>
            </w:r>
          </w:p>
          <w:p w14:paraId="35AE82C7">
            <w:pPr>
              <w:widowControl/>
              <w:spacing w:before="120" w:beforeLines="50"/>
              <w:jc w:val="center"/>
              <w:rPr>
                <w:rFonts w:ascii="Times New Roman" w:hAnsi="Times New Roman"/>
                <w:color w:val="auto"/>
                <w:sz w:val="24"/>
              </w:rPr>
            </w:pPr>
            <w:r>
              <w:rPr>
                <w:rFonts w:ascii="Times New Roman" w:hAnsi="Times New Roman" w:eastAsia="黑体"/>
                <w:color w:val="auto"/>
                <w:sz w:val="24"/>
              </w:rPr>
              <w:t>表</w:t>
            </w:r>
            <w:r>
              <w:rPr>
                <w:rFonts w:hint="eastAsia" w:ascii="Times New Roman" w:hAnsi="Times New Roman" w:eastAsia="黑体"/>
                <w:color w:val="auto"/>
                <w:sz w:val="24"/>
                <w:lang w:val="en-US" w:eastAsia="zh-CN"/>
              </w:rPr>
              <w:t>4.2-7</w:t>
            </w:r>
            <w:r>
              <w:rPr>
                <w:rFonts w:ascii="Times New Roman" w:hAnsi="Times New Roman" w:eastAsia="黑体"/>
                <w:color w:val="auto"/>
                <w:sz w:val="24"/>
              </w:rPr>
              <w:t xml:space="preserve"> </w:t>
            </w:r>
            <w:r>
              <w:rPr>
                <w:rFonts w:ascii="Times New Roman" w:hAnsi="Times New Roman" w:eastAsia="黑体"/>
                <w:color w:val="auto"/>
                <w:kern w:val="0"/>
                <w:sz w:val="24"/>
                <w:lang w:bidi="ar"/>
              </w:rPr>
              <w:t>表</w:t>
            </w:r>
            <w:r>
              <w:rPr>
                <w:rFonts w:ascii="Times New Roman" w:hAnsi="Times New Roman"/>
                <w:color w:val="auto"/>
                <w:kern w:val="0"/>
                <w:sz w:val="24"/>
                <w:lang w:bidi="ar"/>
              </w:rPr>
              <w:t>A.</w:t>
            </w:r>
            <w:r>
              <w:rPr>
                <w:rFonts w:hint="eastAsia" w:ascii="Times New Roman" w:hAnsi="Times New Roman"/>
                <w:color w:val="auto"/>
                <w:kern w:val="0"/>
                <w:sz w:val="24"/>
                <w:lang w:bidi="ar"/>
              </w:rPr>
              <w:t>1</w:t>
            </w:r>
            <w:r>
              <w:rPr>
                <w:rFonts w:hint="eastAsia" w:ascii="Times New Roman" w:hAnsi="Times New Roman" w:eastAsia="黑体"/>
                <w:color w:val="auto"/>
                <w:kern w:val="0"/>
                <w:sz w:val="24"/>
                <w:lang w:bidi="ar"/>
              </w:rPr>
              <w:t>废弃资源加工工业</w:t>
            </w:r>
            <w:r>
              <w:rPr>
                <w:rFonts w:ascii="Times New Roman" w:hAnsi="Times New Roman" w:eastAsia="黑体"/>
                <w:color w:val="auto"/>
                <w:kern w:val="0"/>
                <w:sz w:val="24"/>
                <w:lang w:bidi="ar"/>
              </w:rPr>
              <w:t>排污单位废气污染防治可行技术参考表</w:t>
            </w:r>
          </w:p>
          <w:tbl>
            <w:tblPr>
              <w:tblStyle w:val="20"/>
              <w:tblpPr w:leftFromText="180" w:rightFromText="180" w:vertAnchor="text" w:tblpY="1"/>
              <w:tblOverlap w:val="never"/>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217"/>
              <w:gridCol w:w="994"/>
              <w:gridCol w:w="1416"/>
              <w:gridCol w:w="1272"/>
              <w:gridCol w:w="2065"/>
              <w:gridCol w:w="979"/>
            </w:tblGrid>
            <w:tr w14:paraId="02933DF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trPr>
              <w:tc>
                <w:tcPr>
                  <w:tcW w:w="766" w:type="pct"/>
                  <w:noWrap w:val="0"/>
                  <w:vAlign w:val="center"/>
                </w:tcPr>
                <w:p w14:paraId="4C98F33C">
                  <w:pPr>
                    <w:keepNext/>
                    <w:overflowPunct w:val="0"/>
                    <w:snapToGrid w:val="0"/>
                    <w:spacing w:line="340" w:lineRule="atLeast"/>
                    <w:jc w:val="center"/>
                    <w:rPr>
                      <w:rFonts w:ascii="Times New Roman" w:hAnsi="Times New Roman"/>
                      <w:color w:val="auto"/>
                      <w:szCs w:val="21"/>
                    </w:rPr>
                  </w:pPr>
                  <w:r>
                    <w:rPr>
                      <w:rFonts w:ascii="Times New Roman" w:hAnsi="Times New Roman"/>
                      <w:color w:val="auto"/>
                      <w:szCs w:val="21"/>
                    </w:rPr>
                    <w:t>废弃资源种类</w:t>
                  </w:r>
                </w:p>
              </w:tc>
              <w:tc>
                <w:tcPr>
                  <w:tcW w:w="625" w:type="pct"/>
                  <w:noWrap w:val="0"/>
                  <w:vAlign w:val="center"/>
                </w:tcPr>
                <w:p w14:paraId="74735374">
                  <w:pPr>
                    <w:keepNext/>
                    <w:overflowPunct w:val="0"/>
                    <w:snapToGrid w:val="0"/>
                    <w:spacing w:line="340" w:lineRule="atLeast"/>
                    <w:jc w:val="center"/>
                    <w:rPr>
                      <w:rFonts w:ascii="Times New Roman" w:hAnsi="Times New Roman"/>
                      <w:color w:val="auto"/>
                      <w:szCs w:val="21"/>
                    </w:rPr>
                  </w:pPr>
                  <w:r>
                    <w:rPr>
                      <w:rFonts w:ascii="Times New Roman" w:hAnsi="Times New Roman"/>
                      <w:color w:val="auto"/>
                      <w:szCs w:val="21"/>
                    </w:rPr>
                    <w:t>主要生产单元</w:t>
                  </w:r>
                </w:p>
              </w:tc>
              <w:tc>
                <w:tcPr>
                  <w:tcW w:w="891" w:type="pct"/>
                  <w:noWrap w:val="0"/>
                  <w:vAlign w:val="center"/>
                </w:tcPr>
                <w:p w14:paraId="1486227B">
                  <w:pPr>
                    <w:keepNext/>
                    <w:overflowPunct w:val="0"/>
                    <w:snapToGrid w:val="0"/>
                    <w:spacing w:line="340" w:lineRule="atLeast"/>
                    <w:jc w:val="center"/>
                    <w:rPr>
                      <w:rFonts w:ascii="Times New Roman" w:hAnsi="Times New Roman"/>
                      <w:color w:val="auto"/>
                      <w:szCs w:val="21"/>
                    </w:rPr>
                  </w:pPr>
                  <w:r>
                    <w:rPr>
                      <w:rFonts w:ascii="Times New Roman" w:hAnsi="Times New Roman"/>
                      <w:color w:val="auto"/>
                      <w:szCs w:val="21"/>
                    </w:rPr>
                    <w:t>污染物种类</w:t>
                  </w:r>
                </w:p>
              </w:tc>
              <w:tc>
                <w:tcPr>
                  <w:tcW w:w="800" w:type="pct"/>
                  <w:noWrap w:val="0"/>
                  <w:vAlign w:val="center"/>
                </w:tcPr>
                <w:p w14:paraId="77BD8CC0">
                  <w:pPr>
                    <w:keepNext/>
                    <w:overflowPunct w:val="0"/>
                    <w:snapToGrid w:val="0"/>
                    <w:spacing w:line="340" w:lineRule="atLeast"/>
                    <w:jc w:val="center"/>
                    <w:rPr>
                      <w:rFonts w:ascii="Times New Roman" w:hAnsi="Times New Roman"/>
                      <w:color w:val="auto"/>
                      <w:szCs w:val="21"/>
                    </w:rPr>
                  </w:pPr>
                  <w:r>
                    <w:rPr>
                      <w:rFonts w:ascii="Times New Roman" w:hAnsi="Times New Roman"/>
                      <w:color w:val="auto"/>
                      <w:szCs w:val="21"/>
                    </w:rPr>
                    <w:t>可行技术</w:t>
                  </w:r>
                </w:p>
              </w:tc>
              <w:tc>
                <w:tcPr>
                  <w:tcW w:w="1299" w:type="pct"/>
                  <w:noWrap w:val="0"/>
                  <w:vAlign w:val="center"/>
                </w:tcPr>
                <w:p w14:paraId="6E70DAF6">
                  <w:pPr>
                    <w:keepNext/>
                    <w:overflowPunct w:val="0"/>
                    <w:snapToGrid w:val="0"/>
                    <w:spacing w:line="340" w:lineRule="atLeast"/>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本项目</w:t>
                  </w:r>
                </w:p>
              </w:tc>
              <w:tc>
                <w:tcPr>
                  <w:tcW w:w="616" w:type="pct"/>
                  <w:noWrap w:val="0"/>
                  <w:vAlign w:val="center"/>
                </w:tcPr>
                <w:p w14:paraId="2942D63A">
                  <w:pPr>
                    <w:keepNext/>
                    <w:overflowPunct w:val="0"/>
                    <w:snapToGrid w:val="0"/>
                    <w:spacing w:line="340" w:lineRule="atLeast"/>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是否</w:t>
                  </w:r>
                </w:p>
                <w:p w14:paraId="6E9D975E">
                  <w:pPr>
                    <w:keepNext/>
                    <w:overflowPunct w:val="0"/>
                    <w:snapToGrid w:val="0"/>
                    <w:spacing w:line="340" w:lineRule="atLeas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可行</w:t>
                  </w:r>
                </w:p>
              </w:tc>
            </w:tr>
            <w:tr w14:paraId="6CC5B0F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trPr>
              <w:tc>
                <w:tcPr>
                  <w:tcW w:w="766" w:type="pct"/>
                  <w:vMerge w:val="restart"/>
                  <w:noWrap w:val="0"/>
                  <w:vAlign w:val="center"/>
                </w:tcPr>
                <w:p w14:paraId="2D3D82A3">
                  <w:pPr>
                    <w:keepNext/>
                    <w:overflowPunct w:val="0"/>
                    <w:snapToGrid w:val="0"/>
                    <w:spacing w:line="340" w:lineRule="atLeast"/>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废机动车</w:t>
                  </w:r>
                </w:p>
              </w:tc>
              <w:tc>
                <w:tcPr>
                  <w:tcW w:w="625" w:type="pct"/>
                  <w:vMerge w:val="restart"/>
                  <w:noWrap w:val="0"/>
                  <w:vAlign w:val="center"/>
                </w:tcPr>
                <w:p w14:paraId="4A294E13">
                  <w:pPr>
                    <w:keepNext/>
                    <w:overflowPunct w:val="0"/>
                    <w:snapToGrid w:val="0"/>
                    <w:spacing w:line="340" w:lineRule="atLeast"/>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拆解</w:t>
                  </w:r>
                </w:p>
              </w:tc>
              <w:tc>
                <w:tcPr>
                  <w:tcW w:w="891" w:type="pct"/>
                  <w:noWrap w:val="0"/>
                  <w:vAlign w:val="center"/>
                </w:tcPr>
                <w:p w14:paraId="5A73E1A1">
                  <w:pPr>
                    <w:keepNext/>
                    <w:overflowPunct w:val="0"/>
                    <w:snapToGrid w:val="0"/>
                    <w:spacing w:line="340" w:lineRule="atLeast"/>
                    <w:jc w:val="center"/>
                    <w:rPr>
                      <w:rFonts w:hint="default" w:ascii="Times New Roman" w:hAnsi="Times New Roman" w:eastAsia="宋体"/>
                      <w:color w:val="auto"/>
                      <w:szCs w:val="21"/>
                      <w:lang w:val="en-US" w:eastAsia="zh-CN"/>
                    </w:rPr>
                  </w:pPr>
                  <w:r>
                    <w:rPr>
                      <w:rFonts w:ascii="Times New Roman" w:hAnsi="Times New Roman"/>
                      <w:color w:val="auto"/>
                      <w:szCs w:val="21"/>
                    </w:rPr>
                    <w:t>非甲烷总烃</w:t>
                  </w:r>
                </w:p>
              </w:tc>
              <w:tc>
                <w:tcPr>
                  <w:tcW w:w="800" w:type="pct"/>
                  <w:noWrap w:val="0"/>
                  <w:vAlign w:val="center"/>
                </w:tcPr>
                <w:p w14:paraId="07F6B49E">
                  <w:pPr>
                    <w:keepNext/>
                    <w:overflowPunct w:val="0"/>
                    <w:snapToGrid w:val="0"/>
                    <w:spacing w:line="340" w:lineRule="atLeast"/>
                    <w:jc w:val="center"/>
                    <w:rPr>
                      <w:rFonts w:hint="default" w:ascii="Times New Roman" w:hAnsi="Times New Roman" w:eastAsia="宋体"/>
                      <w:b w:val="0"/>
                      <w:bCs w:val="0"/>
                      <w:color w:val="auto"/>
                      <w:szCs w:val="21"/>
                      <w:lang w:val="en-US" w:eastAsia="zh-CN"/>
                    </w:rPr>
                  </w:pPr>
                  <w:r>
                    <w:rPr>
                      <w:rFonts w:hint="eastAsia" w:ascii="Times New Roman" w:hAnsi="Times New Roman"/>
                      <w:b w:val="0"/>
                      <w:bCs w:val="0"/>
                      <w:color w:val="auto"/>
                      <w:szCs w:val="21"/>
                      <w:lang w:val="en-US" w:eastAsia="zh-CN"/>
                    </w:rPr>
                    <w:t>活性炭吸附</w:t>
                  </w:r>
                </w:p>
              </w:tc>
              <w:tc>
                <w:tcPr>
                  <w:tcW w:w="1299" w:type="pct"/>
                  <w:noWrap w:val="0"/>
                  <w:vAlign w:val="center"/>
                </w:tcPr>
                <w:p w14:paraId="417FD895">
                  <w:pPr>
                    <w:keepNext/>
                    <w:overflowPunct w:val="0"/>
                    <w:snapToGrid w:val="0"/>
                    <w:spacing w:line="340" w:lineRule="atLeast"/>
                    <w:jc w:val="center"/>
                    <w:rPr>
                      <w:rFonts w:hint="eastAsia" w:ascii="Times New Roman" w:hAnsi="Times New Roman" w:eastAsia="宋体"/>
                      <w:b/>
                      <w:bCs/>
                      <w:color w:val="auto"/>
                      <w:szCs w:val="21"/>
                      <w:lang w:val="en-US" w:eastAsia="zh-CN"/>
                    </w:rPr>
                  </w:pPr>
                  <w:r>
                    <w:rPr>
                      <w:rFonts w:hint="eastAsia" w:ascii="Times New Roman" w:hAnsi="Times New Roman"/>
                      <w:b w:val="0"/>
                      <w:bCs w:val="0"/>
                      <w:color w:val="auto"/>
                      <w:szCs w:val="21"/>
                      <w:lang w:val="en-US" w:eastAsia="zh-CN"/>
                    </w:rPr>
                    <w:t>过滤棉+双级活性炭吸附</w:t>
                  </w:r>
                </w:p>
              </w:tc>
              <w:tc>
                <w:tcPr>
                  <w:tcW w:w="616" w:type="pct"/>
                  <w:noWrap w:val="0"/>
                  <w:vAlign w:val="center"/>
                </w:tcPr>
                <w:p w14:paraId="605EC129">
                  <w:pPr>
                    <w:keepNext/>
                    <w:overflowPunct w:val="0"/>
                    <w:snapToGrid w:val="0"/>
                    <w:spacing w:line="340" w:lineRule="atLeast"/>
                    <w:jc w:val="center"/>
                    <w:rPr>
                      <w:rFonts w:hint="eastAsia" w:ascii="Times New Roman" w:hAnsi="Times New Roman" w:eastAsia="宋体"/>
                      <w:b w:val="0"/>
                      <w:bCs w:val="0"/>
                      <w:color w:val="auto"/>
                      <w:szCs w:val="21"/>
                      <w:lang w:val="en-US" w:eastAsia="zh-CN"/>
                    </w:rPr>
                  </w:pPr>
                  <w:r>
                    <w:rPr>
                      <w:rFonts w:hint="eastAsia" w:ascii="Times New Roman" w:hAnsi="Times New Roman"/>
                      <w:b w:val="0"/>
                      <w:bCs w:val="0"/>
                      <w:color w:val="auto"/>
                      <w:szCs w:val="21"/>
                      <w:lang w:val="en-US" w:eastAsia="zh-CN"/>
                    </w:rPr>
                    <w:t>可行</w:t>
                  </w:r>
                </w:p>
              </w:tc>
            </w:tr>
            <w:tr w14:paraId="7F54AF8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trPr>
              <w:tc>
                <w:tcPr>
                  <w:tcW w:w="766" w:type="pct"/>
                  <w:vMerge w:val="continue"/>
                  <w:noWrap w:val="0"/>
                  <w:vAlign w:val="center"/>
                </w:tcPr>
                <w:p w14:paraId="2E50EF25">
                  <w:pPr>
                    <w:keepNext/>
                    <w:overflowPunct w:val="0"/>
                    <w:snapToGrid w:val="0"/>
                    <w:spacing w:line="340" w:lineRule="atLeast"/>
                    <w:jc w:val="center"/>
                    <w:rPr>
                      <w:rFonts w:hint="eastAsia" w:ascii="Times New Roman" w:hAnsi="Times New Roman"/>
                      <w:color w:val="auto"/>
                      <w:szCs w:val="21"/>
                      <w:lang w:val="en-US" w:eastAsia="zh-CN"/>
                    </w:rPr>
                  </w:pPr>
                </w:p>
              </w:tc>
              <w:tc>
                <w:tcPr>
                  <w:tcW w:w="625" w:type="pct"/>
                  <w:vMerge w:val="continue"/>
                  <w:noWrap w:val="0"/>
                  <w:vAlign w:val="center"/>
                </w:tcPr>
                <w:p w14:paraId="67C7FE44">
                  <w:pPr>
                    <w:keepNext/>
                    <w:overflowPunct w:val="0"/>
                    <w:snapToGrid w:val="0"/>
                    <w:spacing w:line="340" w:lineRule="atLeast"/>
                    <w:jc w:val="center"/>
                    <w:rPr>
                      <w:rFonts w:hint="eastAsia" w:ascii="Times New Roman" w:hAnsi="Times New Roman"/>
                      <w:color w:val="auto"/>
                      <w:szCs w:val="21"/>
                      <w:lang w:val="en-US" w:eastAsia="zh-CN"/>
                    </w:rPr>
                  </w:pPr>
                </w:p>
              </w:tc>
              <w:tc>
                <w:tcPr>
                  <w:tcW w:w="891" w:type="pct"/>
                  <w:noWrap w:val="0"/>
                  <w:vAlign w:val="center"/>
                </w:tcPr>
                <w:p w14:paraId="2370D3EE">
                  <w:pPr>
                    <w:keepNext/>
                    <w:overflowPunct w:val="0"/>
                    <w:snapToGrid w:val="0"/>
                    <w:spacing w:line="340" w:lineRule="atLeast"/>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颗粒物</w:t>
                  </w:r>
                </w:p>
              </w:tc>
              <w:tc>
                <w:tcPr>
                  <w:tcW w:w="800" w:type="pct"/>
                  <w:noWrap w:val="0"/>
                  <w:vAlign w:val="center"/>
                </w:tcPr>
                <w:p w14:paraId="5A7F38BB">
                  <w:pPr>
                    <w:keepNext/>
                    <w:overflowPunct w:val="0"/>
                    <w:snapToGrid w:val="0"/>
                    <w:spacing w:line="340" w:lineRule="atLeast"/>
                    <w:jc w:val="center"/>
                    <w:rPr>
                      <w:rFonts w:hint="default" w:ascii="Times New Roman" w:hAnsi="Times New Roman"/>
                      <w:b w:val="0"/>
                      <w:bCs w:val="0"/>
                      <w:color w:val="auto"/>
                      <w:szCs w:val="21"/>
                      <w:lang w:val="en-US" w:eastAsia="zh-CN"/>
                    </w:rPr>
                  </w:pPr>
                  <w:r>
                    <w:rPr>
                      <w:rFonts w:hint="eastAsia" w:ascii="Times New Roman" w:hAnsi="Times New Roman"/>
                      <w:b w:val="0"/>
                      <w:bCs w:val="0"/>
                      <w:color w:val="auto"/>
                      <w:szCs w:val="21"/>
                      <w:lang w:val="en-US" w:eastAsia="zh-CN"/>
                    </w:rPr>
                    <w:t>布袋除尘</w:t>
                  </w:r>
                </w:p>
              </w:tc>
              <w:tc>
                <w:tcPr>
                  <w:tcW w:w="1299" w:type="pct"/>
                  <w:noWrap w:val="0"/>
                  <w:vAlign w:val="center"/>
                </w:tcPr>
                <w:p w14:paraId="750C031F">
                  <w:pPr>
                    <w:keepNext/>
                    <w:overflowPunct w:val="0"/>
                    <w:snapToGrid w:val="0"/>
                    <w:spacing w:line="340" w:lineRule="atLeast"/>
                    <w:jc w:val="center"/>
                    <w:rPr>
                      <w:rFonts w:hint="default" w:ascii="Times New Roman" w:hAnsi="Times New Roman"/>
                      <w:b w:val="0"/>
                      <w:bCs w:val="0"/>
                      <w:color w:val="auto"/>
                      <w:szCs w:val="21"/>
                      <w:lang w:val="en-US" w:eastAsia="zh-CN"/>
                    </w:rPr>
                  </w:pPr>
                  <w:r>
                    <w:rPr>
                      <w:rFonts w:hint="eastAsia" w:ascii="Times New Roman" w:hAnsi="Times New Roman"/>
                      <w:b w:val="0"/>
                      <w:bCs w:val="0"/>
                      <w:color w:val="auto"/>
                      <w:szCs w:val="21"/>
                      <w:lang w:val="en-US" w:eastAsia="zh-CN"/>
                    </w:rPr>
                    <w:t>移动布袋除尘器</w:t>
                  </w:r>
                </w:p>
              </w:tc>
              <w:tc>
                <w:tcPr>
                  <w:tcW w:w="616" w:type="pct"/>
                  <w:noWrap w:val="0"/>
                  <w:vAlign w:val="center"/>
                </w:tcPr>
                <w:p w14:paraId="67B2456A">
                  <w:pPr>
                    <w:keepNext/>
                    <w:overflowPunct w:val="0"/>
                    <w:snapToGrid w:val="0"/>
                    <w:spacing w:line="340" w:lineRule="atLeast"/>
                    <w:jc w:val="center"/>
                    <w:rPr>
                      <w:rFonts w:hint="default" w:ascii="Times New Roman" w:hAnsi="Times New Roman"/>
                      <w:b w:val="0"/>
                      <w:bCs w:val="0"/>
                      <w:color w:val="auto"/>
                      <w:szCs w:val="21"/>
                      <w:lang w:val="en-US" w:eastAsia="zh-CN"/>
                    </w:rPr>
                  </w:pPr>
                  <w:r>
                    <w:rPr>
                      <w:rFonts w:hint="eastAsia" w:ascii="Times New Roman" w:hAnsi="Times New Roman"/>
                      <w:b w:val="0"/>
                      <w:bCs w:val="0"/>
                      <w:color w:val="auto"/>
                      <w:szCs w:val="21"/>
                      <w:lang w:val="en-US" w:eastAsia="zh-CN"/>
                    </w:rPr>
                    <w:t>可行</w:t>
                  </w:r>
                </w:p>
              </w:tc>
            </w:tr>
            <w:tr w14:paraId="00ED58B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trPr>
              <w:tc>
                <w:tcPr>
                  <w:tcW w:w="766" w:type="pct"/>
                  <w:noWrap w:val="0"/>
                  <w:vAlign w:val="center"/>
                </w:tcPr>
                <w:p w14:paraId="78677E2B">
                  <w:pPr>
                    <w:keepNext/>
                    <w:overflowPunct w:val="0"/>
                    <w:snapToGrid w:val="0"/>
                    <w:spacing w:line="340" w:lineRule="atLeast"/>
                    <w:jc w:val="center"/>
                    <w:rPr>
                      <w:rFonts w:ascii="Times New Roman" w:hAnsi="Times New Roman"/>
                      <w:color w:val="auto"/>
                      <w:szCs w:val="21"/>
                    </w:rPr>
                  </w:pPr>
                  <w:r>
                    <w:rPr>
                      <w:rFonts w:hint="eastAsia" w:ascii="Times New Roman" w:hAnsi="Times New Roman"/>
                      <w:color w:val="auto"/>
                      <w:szCs w:val="21"/>
                      <w:lang w:eastAsia="zh-CN"/>
                    </w:rPr>
                    <w:t>废电机</w:t>
                  </w:r>
                </w:p>
              </w:tc>
              <w:tc>
                <w:tcPr>
                  <w:tcW w:w="625" w:type="pct"/>
                  <w:noWrap w:val="0"/>
                  <w:vAlign w:val="center"/>
                </w:tcPr>
                <w:p w14:paraId="349CEFE9">
                  <w:pPr>
                    <w:keepNext/>
                    <w:overflowPunct w:val="0"/>
                    <w:snapToGrid w:val="0"/>
                    <w:spacing w:line="340" w:lineRule="atLeast"/>
                    <w:jc w:val="center"/>
                    <w:rPr>
                      <w:rFonts w:ascii="Times New Roman" w:hAnsi="Times New Roman"/>
                      <w:color w:val="auto"/>
                      <w:szCs w:val="21"/>
                    </w:rPr>
                  </w:pPr>
                  <w:r>
                    <w:rPr>
                      <w:rFonts w:hint="eastAsia" w:ascii="Times New Roman" w:hAnsi="Times New Roman"/>
                      <w:color w:val="auto"/>
                      <w:szCs w:val="21"/>
                    </w:rPr>
                    <w:t>拆解</w:t>
                  </w:r>
                </w:p>
              </w:tc>
              <w:tc>
                <w:tcPr>
                  <w:tcW w:w="891" w:type="pct"/>
                  <w:noWrap w:val="0"/>
                  <w:vAlign w:val="center"/>
                </w:tcPr>
                <w:p w14:paraId="7B096009">
                  <w:pPr>
                    <w:keepNext/>
                    <w:overflowPunct w:val="0"/>
                    <w:snapToGrid w:val="0"/>
                    <w:spacing w:line="340" w:lineRule="atLeast"/>
                    <w:jc w:val="center"/>
                    <w:rPr>
                      <w:rFonts w:ascii="Times New Roman" w:hAnsi="Times New Roman"/>
                      <w:color w:val="auto"/>
                      <w:szCs w:val="21"/>
                    </w:rPr>
                  </w:pPr>
                  <w:r>
                    <w:rPr>
                      <w:rFonts w:ascii="Times New Roman" w:hAnsi="Times New Roman"/>
                      <w:color w:val="auto"/>
                      <w:szCs w:val="21"/>
                    </w:rPr>
                    <w:t>非甲烷总烃</w:t>
                  </w:r>
                </w:p>
              </w:tc>
              <w:tc>
                <w:tcPr>
                  <w:tcW w:w="800" w:type="pct"/>
                  <w:noWrap w:val="0"/>
                  <w:vAlign w:val="center"/>
                </w:tcPr>
                <w:p w14:paraId="6D5EF2B1">
                  <w:pPr>
                    <w:keepNext/>
                    <w:overflowPunct w:val="0"/>
                    <w:snapToGrid w:val="0"/>
                    <w:spacing w:line="340" w:lineRule="atLeast"/>
                    <w:jc w:val="center"/>
                    <w:rPr>
                      <w:rFonts w:ascii="Times New Roman" w:hAnsi="Times New Roman"/>
                      <w:b w:val="0"/>
                      <w:bCs w:val="0"/>
                      <w:color w:val="auto"/>
                      <w:szCs w:val="21"/>
                    </w:rPr>
                  </w:pPr>
                  <w:r>
                    <w:rPr>
                      <w:rFonts w:ascii="Times New Roman" w:hAnsi="Times New Roman"/>
                      <w:b w:val="0"/>
                      <w:bCs w:val="0"/>
                      <w:color w:val="auto"/>
                      <w:szCs w:val="21"/>
                    </w:rPr>
                    <w:t>活性炭吸附</w:t>
                  </w:r>
                </w:p>
              </w:tc>
              <w:tc>
                <w:tcPr>
                  <w:tcW w:w="1299" w:type="pct"/>
                  <w:noWrap w:val="0"/>
                  <w:vAlign w:val="center"/>
                </w:tcPr>
                <w:p w14:paraId="205D1AB1">
                  <w:pPr>
                    <w:keepNext/>
                    <w:overflowPunct w:val="0"/>
                    <w:snapToGrid w:val="0"/>
                    <w:spacing w:line="340" w:lineRule="atLeast"/>
                    <w:jc w:val="center"/>
                    <w:rPr>
                      <w:rFonts w:ascii="Times New Roman" w:hAnsi="Times New Roman"/>
                      <w:b/>
                      <w:bCs/>
                      <w:color w:val="auto"/>
                      <w:szCs w:val="21"/>
                    </w:rPr>
                  </w:pPr>
                  <w:r>
                    <w:rPr>
                      <w:rFonts w:hint="eastAsia" w:ascii="Times New Roman" w:hAnsi="Times New Roman"/>
                      <w:b w:val="0"/>
                      <w:bCs w:val="0"/>
                      <w:color w:val="auto"/>
                      <w:szCs w:val="21"/>
                      <w:lang w:val="en-US" w:eastAsia="zh-CN"/>
                    </w:rPr>
                    <w:t>过滤棉+双级活性炭吸附</w:t>
                  </w:r>
                </w:p>
              </w:tc>
              <w:tc>
                <w:tcPr>
                  <w:tcW w:w="616" w:type="pct"/>
                  <w:noWrap w:val="0"/>
                  <w:vAlign w:val="center"/>
                </w:tcPr>
                <w:p w14:paraId="742A35CB">
                  <w:pPr>
                    <w:keepNext/>
                    <w:overflowPunct w:val="0"/>
                    <w:snapToGrid w:val="0"/>
                    <w:spacing w:line="340" w:lineRule="atLeast"/>
                    <w:jc w:val="center"/>
                    <w:rPr>
                      <w:rFonts w:hint="eastAsia" w:ascii="Times New Roman" w:hAnsi="Times New Roman" w:eastAsia="宋体"/>
                      <w:b w:val="0"/>
                      <w:bCs w:val="0"/>
                      <w:color w:val="auto"/>
                      <w:szCs w:val="21"/>
                      <w:lang w:val="en-US" w:eastAsia="zh-CN"/>
                    </w:rPr>
                  </w:pPr>
                  <w:r>
                    <w:rPr>
                      <w:rFonts w:hint="eastAsia" w:ascii="Times New Roman" w:hAnsi="Times New Roman"/>
                      <w:b w:val="0"/>
                      <w:bCs w:val="0"/>
                      <w:color w:val="auto"/>
                      <w:szCs w:val="21"/>
                      <w:lang w:val="en-US" w:eastAsia="zh-CN"/>
                    </w:rPr>
                    <w:t>可行</w:t>
                  </w:r>
                </w:p>
              </w:tc>
            </w:tr>
          </w:tbl>
          <w:p w14:paraId="1854DEE5">
            <w:pPr>
              <w:pStyle w:val="34"/>
              <w:spacing w:before="120" w:beforeLines="50" w:after="0" w:line="360" w:lineRule="auto"/>
              <w:ind w:left="0" w:leftChars="0" w:firstLine="480" w:firstLineChars="200"/>
              <w:rPr>
                <w:rFonts w:hint="default" w:ascii="Times New Roman" w:hAnsi="Times New Roman" w:eastAsia="宋体"/>
                <w:color w:val="auto"/>
                <w:szCs w:val="22"/>
                <w:lang w:val="en-US" w:eastAsia="zh-CN" w:bidi="ar"/>
              </w:rPr>
            </w:pPr>
            <w:r>
              <w:rPr>
                <w:rFonts w:hint="eastAsia" w:ascii="Times New Roman" w:hAnsi="Times New Roman" w:eastAsia="宋体"/>
                <w:color w:val="auto"/>
                <w:szCs w:val="22"/>
                <w:lang w:val="en-US" w:eastAsia="zh-CN" w:bidi="ar"/>
              </w:rPr>
              <w:t>由上表可知，项目拆解废液废油抽取过程中产生的有机废气采用“过滤棉+双级活性炭吸附装置”属于可行技术。根据预测，项目经处理后的废机动车废液抽取废气非甲烷总烃排放浓度为3.5mg/m</w:t>
            </w:r>
            <w:r>
              <w:rPr>
                <w:rFonts w:hint="eastAsia" w:ascii="Times New Roman" w:hAnsi="Times New Roman" w:eastAsia="宋体"/>
                <w:color w:val="auto"/>
                <w:szCs w:val="22"/>
                <w:vertAlign w:val="superscript"/>
                <w:lang w:val="en-US" w:eastAsia="zh-CN" w:bidi="ar"/>
              </w:rPr>
              <w:t>3</w:t>
            </w:r>
            <w:r>
              <w:rPr>
                <w:rFonts w:hint="eastAsia" w:ascii="Times New Roman" w:hAnsi="Times New Roman" w:eastAsia="宋体"/>
                <w:color w:val="auto"/>
                <w:szCs w:val="22"/>
                <w:lang w:val="en-US" w:eastAsia="zh-CN" w:bidi="ar"/>
              </w:rPr>
              <w:t>，排放速率为0.0245kg/h，废变压器抽取废气非甲烷总烃排放浓度为10.3mg/m</w:t>
            </w:r>
            <w:r>
              <w:rPr>
                <w:rFonts w:hint="eastAsia" w:ascii="Times New Roman" w:hAnsi="Times New Roman" w:eastAsia="宋体"/>
                <w:color w:val="auto"/>
                <w:szCs w:val="22"/>
                <w:vertAlign w:val="superscript"/>
                <w:lang w:val="en-US" w:eastAsia="zh-CN" w:bidi="ar"/>
              </w:rPr>
              <w:t>3</w:t>
            </w:r>
            <w:r>
              <w:rPr>
                <w:rFonts w:hint="eastAsia" w:ascii="Times New Roman" w:hAnsi="Times New Roman" w:eastAsia="宋体"/>
                <w:color w:val="auto"/>
                <w:szCs w:val="22"/>
                <w:lang w:val="en-US" w:eastAsia="zh-CN" w:bidi="ar"/>
              </w:rPr>
              <w:t>，排放速率为0.031kg/h，危废暂存间废气非甲烷总烃排放浓度为1.5mg/m</w:t>
            </w:r>
            <w:r>
              <w:rPr>
                <w:rFonts w:hint="eastAsia" w:ascii="Times New Roman" w:hAnsi="Times New Roman" w:eastAsia="宋体"/>
                <w:color w:val="auto"/>
                <w:szCs w:val="22"/>
                <w:vertAlign w:val="superscript"/>
                <w:lang w:val="en-US" w:eastAsia="zh-CN" w:bidi="ar"/>
              </w:rPr>
              <w:t>3</w:t>
            </w:r>
            <w:r>
              <w:rPr>
                <w:rFonts w:hint="eastAsia" w:ascii="Times New Roman" w:hAnsi="Times New Roman" w:eastAsia="宋体"/>
                <w:color w:val="auto"/>
                <w:szCs w:val="22"/>
                <w:lang w:val="en-US" w:eastAsia="zh-CN" w:bidi="ar"/>
              </w:rPr>
              <w:t>，排放速率为0.0038kg/h，排放量小，均可达《大气污染物综合排放标准》(GB16297-1996)表2二级标准限值（非甲烷总烃排放浓度≤120mg/m</w:t>
            </w:r>
            <w:r>
              <w:rPr>
                <w:rFonts w:hint="eastAsia" w:ascii="Times New Roman" w:hAnsi="Times New Roman" w:eastAsia="宋体"/>
                <w:color w:val="auto"/>
                <w:szCs w:val="22"/>
                <w:vertAlign w:val="superscript"/>
                <w:lang w:val="en-US" w:eastAsia="zh-CN" w:bidi="ar"/>
              </w:rPr>
              <w:t>3</w:t>
            </w:r>
            <w:r>
              <w:rPr>
                <w:rFonts w:hint="eastAsia" w:ascii="Times New Roman" w:hAnsi="Times New Roman" w:eastAsia="宋体"/>
                <w:color w:val="auto"/>
                <w:szCs w:val="22"/>
                <w:lang w:val="en-US" w:eastAsia="zh-CN" w:bidi="ar"/>
              </w:rPr>
              <w:t>，排放速率≤5kg/h（从严50%）），对周边大气环境影响较小。</w:t>
            </w:r>
          </w:p>
          <w:p w14:paraId="5DC5ABE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bottom"/>
              <w:rPr>
                <w:rFonts w:hint="default" w:ascii="Times New Roman" w:hAnsi="Times New Roman" w:eastAsia="宋体" w:cs="Times New Roman"/>
                <w:b/>
                <w:bCs/>
                <w:color w:val="auto"/>
                <w:kern w:val="0"/>
                <w:sz w:val="24"/>
                <w:szCs w:val="20"/>
                <w:lang w:val="en-US" w:eastAsia="zh-CN" w:bidi="ar-SA"/>
              </w:rPr>
            </w:pPr>
            <w:r>
              <w:rPr>
                <w:rFonts w:hint="eastAsia" w:ascii="Times New Roman" w:hAnsi="Times New Roman" w:eastAsia="宋体" w:cs="Times New Roman"/>
                <w:b/>
                <w:bCs/>
                <w:color w:val="auto"/>
                <w:kern w:val="0"/>
                <w:sz w:val="24"/>
                <w:szCs w:val="20"/>
                <w:lang w:val="en-US" w:eastAsia="zh-CN" w:bidi="ar-SA"/>
              </w:rPr>
              <w:t>（2）粉尘治理措施</w:t>
            </w:r>
          </w:p>
          <w:p w14:paraId="6A7F24F8">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①</w:t>
            </w:r>
            <w:r>
              <w:rPr>
                <w:rFonts w:hint="eastAsia" w:ascii="Times New Roman" w:hAnsi="Times New Roman" w:eastAsia="宋体" w:cs="Times New Roman"/>
                <w:color w:val="auto"/>
                <w:sz w:val="24"/>
                <w:lang w:val="en-US" w:eastAsia="zh-CN"/>
              </w:rPr>
              <w:t>工艺流程</w:t>
            </w:r>
          </w:p>
          <w:p w14:paraId="2FAB7CDD">
            <w:pPr>
              <w:spacing w:line="360" w:lineRule="auto"/>
              <w:ind w:firstLine="480" w:firstLineChars="200"/>
              <w:rPr>
                <w:rFonts w:hint="default" w:ascii="Times New Roman" w:hAnsi="Times New Roman"/>
                <w:color w:val="auto"/>
                <w:sz w:val="24"/>
                <w:lang w:val="en-US" w:eastAsia="zh-CN"/>
              </w:rPr>
            </w:pPr>
            <w:r>
              <w:rPr>
                <w:rFonts w:hint="eastAsia" w:ascii="Times New Roman" w:hAnsi="Times New Roman"/>
                <w:color w:val="auto"/>
                <w:sz w:val="24"/>
                <w:lang w:val="en-US" w:eastAsia="zh-CN"/>
              </w:rPr>
              <w:t>项目粉尘排放主要为切割、剪切、打包、安全引爆过程中产生，切割、剪切、打包工序在各拆解车间内作业，在车间内对各切割产尘工位分别配套移动式除尘器，集气罩尽量靠近产尘点进行粉尘收集，未经捕集的粉尘车间内无组织排放，具体见图4.2-1。</w:t>
            </w:r>
          </w:p>
          <w:p w14:paraId="14561A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安全气囊采用密闭安全气囊引爆箱引爆，确认安全后延迟开箱，产生的逸散粉尘量小，对周边环境影响较小。</w:t>
            </w:r>
          </w:p>
          <w:p w14:paraId="75BA0D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②工艺可行性</w:t>
            </w:r>
          </w:p>
          <w:p w14:paraId="5457F1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参考《排污许可证申请与核发技术规范 废弃资源加工工业》(HJ 1034-2019)中附录A中的表A.1 废弃资源加工工业排污单位废气污染防治可行技术参考进行分析，详见表4.2-7。项目拆解过程中粉尘采用移动式布袋除尘器属于可行技术。</w:t>
            </w:r>
          </w:p>
          <w:p w14:paraId="1748F8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根据前文表4.2-1核算，经处理后切割、剪切及打包粉尘排放量小，经预测，对周边环境敏感目标影响较小。</w:t>
            </w:r>
          </w:p>
          <w:p w14:paraId="3C605CFC">
            <w:pPr>
              <w:pStyle w:val="39"/>
              <w:widowControl w:val="0"/>
              <w:adjustRightInd w:val="0"/>
              <w:snapToGrid w:val="0"/>
              <w:ind w:firstLine="480"/>
              <w:jc w:val="both"/>
              <w:rPr>
                <w:rFonts w:ascii="Times New Roman" w:hAnsi="Times New Roman"/>
                <w:b/>
                <w:bCs/>
                <w:color w:val="auto"/>
                <w:sz w:val="24"/>
              </w:rPr>
            </w:pPr>
            <w:r>
              <w:rPr>
                <w:rFonts w:hint="eastAsia" w:ascii="Times New Roman" w:hAnsi="Times New Roman"/>
                <w:b/>
                <w:bCs/>
                <w:color w:val="auto"/>
                <w:sz w:val="24"/>
                <w:lang w:eastAsia="zh-CN"/>
              </w:rPr>
              <w:t>（</w:t>
            </w:r>
            <w:r>
              <w:rPr>
                <w:rFonts w:hint="eastAsia" w:ascii="Times New Roman" w:hAnsi="Times New Roman"/>
                <w:b/>
                <w:bCs/>
                <w:color w:val="auto"/>
                <w:sz w:val="24"/>
                <w:lang w:val="en-US" w:eastAsia="zh-CN"/>
              </w:rPr>
              <w:t>3</w:t>
            </w:r>
            <w:r>
              <w:rPr>
                <w:rFonts w:hint="eastAsia" w:ascii="Times New Roman" w:hAnsi="Times New Roman"/>
                <w:b/>
                <w:bCs/>
                <w:color w:val="auto"/>
                <w:sz w:val="24"/>
                <w:lang w:eastAsia="zh-CN"/>
              </w:rPr>
              <w:t>）</w:t>
            </w:r>
            <w:r>
              <w:rPr>
                <w:rFonts w:hint="eastAsia" w:ascii="Times New Roman" w:hAnsi="Times New Roman"/>
                <w:b/>
                <w:bCs/>
                <w:color w:val="auto"/>
                <w:sz w:val="24"/>
              </w:rPr>
              <w:t>无组织排放控制要求</w:t>
            </w:r>
          </w:p>
          <w:p w14:paraId="0E07B4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根据《排污许可证申请与核发技术规范 废弃资源加工工业》（HJ1034-2019）、《挥发性有机物无组织排放控制标准》（GB37822-2019），建设单位对有机废气无组织排放采取以下控制措施：</w:t>
            </w:r>
          </w:p>
          <w:p w14:paraId="4C6C5D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①</w:t>
            </w:r>
            <w:r>
              <w:rPr>
                <w:rFonts w:hint="eastAsia" w:ascii="Times New Roman" w:hAnsi="Times New Roman" w:eastAsia="宋体" w:cs="Times New Roman"/>
                <w:color w:val="auto"/>
                <w:sz w:val="24"/>
                <w:szCs w:val="24"/>
                <w:lang w:val="en-US" w:eastAsia="zh-CN"/>
              </w:rPr>
              <w:t>产生有机废气的预处理区、废电机拆解油液抽取区域密闭，仅留物料进出口，进出口设置软帘；</w:t>
            </w:r>
          </w:p>
          <w:p w14:paraId="2DCD57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②</w:t>
            </w:r>
            <w:r>
              <w:rPr>
                <w:rFonts w:hint="eastAsia" w:ascii="Times New Roman" w:hAnsi="Times New Roman" w:eastAsia="宋体" w:cs="Times New Roman"/>
                <w:color w:val="auto"/>
                <w:sz w:val="24"/>
                <w:szCs w:val="24"/>
                <w:lang w:val="en-US" w:eastAsia="zh-CN"/>
              </w:rPr>
              <w:t>项目废变压器油以及废机动车废油、废制冷剂采用专用回收装置抽取，专用密闭废液收集箱暂存，回收装置与密闭废液容器间使用管道运输，并定期检查管道气密性；</w:t>
            </w:r>
          </w:p>
          <w:p w14:paraId="6FC0E0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③在运营生产期间应加强生产设备及环保设施的日常维护，避免事故</w:t>
            </w:r>
            <w:r>
              <w:rPr>
                <w:rFonts w:hint="eastAsia" w:ascii="Times New Roman" w:hAnsi="Times New Roman" w:eastAsia="宋体" w:cs="Times New Roman"/>
                <w:color w:val="auto"/>
                <w:sz w:val="24"/>
                <w:szCs w:val="24"/>
                <w:lang w:eastAsia="zh-CN"/>
              </w:rPr>
              <w:t>发生</w:t>
            </w:r>
            <w:r>
              <w:rPr>
                <w:rFonts w:hint="default" w:ascii="Times New Roman" w:hAnsi="Times New Roman" w:eastAsia="宋体" w:cs="Times New Roman"/>
                <w:color w:val="auto"/>
                <w:sz w:val="24"/>
                <w:szCs w:val="24"/>
              </w:rPr>
              <w:t>，保证设施的正常运行。</w:t>
            </w:r>
            <w:r>
              <w:rPr>
                <w:rFonts w:hint="eastAsia" w:ascii="Times New Roman" w:hAnsi="Times New Roman" w:eastAsia="宋体" w:cs="Times New Roman"/>
                <w:color w:val="auto"/>
                <w:sz w:val="24"/>
                <w:szCs w:val="24"/>
                <w:lang w:val="en-US" w:eastAsia="zh-CN"/>
              </w:rPr>
              <w:t>废气收集处理系统与生产设备同步进行，废气收集处理系统发生故障或检修时，对应的生产工艺设备应停止运行，待检修完毕后投入使用。</w:t>
            </w:r>
          </w:p>
          <w:p w14:paraId="5F24F7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④建立台账，记录含VOCs原辅材料和含VOCs产品的名称，使用量、回收量、废弃量、去向以及VOCs含量等信息，台账保存期限不小于</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p>
          <w:p w14:paraId="21267F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⑤载有VOCs物料的设备及其管道在开停工</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车</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、检维修和清洗时，应在退料阶段将残存物</w:t>
            </w:r>
            <w:r>
              <w:rPr>
                <w:rFonts w:hint="eastAsia" w:ascii="Times New Roman" w:hAnsi="Times New Roman" w:eastAsia="宋体" w:cs="Times New Roman"/>
                <w:color w:val="auto"/>
                <w:sz w:val="24"/>
                <w:szCs w:val="24"/>
                <w:lang w:eastAsia="zh-CN"/>
              </w:rPr>
              <w:t>料清</w:t>
            </w:r>
            <w:r>
              <w:rPr>
                <w:rFonts w:hint="default" w:ascii="Times New Roman" w:hAnsi="Times New Roman" w:eastAsia="宋体" w:cs="Times New Roman"/>
                <w:color w:val="auto"/>
                <w:sz w:val="24"/>
                <w:szCs w:val="24"/>
              </w:rPr>
              <w:t>净，并用密闭容器盛装，退料过程废气应排至VOCs废气收集处理系统；</w:t>
            </w:r>
            <w:r>
              <w:rPr>
                <w:rFonts w:hint="default" w:ascii="Times New Roman" w:hAnsi="Times New Roman" w:eastAsia="宋体" w:cs="Times New Roman"/>
                <w:color w:val="auto"/>
                <w:sz w:val="24"/>
                <w:szCs w:val="24"/>
                <w:lang w:val="en-US" w:eastAsia="zh-CN"/>
              </w:rPr>
              <w:t>清扫</w:t>
            </w:r>
            <w:r>
              <w:rPr>
                <w:rFonts w:hint="default" w:ascii="Times New Roman" w:hAnsi="Times New Roman" w:eastAsia="宋体" w:cs="Times New Roman"/>
                <w:color w:val="auto"/>
                <w:sz w:val="24"/>
                <w:szCs w:val="24"/>
              </w:rPr>
              <w:t>及吹扫过程排气应排至VOCs废气收集处理系统。</w:t>
            </w:r>
          </w:p>
          <w:p w14:paraId="376353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⑥工艺过程产生的含VOCs废料</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渣、液</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，如本项目产生的</w:t>
            </w:r>
            <w:r>
              <w:rPr>
                <w:rFonts w:hint="eastAsia" w:ascii="Times New Roman" w:hAnsi="Times New Roman" w:eastAsia="宋体" w:cs="Times New Roman"/>
                <w:color w:val="auto"/>
                <w:sz w:val="24"/>
                <w:szCs w:val="24"/>
                <w:lang w:val="en-US" w:eastAsia="zh-CN"/>
              </w:rPr>
              <w:t>废油液、废制冷剂、废活性炭等</w:t>
            </w:r>
            <w:r>
              <w:rPr>
                <w:rFonts w:hint="default" w:ascii="Times New Roman" w:hAnsi="Times New Roman" w:eastAsia="宋体" w:cs="Times New Roman"/>
                <w:color w:val="auto"/>
                <w:sz w:val="24"/>
                <w:szCs w:val="24"/>
              </w:rPr>
              <w:t>在贮存、转运过程中应加盖密闭。</w:t>
            </w:r>
          </w:p>
          <w:p w14:paraId="3F3751BC">
            <w:pPr>
              <w:pStyle w:val="39"/>
              <w:widowControl w:val="0"/>
              <w:adjustRightInd w:val="0"/>
              <w:snapToGrid w:val="0"/>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⑦</w:t>
            </w:r>
            <w:r>
              <w:rPr>
                <w:rFonts w:hint="eastAsia" w:ascii="Times New Roman" w:hAnsi="Times New Roman" w:eastAsia="宋体" w:cs="Times New Roman"/>
                <w:color w:val="auto"/>
                <w:sz w:val="24"/>
                <w:szCs w:val="24"/>
                <w:lang w:val="en-US" w:eastAsia="zh-CN"/>
              </w:rPr>
              <w:t>切割、剪切及打包产尘工序在拆解车间内进行，不露天作业，车间作业时密闭，仅保留物料进出口，对切割设置固定工位，并配备移动布袋除尘器处理，对沉积在车间地面的粉尘及时清扫。</w:t>
            </w:r>
          </w:p>
          <w:p w14:paraId="1A00C325">
            <w:pPr>
              <w:pStyle w:val="39"/>
              <w:widowControl w:val="0"/>
              <w:adjustRightInd w:val="0"/>
              <w:snapToGrid w:val="0"/>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⑧</w:t>
            </w:r>
            <w:r>
              <w:rPr>
                <w:rFonts w:hint="eastAsia" w:ascii="Times New Roman" w:hAnsi="Times New Roman" w:eastAsia="宋体" w:cs="Times New Roman"/>
                <w:color w:val="auto"/>
                <w:sz w:val="24"/>
                <w:szCs w:val="24"/>
                <w:lang w:val="en-US" w:eastAsia="zh-CN"/>
              </w:rPr>
              <w:t>合理布置生产区域，靠近居民的西侧及北侧布设生活区、仓库区，减少对周边居民区的影响。</w:t>
            </w:r>
          </w:p>
          <w:p w14:paraId="7D6B4B4E">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综上所述，建设单位在切实落实本项目提出废气环保措施，并确保项目废气设施正常运转的情况下，项目废气排放源强较低，经预测，对周边大气环境及敏感目标影响较小，采取的措施合理可行。</w:t>
            </w:r>
          </w:p>
          <w:p w14:paraId="26969D7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kern w:val="0"/>
                <w:sz w:val="24"/>
                <w:lang w:val="en-US" w:eastAsia="zh-CN"/>
              </w:rPr>
            </w:pPr>
            <w:r>
              <w:rPr>
                <w:rFonts w:hint="eastAsia" w:ascii="Times New Roman" w:hAnsi="Times New Roman" w:eastAsia="宋体" w:cs="Times New Roman"/>
                <w:b/>
                <w:bCs w:val="0"/>
                <w:color w:val="auto"/>
                <w:kern w:val="0"/>
                <w:sz w:val="24"/>
                <w:lang w:val="en-US" w:eastAsia="zh-CN"/>
              </w:rPr>
              <w:t>4.2.4环境防护距离分析</w:t>
            </w:r>
          </w:p>
          <w:p w14:paraId="4163D881">
            <w:pPr>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根据《建设项目环境影响报告表编制技术指南(污染影响类)(试行)》(</w:t>
            </w:r>
            <w:r>
              <w:rPr>
                <w:rFonts w:ascii="Times New Roman" w:hAnsi="Times New Roman"/>
                <w:bCs/>
                <w:color w:val="auto"/>
                <w:sz w:val="24"/>
                <w:lang w:val="zh-CN"/>
              </w:rPr>
              <w:t>环办环评〔2020〕33号</w:t>
            </w:r>
            <w:r>
              <w:rPr>
                <w:rFonts w:hint="eastAsia" w:ascii="Times New Roman" w:hAnsi="Times New Roman"/>
                <w:bCs/>
                <w:color w:val="auto"/>
                <w:sz w:val="24"/>
              </w:rPr>
              <w:t>)要求可知，目前不对项目</w:t>
            </w:r>
            <w:r>
              <w:rPr>
                <w:rFonts w:ascii="Times New Roman" w:hAnsi="Times New Roman"/>
                <w:bCs/>
                <w:color w:val="auto"/>
                <w:sz w:val="24"/>
              </w:rPr>
              <w:t>大气环境防护距离及卫生防护</w:t>
            </w:r>
            <w:r>
              <w:rPr>
                <w:rFonts w:hint="eastAsia" w:ascii="Times New Roman" w:hAnsi="Times New Roman"/>
                <w:bCs/>
                <w:color w:val="auto"/>
                <w:sz w:val="24"/>
              </w:rPr>
              <w:t>距离进行要求。</w:t>
            </w:r>
            <w:r>
              <w:rPr>
                <w:rFonts w:ascii="Times New Roman" w:hAnsi="Times New Roman"/>
                <w:b/>
                <w:bCs/>
                <w:color w:val="auto"/>
                <w:sz w:val="24"/>
                <w:szCs w:val="22"/>
              </w:rPr>
              <w:t>根据环境影响评价网(</w:t>
            </w:r>
            <w:r>
              <w:rPr>
                <w:rFonts w:ascii="Times New Roman" w:hAnsi="Times New Roman"/>
                <w:b/>
                <w:bCs/>
                <w:color w:val="auto"/>
                <w:sz w:val="24"/>
                <w:szCs w:val="22"/>
                <w:lang w:val="zh-CN"/>
              </w:rPr>
              <w:t>生态环境部环境工程评估中心</w:t>
            </w:r>
            <w:r>
              <w:rPr>
                <w:rFonts w:ascii="Times New Roman" w:hAnsi="Times New Roman"/>
                <w:b/>
                <w:bCs/>
                <w:color w:val="auto"/>
                <w:sz w:val="24"/>
                <w:szCs w:val="22"/>
              </w:rPr>
              <w:t>)关于</w:t>
            </w:r>
            <w:r>
              <w:rPr>
                <w:rFonts w:ascii="Times New Roman" w:hAnsi="Times New Roman"/>
                <w:b/>
                <w:bCs/>
                <w:color w:val="auto"/>
                <w:sz w:val="24"/>
                <w:szCs w:val="22"/>
                <w:lang w:val="zh-CN"/>
              </w:rPr>
              <w:t>《建设项目环境影响报告表》内容、格式及编制技术指南常见问题解答：“</w:t>
            </w:r>
            <w:r>
              <w:rPr>
                <w:rFonts w:ascii="Times New Roman" w:hAnsi="Times New Roman"/>
                <w:color w:val="auto"/>
                <w:sz w:val="24"/>
                <w:shd w:val="clear" w:color="auto" w:fill="FFFFFF"/>
              </w:rPr>
              <w:t>《建设项目环境影响评价技术导则 总纲》(HJ2.1-2016)未对卫生防护距离提出评价要求，建设项目环境影响报告表编制技术指南(以下简称技术指南)不</w:t>
            </w:r>
            <w:r>
              <w:rPr>
                <w:rFonts w:hint="eastAsia" w:ascii="Times New Roman" w:hAnsi="Times New Roman"/>
                <w:color w:val="auto"/>
                <w:sz w:val="24"/>
                <w:shd w:val="clear" w:color="auto" w:fill="FFFFFF"/>
                <w:lang w:eastAsia="zh-CN"/>
              </w:rPr>
              <w:t>作</w:t>
            </w:r>
            <w:r>
              <w:rPr>
                <w:rFonts w:ascii="Times New Roman" w:hAnsi="Times New Roman"/>
                <w:color w:val="auto"/>
                <w:sz w:val="24"/>
                <w:shd w:val="clear" w:color="auto" w:fill="FFFFFF"/>
              </w:rPr>
              <w:t>要求。对于判定为需要开展大气专项评价的建设项目，根据《环境影响评价技术导则 大气环境》(HJ2.2-2018)需要计算大气环境防护距离的，应按要求计算</w:t>
            </w:r>
            <w:r>
              <w:rPr>
                <w:rFonts w:hint="eastAsia" w:ascii="Times New Roman" w:hAnsi="Times New Roman"/>
                <w:color w:val="auto"/>
                <w:sz w:val="24"/>
                <w:shd w:val="clear" w:color="auto" w:fill="FFFFFF"/>
                <w:lang w:eastAsia="zh-CN"/>
              </w:rPr>
              <w:t>”</w:t>
            </w:r>
            <w:r>
              <w:rPr>
                <w:rFonts w:ascii="Times New Roman" w:hAnsi="Times New Roman"/>
                <w:color w:val="auto"/>
                <w:sz w:val="24"/>
                <w:shd w:val="clear" w:color="auto" w:fill="FFFFFF"/>
              </w:rPr>
              <w:t>。本项目不涉及大气专项评价，因此，</w:t>
            </w:r>
            <w:r>
              <w:rPr>
                <w:rFonts w:ascii="Times New Roman" w:hAnsi="Times New Roman"/>
                <w:bCs/>
                <w:color w:val="auto"/>
                <w:sz w:val="24"/>
              </w:rPr>
              <w:t>在企业落实有效的废气收集、处理措施的前提下，本项目可不设置环境防护距离。</w:t>
            </w:r>
          </w:p>
          <w:p w14:paraId="63867B50">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4.</w:t>
            </w:r>
            <w:r>
              <w:rPr>
                <w:rFonts w:hint="eastAsia" w:ascii="Times New Roman" w:hAnsi="Times New Roman"/>
                <w:b/>
                <w:color w:val="auto"/>
                <w:kern w:val="0"/>
                <w:sz w:val="24"/>
                <w:lang w:val="en-US" w:eastAsia="zh-CN"/>
              </w:rPr>
              <w:t>2</w:t>
            </w:r>
            <w:r>
              <w:rPr>
                <w:rFonts w:ascii="Times New Roman" w:hAnsi="Times New Roman"/>
                <w:b/>
                <w:color w:val="auto"/>
                <w:kern w:val="0"/>
                <w:sz w:val="24"/>
              </w:rPr>
              <w:t>.</w:t>
            </w:r>
            <w:r>
              <w:rPr>
                <w:rFonts w:hint="eastAsia" w:ascii="Times New Roman" w:hAnsi="Times New Roman"/>
                <w:b/>
                <w:color w:val="auto"/>
                <w:kern w:val="0"/>
                <w:sz w:val="24"/>
                <w:lang w:val="en-US" w:eastAsia="zh-CN"/>
              </w:rPr>
              <w:t>5</w:t>
            </w:r>
            <w:r>
              <w:rPr>
                <w:rFonts w:ascii="Times New Roman" w:hAnsi="Times New Roman"/>
                <w:b/>
                <w:color w:val="auto"/>
                <w:kern w:val="0"/>
                <w:sz w:val="24"/>
              </w:rPr>
              <w:t xml:space="preserve"> 自行监测计划</w:t>
            </w:r>
          </w:p>
          <w:p w14:paraId="5A02A480">
            <w:pPr>
              <w:spacing w:line="360" w:lineRule="auto"/>
              <w:ind w:firstLine="480" w:firstLineChars="200"/>
              <w:rPr>
                <w:rFonts w:ascii="Times New Roman" w:hAnsi="Times New Roman" w:eastAsia="黑体"/>
                <w:color w:val="auto"/>
                <w:kern w:val="0"/>
              </w:rPr>
            </w:pPr>
            <w:r>
              <w:rPr>
                <w:rFonts w:hint="eastAsia" w:ascii="Times New Roman" w:hAnsi="Times New Roman" w:eastAsia="宋体" w:cs="Times New Roman"/>
                <w:color w:val="auto"/>
                <w:sz w:val="24"/>
                <w:shd w:val="clear" w:color="auto" w:fill="FFFFFF"/>
                <w:lang w:val="en-US" w:eastAsia="zh-CN"/>
              </w:rPr>
              <w:t>根据</w:t>
            </w:r>
            <w:r>
              <w:rPr>
                <w:rFonts w:hint="eastAsia" w:ascii="Times New Roman" w:hAnsi="Times New Roman" w:eastAsia="宋体" w:cs="Times New Roman"/>
                <w:color w:val="auto"/>
                <w:sz w:val="24"/>
                <w:shd w:val="clear" w:color="auto" w:fill="FFFFFF"/>
              </w:rPr>
              <w:t>《排污单位自行监测技术指南 总则》(HJ 819-2017)</w:t>
            </w:r>
            <w:r>
              <w:rPr>
                <w:rFonts w:hint="eastAsia" w:ascii="Times New Roman" w:hAnsi="Times New Roman" w:eastAsia="宋体" w:cs="Times New Roman"/>
                <w:color w:val="auto"/>
                <w:sz w:val="24"/>
                <w:shd w:val="clear" w:color="auto" w:fill="FFFFFF"/>
                <w:lang w:eastAsia="zh-CN"/>
              </w:rPr>
              <w:t>、</w:t>
            </w:r>
            <w:r>
              <w:rPr>
                <w:rFonts w:hint="eastAsia" w:ascii="Times New Roman" w:hAnsi="Times New Roman" w:eastAsia="宋体" w:cs="Times New Roman"/>
                <w:color w:val="auto"/>
                <w:sz w:val="24"/>
                <w:shd w:val="clear" w:color="auto" w:fill="FFFFFF"/>
              </w:rPr>
              <w:t>《排污许可证申请与核发技术规范 废弃资源加工工业》（HJ1034-2019）等要求，提出项目运营期废气自行监测计划，具体详见表4.</w:t>
            </w:r>
            <w:r>
              <w:rPr>
                <w:rFonts w:hint="eastAsia" w:ascii="Times New Roman" w:hAnsi="Times New Roman" w:eastAsia="宋体" w:cs="Times New Roman"/>
                <w:color w:val="auto"/>
                <w:sz w:val="24"/>
                <w:shd w:val="clear" w:color="auto" w:fill="FFFFFF"/>
                <w:lang w:val="en-US" w:eastAsia="zh-CN"/>
              </w:rPr>
              <w:t>2</w:t>
            </w:r>
            <w:r>
              <w:rPr>
                <w:rFonts w:hint="eastAsia" w:ascii="Times New Roman" w:hAnsi="Times New Roman" w:eastAsia="宋体" w:cs="Times New Roman"/>
                <w:color w:val="auto"/>
                <w:sz w:val="24"/>
                <w:shd w:val="clear" w:color="auto" w:fill="FFFFFF"/>
              </w:rPr>
              <w:t>-</w:t>
            </w:r>
            <w:r>
              <w:rPr>
                <w:rFonts w:hint="eastAsia" w:ascii="Times New Roman" w:hAnsi="Times New Roman" w:eastAsia="宋体" w:cs="Times New Roman"/>
                <w:color w:val="auto"/>
                <w:sz w:val="24"/>
                <w:shd w:val="clear" w:color="auto" w:fill="FFFFFF"/>
                <w:lang w:val="en-US" w:eastAsia="zh-CN"/>
              </w:rPr>
              <w:t>8</w:t>
            </w:r>
            <w:r>
              <w:rPr>
                <w:rFonts w:hint="eastAsia" w:ascii="Times New Roman" w:hAnsi="Times New Roman" w:eastAsia="宋体" w:cs="Times New Roman"/>
                <w:color w:val="auto"/>
                <w:sz w:val="24"/>
                <w:shd w:val="clear" w:color="auto" w:fill="FFFFFF"/>
              </w:rPr>
              <w:t>。</w:t>
            </w:r>
          </w:p>
          <w:p w14:paraId="58884FEC">
            <w:pPr>
              <w:pStyle w:val="57"/>
              <w:adjustRightInd w:val="0"/>
              <w:snapToGrid w:val="0"/>
              <w:spacing w:before="120" w:beforeLines="50" w:line="240" w:lineRule="auto"/>
              <w:ind w:firstLine="0" w:firstLineChars="0"/>
              <w:jc w:val="center"/>
              <w:rPr>
                <w:rFonts w:hint="default" w:ascii="Times New Roman" w:hAnsi="Times New Roman" w:eastAsia="黑体"/>
                <w:color w:val="auto"/>
                <w:lang w:val="en-US" w:eastAsia="zh-CN"/>
              </w:rPr>
            </w:pPr>
            <w:r>
              <w:rPr>
                <w:rFonts w:ascii="Times New Roman" w:hAnsi="Times New Roman" w:eastAsia="黑体"/>
                <w:color w:val="auto"/>
                <w:kern w:val="0"/>
              </w:rPr>
              <w:t>表4.</w:t>
            </w:r>
            <w:r>
              <w:rPr>
                <w:rFonts w:hint="eastAsia" w:ascii="Times New Roman" w:hAnsi="Times New Roman" w:eastAsia="黑体"/>
                <w:color w:val="auto"/>
                <w:kern w:val="0"/>
                <w:lang w:val="en-US" w:eastAsia="zh-CN"/>
              </w:rPr>
              <w:t>2-8</w:t>
            </w:r>
            <w:r>
              <w:rPr>
                <w:rFonts w:hint="eastAsia" w:ascii="Times New Roman" w:hAnsi="Times New Roman" w:eastAsia="黑体"/>
                <w:color w:val="auto"/>
                <w:kern w:val="0"/>
              </w:rPr>
              <w:t xml:space="preserve"> </w:t>
            </w:r>
            <w:r>
              <w:rPr>
                <w:rFonts w:ascii="Times New Roman" w:hAnsi="Times New Roman" w:eastAsia="黑体"/>
                <w:color w:val="auto"/>
                <w:kern w:val="0"/>
              </w:rPr>
              <w:t>项目废气自行监测计划</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1905"/>
              <w:gridCol w:w="1932"/>
            </w:tblGrid>
            <w:tr w14:paraId="076A6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84" w:type="pct"/>
                  <w:noWrap w:val="0"/>
                  <w:vAlign w:val="center"/>
                </w:tcPr>
                <w:p w14:paraId="4AF61C5D">
                  <w:pPr>
                    <w:adjustRightInd w:val="0"/>
                    <w:snapToGrid w:val="0"/>
                    <w:spacing w:line="34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监测点位</w:t>
                  </w:r>
                </w:p>
              </w:tc>
              <w:tc>
                <w:tcPr>
                  <w:tcW w:w="1199" w:type="pct"/>
                  <w:noWrap w:val="0"/>
                  <w:vAlign w:val="center"/>
                </w:tcPr>
                <w:p w14:paraId="391EF707">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监测</w:t>
                  </w:r>
                  <w:r>
                    <w:rPr>
                      <w:rFonts w:hint="eastAsia" w:ascii="Times New Roman" w:hAnsi="Times New Roman" w:eastAsia="宋体" w:cs="Times New Roman"/>
                      <w:color w:val="auto"/>
                      <w:szCs w:val="21"/>
                      <w:lang w:val="en-US" w:eastAsia="zh-CN"/>
                    </w:rPr>
                    <w:t>指标</w:t>
                  </w:r>
                </w:p>
              </w:tc>
              <w:tc>
                <w:tcPr>
                  <w:tcW w:w="1216" w:type="pct"/>
                  <w:noWrap w:val="0"/>
                  <w:vAlign w:val="center"/>
                </w:tcPr>
                <w:p w14:paraId="72BB9124">
                  <w:pPr>
                    <w:adjustRightInd w:val="0"/>
                    <w:snapToGrid w:val="0"/>
                    <w:spacing w:line="3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监测</w:t>
                  </w:r>
                  <w:r>
                    <w:rPr>
                      <w:rFonts w:ascii="Times New Roman" w:hAnsi="Times New Roman" w:eastAsia="宋体" w:cs="Times New Roman"/>
                      <w:color w:val="auto"/>
                      <w:szCs w:val="21"/>
                    </w:rPr>
                    <w:t>频次</w:t>
                  </w:r>
                </w:p>
              </w:tc>
            </w:tr>
            <w:tr w14:paraId="43FD8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84" w:type="pct"/>
                  <w:noWrap w:val="0"/>
                  <w:vAlign w:val="center"/>
                </w:tcPr>
                <w:p w14:paraId="23E69CFF">
                  <w:pPr>
                    <w:adjustRightInd w:val="0"/>
                    <w:snapToGrid w:val="0"/>
                    <w:spacing w:line="34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废机动车预处理</w:t>
                  </w:r>
                  <w:r>
                    <w:rPr>
                      <w:rFonts w:hint="eastAsia" w:ascii="Times New Roman" w:hAnsi="Times New Roman" w:eastAsia="宋体" w:cs="Times New Roman"/>
                      <w:color w:val="auto"/>
                      <w:szCs w:val="21"/>
                    </w:rPr>
                    <w:t>废气</w:t>
                  </w:r>
                  <w:r>
                    <w:rPr>
                      <w:rFonts w:hint="eastAsia" w:ascii="Times New Roman" w:hAnsi="Times New Roman" w:eastAsia="宋体" w:cs="Times New Roman"/>
                      <w:color w:val="auto"/>
                      <w:szCs w:val="21"/>
                      <w:lang w:val="en-US" w:eastAsia="zh-CN"/>
                    </w:rPr>
                    <w:t>排气筒(</w:t>
                  </w:r>
                  <w:r>
                    <w:rPr>
                      <w:rFonts w:ascii="Times New Roman" w:hAnsi="Times New Roman" w:eastAsia="宋体" w:cs="Times New Roman"/>
                      <w:color w:val="auto"/>
                      <w:szCs w:val="21"/>
                    </w:rPr>
                    <w:t>DA001</w:t>
                  </w:r>
                  <w:r>
                    <w:rPr>
                      <w:rFonts w:hint="eastAsia" w:ascii="Times New Roman" w:hAnsi="Times New Roman" w:eastAsia="宋体" w:cs="Times New Roman"/>
                      <w:color w:val="auto"/>
                      <w:szCs w:val="21"/>
                      <w:lang w:val="en-US" w:eastAsia="zh-CN"/>
                    </w:rPr>
                    <w:t>)</w:t>
                  </w:r>
                </w:p>
              </w:tc>
              <w:tc>
                <w:tcPr>
                  <w:tcW w:w="1199" w:type="pct"/>
                  <w:noWrap w:val="0"/>
                  <w:vAlign w:val="center"/>
                </w:tcPr>
                <w:p w14:paraId="47C463DE">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1216" w:type="pct"/>
                  <w:noWrap w:val="0"/>
                  <w:vAlign w:val="center"/>
                </w:tcPr>
                <w:p w14:paraId="33FC3D8B">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w:t>
                  </w:r>
                  <w:r>
                    <w:rPr>
                      <w:rFonts w:ascii="Times New Roman" w:hAnsi="Times New Roman" w:eastAsia="宋体" w:cs="Times New Roman"/>
                      <w:color w:val="auto"/>
                      <w:szCs w:val="21"/>
                    </w:rPr>
                    <w:t>/年</w:t>
                  </w:r>
                </w:p>
              </w:tc>
            </w:tr>
            <w:tr w14:paraId="1C36C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8" w:hRule="atLeast"/>
              </w:trPr>
              <w:tc>
                <w:tcPr>
                  <w:tcW w:w="2584" w:type="pct"/>
                  <w:noWrap w:val="0"/>
                  <w:vAlign w:val="center"/>
                </w:tcPr>
                <w:p w14:paraId="57B6B382">
                  <w:pPr>
                    <w:adjustRightInd w:val="0"/>
                    <w:snapToGrid w:val="0"/>
                    <w:spacing w:line="340" w:lineRule="exact"/>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废变压器油抽取废气排气筒(</w:t>
                  </w:r>
                  <w:r>
                    <w:rPr>
                      <w:rFonts w:ascii="Times New Roman" w:hAnsi="Times New Roman" w:eastAsia="宋体" w:cs="Times New Roman"/>
                      <w:color w:val="auto"/>
                      <w:szCs w:val="21"/>
                    </w:rPr>
                    <w:t>DA00</w:t>
                  </w:r>
                  <w:r>
                    <w:rPr>
                      <w:rFonts w:hint="eastAsia" w:ascii="Times New Roman" w:hAnsi="Times New Roman" w:eastAsia="宋体" w:cs="Times New Roman"/>
                      <w:color w:val="auto"/>
                      <w:szCs w:val="21"/>
                      <w:lang w:val="en-US" w:eastAsia="zh-CN"/>
                    </w:rPr>
                    <w:t>2)</w:t>
                  </w:r>
                </w:p>
              </w:tc>
              <w:tc>
                <w:tcPr>
                  <w:tcW w:w="1199" w:type="pct"/>
                  <w:noWrap w:val="0"/>
                  <w:vAlign w:val="center"/>
                </w:tcPr>
                <w:p w14:paraId="3EAE887C">
                  <w:pPr>
                    <w:adjustRightInd w:val="0"/>
                    <w:snapToGrid w:val="0"/>
                    <w:spacing w:line="34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非甲烷总烃</w:t>
                  </w:r>
                </w:p>
              </w:tc>
              <w:tc>
                <w:tcPr>
                  <w:tcW w:w="1216" w:type="pct"/>
                  <w:noWrap w:val="0"/>
                  <w:vAlign w:val="center"/>
                </w:tcPr>
                <w:p w14:paraId="0202DADB">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w:t>
                  </w:r>
                  <w:r>
                    <w:rPr>
                      <w:rFonts w:ascii="Times New Roman" w:hAnsi="Times New Roman" w:eastAsia="宋体" w:cs="Times New Roman"/>
                      <w:color w:val="auto"/>
                      <w:szCs w:val="21"/>
                    </w:rPr>
                    <w:t>/年</w:t>
                  </w:r>
                </w:p>
              </w:tc>
            </w:tr>
            <w:tr w14:paraId="3EC40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2584" w:type="pct"/>
                  <w:noWrap w:val="0"/>
                  <w:vAlign w:val="center"/>
                </w:tcPr>
                <w:p w14:paraId="4D53E7C3">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危废暂存间排气筒(</w:t>
                  </w:r>
                  <w:r>
                    <w:rPr>
                      <w:rFonts w:ascii="Times New Roman" w:hAnsi="Times New Roman" w:eastAsia="宋体" w:cs="Times New Roman"/>
                      <w:color w:val="auto"/>
                      <w:szCs w:val="21"/>
                    </w:rPr>
                    <w:t>DA00</w:t>
                  </w:r>
                  <w:r>
                    <w:rPr>
                      <w:rFonts w:hint="eastAsia" w:ascii="Times New Roman" w:hAnsi="Times New Roman" w:eastAsia="宋体" w:cs="Times New Roman"/>
                      <w:color w:val="auto"/>
                      <w:szCs w:val="21"/>
                      <w:lang w:val="en-US" w:eastAsia="zh-CN"/>
                    </w:rPr>
                    <w:t>3)</w:t>
                  </w:r>
                </w:p>
              </w:tc>
              <w:tc>
                <w:tcPr>
                  <w:tcW w:w="1199" w:type="pct"/>
                  <w:noWrap w:val="0"/>
                  <w:vAlign w:val="center"/>
                </w:tcPr>
                <w:p w14:paraId="65CEE6C5">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1216" w:type="pct"/>
                  <w:noWrap w:val="0"/>
                  <w:vAlign w:val="center"/>
                </w:tcPr>
                <w:p w14:paraId="6F408306">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w:t>
                  </w:r>
                  <w:r>
                    <w:rPr>
                      <w:rFonts w:ascii="Times New Roman" w:hAnsi="Times New Roman" w:eastAsia="宋体" w:cs="Times New Roman"/>
                      <w:color w:val="auto"/>
                      <w:szCs w:val="21"/>
                    </w:rPr>
                    <w:t>/年</w:t>
                  </w:r>
                </w:p>
              </w:tc>
            </w:tr>
            <w:tr w14:paraId="5FCA3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84" w:type="pct"/>
                  <w:vMerge w:val="restart"/>
                  <w:noWrap w:val="0"/>
                  <w:vAlign w:val="center"/>
                </w:tcPr>
                <w:p w14:paraId="46656436">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厂界(上风向1个点位、下风向3个点位)</w:t>
                  </w:r>
                </w:p>
              </w:tc>
              <w:tc>
                <w:tcPr>
                  <w:tcW w:w="1199" w:type="pct"/>
                  <w:noWrap w:val="0"/>
                  <w:vAlign w:val="center"/>
                </w:tcPr>
                <w:p w14:paraId="545240ED">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1216" w:type="pct"/>
                  <w:noWrap w:val="0"/>
                  <w:vAlign w:val="center"/>
                </w:tcPr>
                <w:p w14:paraId="1EAA4CC8">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1次/年</w:t>
                  </w:r>
                </w:p>
              </w:tc>
            </w:tr>
            <w:tr w14:paraId="7F864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84" w:type="pct"/>
                  <w:vMerge w:val="continue"/>
                  <w:noWrap w:val="0"/>
                  <w:vAlign w:val="center"/>
                </w:tcPr>
                <w:p w14:paraId="34AFF718">
                  <w:pPr>
                    <w:adjustRightInd w:val="0"/>
                    <w:snapToGrid w:val="0"/>
                    <w:spacing w:line="340" w:lineRule="exact"/>
                    <w:jc w:val="center"/>
                    <w:rPr>
                      <w:rFonts w:hint="eastAsia" w:ascii="Times New Roman" w:hAnsi="Times New Roman" w:eastAsia="宋体" w:cs="Times New Roman"/>
                      <w:color w:val="auto"/>
                      <w:szCs w:val="21"/>
                      <w:lang w:val="en-US" w:eastAsia="zh-CN"/>
                    </w:rPr>
                  </w:pPr>
                </w:p>
              </w:tc>
              <w:tc>
                <w:tcPr>
                  <w:tcW w:w="1199" w:type="pct"/>
                  <w:noWrap w:val="0"/>
                  <w:vAlign w:val="center"/>
                </w:tcPr>
                <w:p w14:paraId="56B6A695">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216" w:type="pct"/>
                  <w:noWrap w:val="0"/>
                  <w:vAlign w:val="center"/>
                </w:tcPr>
                <w:p w14:paraId="79F54EEC">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1次/年</w:t>
                  </w:r>
                </w:p>
              </w:tc>
            </w:tr>
            <w:tr w14:paraId="6558C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84" w:type="pct"/>
                  <w:vMerge w:val="continue"/>
                  <w:noWrap w:val="0"/>
                  <w:vAlign w:val="center"/>
                </w:tcPr>
                <w:p w14:paraId="47987056">
                  <w:pPr>
                    <w:adjustRightInd w:val="0"/>
                    <w:snapToGrid w:val="0"/>
                    <w:spacing w:line="340" w:lineRule="exact"/>
                    <w:jc w:val="center"/>
                    <w:rPr>
                      <w:rFonts w:hint="eastAsia" w:ascii="Times New Roman" w:hAnsi="Times New Roman" w:eastAsia="宋体" w:cs="Times New Roman"/>
                      <w:color w:val="auto"/>
                      <w:szCs w:val="21"/>
                      <w:lang w:val="en-US" w:eastAsia="zh-CN"/>
                    </w:rPr>
                  </w:pPr>
                </w:p>
              </w:tc>
              <w:tc>
                <w:tcPr>
                  <w:tcW w:w="1199" w:type="pct"/>
                  <w:noWrap w:val="0"/>
                  <w:vAlign w:val="center"/>
                </w:tcPr>
                <w:p w14:paraId="2FD308D7">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臭气浓度</w:t>
                  </w:r>
                </w:p>
              </w:tc>
              <w:tc>
                <w:tcPr>
                  <w:tcW w:w="1216" w:type="pct"/>
                  <w:noWrap w:val="0"/>
                  <w:vAlign w:val="center"/>
                </w:tcPr>
                <w:p w14:paraId="2FEFEC22">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1次/年</w:t>
                  </w:r>
                </w:p>
              </w:tc>
            </w:tr>
            <w:tr w14:paraId="55421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84" w:type="pct"/>
                  <w:noWrap w:val="0"/>
                  <w:vAlign w:val="center"/>
                </w:tcPr>
                <w:p w14:paraId="09CA6F03">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厂区内（3个点位）</w:t>
                  </w:r>
                </w:p>
              </w:tc>
              <w:tc>
                <w:tcPr>
                  <w:tcW w:w="1199" w:type="pct"/>
                  <w:noWrap w:val="0"/>
                  <w:vAlign w:val="center"/>
                </w:tcPr>
                <w:p w14:paraId="1F608EC4">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1216" w:type="pct"/>
                  <w:noWrap w:val="0"/>
                  <w:vAlign w:val="center"/>
                </w:tcPr>
                <w:p w14:paraId="58017688">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1次/年</w:t>
                  </w:r>
                </w:p>
              </w:tc>
            </w:tr>
          </w:tbl>
          <w:p w14:paraId="2D683F09">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4.</w:t>
            </w:r>
            <w:r>
              <w:rPr>
                <w:rFonts w:hint="eastAsia" w:ascii="Times New Roman" w:hAnsi="Times New Roman" w:eastAsia="宋体" w:cs="Times New Roman"/>
                <w:b/>
                <w:bCs w:val="0"/>
                <w:color w:val="auto"/>
                <w:sz w:val="28"/>
                <w:szCs w:val="28"/>
                <w:lang w:val="en-US" w:eastAsia="zh-CN"/>
              </w:rPr>
              <w:t>3</w:t>
            </w:r>
            <w:r>
              <w:rPr>
                <w:rFonts w:hint="default" w:ascii="Times New Roman" w:hAnsi="Times New Roman" w:eastAsia="宋体" w:cs="Times New Roman"/>
                <w:b/>
                <w:bCs w:val="0"/>
                <w:color w:val="auto"/>
                <w:sz w:val="28"/>
                <w:szCs w:val="28"/>
              </w:rPr>
              <w:t>运营期</w:t>
            </w:r>
            <w:r>
              <w:rPr>
                <w:rFonts w:hint="default" w:ascii="Times New Roman" w:hAnsi="Times New Roman" w:eastAsia="宋体" w:cs="Times New Roman"/>
                <w:b/>
                <w:bCs w:val="0"/>
                <w:color w:val="auto"/>
                <w:sz w:val="28"/>
                <w:szCs w:val="28"/>
                <w:lang w:eastAsia="zh-CN"/>
              </w:rPr>
              <w:t>水</w:t>
            </w:r>
            <w:r>
              <w:rPr>
                <w:rFonts w:hint="default" w:ascii="Times New Roman" w:hAnsi="Times New Roman" w:eastAsia="宋体" w:cs="Times New Roman"/>
                <w:b/>
                <w:bCs w:val="0"/>
                <w:color w:val="auto"/>
                <w:sz w:val="28"/>
                <w:szCs w:val="28"/>
              </w:rPr>
              <w:t>环境影响分析和污染防治措施</w:t>
            </w:r>
          </w:p>
          <w:p w14:paraId="6C229D9D">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auto"/>
                <w:kern w:val="0"/>
                <w:sz w:val="24"/>
              </w:rPr>
            </w:pPr>
            <w:r>
              <w:rPr>
                <w:rFonts w:hint="default" w:ascii="Times New Roman" w:hAnsi="Times New Roman" w:eastAsia="宋体" w:cs="Times New Roman"/>
                <w:b/>
                <w:bCs w:val="0"/>
                <w:color w:val="auto"/>
                <w:kern w:val="0"/>
                <w:sz w:val="24"/>
                <w:lang w:val="en-US" w:eastAsia="zh-CN"/>
              </w:rPr>
              <w:t>4.</w:t>
            </w:r>
            <w:r>
              <w:rPr>
                <w:rFonts w:hint="eastAsia" w:ascii="Times New Roman" w:hAnsi="Times New Roman" w:eastAsia="宋体" w:cs="Times New Roman"/>
                <w:b/>
                <w:bCs w:val="0"/>
                <w:color w:val="auto"/>
                <w:kern w:val="0"/>
                <w:sz w:val="24"/>
                <w:lang w:val="en-US" w:eastAsia="zh-CN"/>
              </w:rPr>
              <w:t>3</w:t>
            </w:r>
            <w:r>
              <w:rPr>
                <w:rFonts w:hint="default" w:ascii="Times New Roman" w:hAnsi="Times New Roman" w:eastAsia="宋体" w:cs="Times New Roman"/>
                <w:b/>
                <w:bCs w:val="0"/>
                <w:color w:val="auto"/>
                <w:kern w:val="0"/>
                <w:sz w:val="24"/>
                <w:lang w:val="en-US" w:eastAsia="zh-CN"/>
              </w:rPr>
              <w:t>.1</w:t>
            </w:r>
            <w:r>
              <w:rPr>
                <w:rFonts w:hint="default" w:ascii="Times New Roman" w:hAnsi="Times New Roman" w:eastAsia="宋体" w:cs="Times New Roman"/>
                <w:b/>
                <w:bCs w:val="0"/>
                <w:color w:val="auto"/>
                <w:kern w:val="0"/>
                <w:sz w:val="24"/>
              </w:rPr>
              <w:t>运营期</w:t>
            </w:r>
            <w:r>
              <w:rPr>
                <w:rFonts w:hint="eastAsia" w:ascii="Times New Roman" w:hAnsi="Times New Roman" w:eastAsia="宋体" w:cs="Times New Roman"/>
                <w:b/>
                <w:bCs w:val="0"/>
                <w:color w:val="auto"/>
                <w:kern w:val="0"/>
                <w:sz w:val="24"/>
                <w:lang w:eastAsia="zh-CN"/>
              </w:rPr>
              <w:t>废水</w:t>
            </w:r>
            <w:r>
              <w:rPr>
                <w:rFonts w:hint="default" w:ascii="Times New Roman" w:hAnsi="Times New Roman" w:eastAsia="宋体" w:cs="Times New Roman"/>
                <w:b/>
                <w:bCs w:val="0"/>
                <w:color w:val="auto"/>
                <w:kern w:val="0"/>
                <w:sz w:val="24"/>
              </w:rPr>
              <w:t>源强核算</w:t>
            </w:r>
          </w:p>
          <w:p w14:paraId="3537FCD9">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项目运营期废水为清洁废水、作业区露天区域初期雨水以及职工生活污水。</w:t>
            </w:r>
          </w:p>
          <w:p w14:paraId="417ED615">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（1）清洁废水及</w:t>
            </w:r>
            <w:r>
              <w:rPr>
                <w:rFonts w:hint="eastAsia" w:ascii="Times New Roman" w:hAnsi="Times New Roman" w:cs="Times New Roman"/>
                <w:color w:val="auto"/>
                <w:sz w:val="24"/>
                <w:highlight w:val="none"/>
                <w:lang w:val="en-US" w:eastAsia="zh-CN"/>
              </w:rPr>
              <w:t>作业区露天区域初期雨水</w:t>
            </w:r>
          </w:p>
          <w:p w14:paraId="25A42569">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根据前文分析，项目初期雨水产生量约为</w:t>
            </w:r>
            <w:r>
              <w:rPr>
                <w:rFonts w:hint="eastAsia" w:ascii="Times New Roman" w:hAnsi="Times New Roman" w:eastAsia="宋体" w:cs="Times New Roman"/>
                <w:color w:val="auto"/>
                <w:sz w:val="24"/>
                <w:szCs w:val="24"/>
                <w:lang w:val="en-US" w:eastAsia="zh-CN"/>
              </w:rPr>
              <w:t>2808</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/a（按雨天120d/a计，</w:t>
            </w:r>
            <w:r>
              <w:rPr>
                <w:rFonts w:hint="eastAsia" w:ascii="Times New Roman" w:hAnsi="Times New Roman" w:eastAsia="宋体" w:cs="Times New Roman"/>
                <w:color w:val="auto"/>
                <w:sz w:val="24"/>
                <w:szCs w:val="24"/>
                <w:lang w:val="en-US" w:eastAsia="zh-CN"/>
              </w:rPr>
              <w:t>23.2</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/次），清洁废水产生量约为</w:t>
            </w:r>
            <w:r>
              <w:rPr>
                <w:rFonts w:hint="eastAsia" w:ascii="Times New Roman" w:hAnsi="Times New Roman" w:eastAsia="宋体" w:cs="Times New Roman"/>
                <w:color w:val="auto"/>
                <w:sz w:val="24"/>
                <w:szCs w:val="24"/>
                <w:lang w:val="en-US" w:eastAsia="zh-CN"/>
              </w:rPr>
              <w:t>972t/a（日最大7.41t）。</w:t>
            </w:r>
            <w:r>
              <w:rPr>
                <w:rFonts w:hint="eastAsia" w:ascii="Times New Roman" w:hAnsi="Times New Roman" w:eastAsia="宋体" w:cs="Times New Roman"/>
                <w:color w:val="auto"/>
                <w:sz w:val="24"/>
                <w:szCs w:val="24"/>
                <w:vertAlign w:val="baseline"/>
                <w:lang w:val="en-US" w:eastAsia="zh-CN"/>
              </w:rPr>
              <w:t>参考《</w:t>
            </w:r>
            <w:bookmarkStart w:id="34" w:name="OLE_LINK4"/>
            <w:r>
              <w:rPr>
                <w:rFonts w:hint="eastAsia" w:ascii="Times New Roman" w:hAnsi="Times New Roman" w:eastAsia="宋体" w:cs="Times New Roman"/>
                <w:color w:val="auto"/>
                <w:sz w:val="24"/>
                <w:szCs w:val="24"/>
                <w:vertAlign w:val="baseline"/>
                <w:lang w:val="en-US" w:eastAsia="zh-CN"/>
              </w:rPr>
              <w:t>排污许可证申请与核发技术规范 废弃资源加工工业</w:t>
            </w:r>
            <w:bookmarkEnd w:id="34"/>
            <w:r>
              <w:rPr>
                <w:rFonts w:hint="eastAsia" w:ascii="Times New Roman" w:hAnsi="Times New Roman" w:eastAsia="宋体" w:cs="Times New Roman"/>
                <w:color w:val="auto"/>
                <w:sz w:val="24"/>
                <w:szCs w:val="24"/>
                <w:vertAlign w:val="baseline"/>
                <w:lang w:val="en-US" w:eastAsia="zh-CN"/>
              </w:rPr>
              <w:t>》(HJ 1034-2019) 表9 废机动车加工工业排污单位废水类别、污染物种类及污染防治设施，清洁废水、初期雨水污染物种类为pH、COD、NH</w:t>
            </w:r>
            <w:r>
              <w:rPr>
                <w:rFonts w:hint="eastAsia"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vertAlign w:val="baseline"/>
                <w:lang w:val="en-US" w:eastAsia="zh-CN"/>
              </w:rPr>
              <w:t>-N、SS、石油类。同时，项目清洁废水包含少量的车间人员洗手废水，使用洗手液，因此补充识别污染因子LAS，参考《混凝预处理洗浴废水中的LAS》（水土建筑与环境工程，周新华，林晓艳），洗浴废水中LAS浓度为0.5~5.0mg/L，本项目清洁废水中洗水废水含量较少，且所用洗手液中LAS含量较低，LAS取1mg/L计。参考《浅析报废汽车拆解厂废水循环处理技术的应用现状》以及同类项目工程运行经验，清洁废水浓度按pH：6~9、COD：300mg/L、SS：350</w:t>
            </w:r>
            <w:r>
              <w:rPr>
                <w:rFonts w:hint="eastAsia" w:ascii="Times New Roman" w:hAnsi="Times New Roman" w:eastAsia="宋体" w:cs="Times New Roman"/>
                <w:color w:val="auto"/>
                <w:sz w:val="24"/>
                <w:highlight w:val="none"/>
                <w:lang w:val="en-US" w:eastAsia="zh-CN"/>
              </w:rPr>
              <w:t>mg/</w:t>
            </w:r>
            <w:r>
              <w:rPr>
                <w:rFonts w:hint="eastAsia" w:ascii="Times New Roman" w:hAnsi="Times New Roman" w:eastAsia="宋体" w:cs="Times New Roman"/>
                <w:color w:val="auto"/>
                <w:sz w:val="24"/>
                <w:szCs w:val="24"/>
                <w:vertAlign w:val="baseline"/>
                <w:lang w:val="en-US" w:eastAsia="zh-CN"/>
              </w:rPr>
              <w:t>L</w:t>
            </w:r>
            <w:r>
              <w:rPr>
                <w:rFonts w:hint="eastAsia" w:ascii="Times New Roman" w:hAnsi="Times New Roman" w:eastAsia="宋体" w:cs="Times New Roman"/>
                <w:color w:val="auto"/>
                <w:sz w:val="24"/>
                <w:highlight w:val="none"/>
                <w:lang w:val="en-US" w:eastAsia="zh-CN"/>
              </w:rPr>
              <w:t>、氨氮10mg/L、石油类：150mg/L、LAS：1mg/L计。</w:t>
            </w:r>
          </w:p>
          <w:p w14:paraId="063B53BA">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类比《建始县报废汽车回收拆解及加工项目竣工环境保护验收监测报告表》中对初期雨水监测数据（类比监测报告详见附件十），项目初期雨水浓度选值情况如下表。建始县报废汽车回收拆解及加工项目年回收拆解报废汽车5000辆，工艺主要为预处理、拆解、机械处理（剪切、压实等），不涉及废旧机动车车辆冲洗，与本项目废旧机动车拆解工艺基本一致，具有一定的可比性。</w:t>
            </w:r>
          </w:p>
          <w:p w14:paraId="606036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表4.</w:t>
            </w:r>
            <w:r>
              <w:rPr>
                <w:rFonts w:hint="default" w:ascii="Times New Roman" w:hAnsi="Times New Roman" w:eastAsia="黑体" w:cs="Times New Roman"/>
                <w:color w:val="auto"/>
                <w:sz w:val="24"/>
                <w:szCs w:val="24"/>
                <w:highlight w:val="none"/>
                <w:lang w:val="en-US" w:eastAsia="zh-CN"/>
              </w:rPr>
              <w:t>3-</w:t>
            </w:r>
            <w:r>
              <w:rPr>
                <w:rFonts w:hint="eastAsia" w:ascii="Times New Roman" w:hAnsi="Times New Roman" w:eastAsia="黑体" w:cs="Times New Roman"/>
                <w:color w:val="auto"/>
                <w:sz w:val="24"/>
                <w:szCs w:val="24"/>
                <w:highlight w:val="none"/>
                <w:lang w:val="en-US" w:eastAsia="zh-CN"/>
              </w:rPr>
              <w:t>1</w:t>
            </w:r>
            <w:r>
              <w:rPr>
                <w:rFonts w:hint="default" w:ascii="Times New Roman" w:hAnsi="Times New Roman" w:eastAsia="黑体" w:cs="Times New Roman"/>
                <w:color w:val="auto"/>
                <w:sz w:val="24"/>
                <w:szCs w:val="24"/>
                <w:highlight w:val="none"/>
              </w:rPr>
              <w:t xml:space="preserve">   项目</w:t>
            </w:r>
            <w:r>
              <w:rPr>
                <w:rFonts w:hint="eastAsia" w:ascii="Times New Roman" w:hAnsi="Times New Roman" w:eastAsia="黑体" w:cs="Times New Roman"/>
                <w:color w:val="auto"/>
                <w:sz w:val="24"/>
                <w:szCs w:val="24"/>
                <w:highlight w:val="none"/>
                <w:lang w:val="en-US" w:eastAsia="zh-CN"/>
              </w:rPr>
              <w:t>初期雨水</w:t>
            </w:r>
            <w:r>
              <w:rPr>
                <w:rFonts w:hint="default" w:ascii="Times New Roman" w:hAnsi="Times New Roman" w:eastAsia="黑体" w:cs="Times New Roman"/>
                <w:color w:val="auto"/>
                <w:sz w:val="24"/>
                <w:szCs w:val="24"/>
                <w:highlight w:val="none"/>
              </w:rPr>
              <w:t>污染物产生情况一览表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867"/>
              <w:gridCol w:w="1149"/>
              <w:gridCol w:w="750"/>
              <w:gridCol w:w="1106"/>
              <w:gridCol w:w="1025"/>
              <w:gridCol w:w="998"/>
              <w:gridCol w:w="999"/>
            </w:tblGrid>
            <w:tr w14:paraId="1D456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1" w:type="pct"/>
                  <w:vMerge w:val="restart"/>
                  <w:noWrap w:val="0"/>
                  <w:vAlign w:val="center"/>
                </w:tcPr>
                <w:p w14:paraId="0A230A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废水</w:t>
                  </w:r>
                </w:p>
              </w:tc>
              <w:tc>
                <w:tcPr>
                  <w:tcW w:w="546" w:type="pct"/>
                  <w:vMerge w:val="restart"/>
                  <w:noWrap w:val="0"/>
                  <w:vAlign w:val="center"/>
                </w:tcPr>
                <w:p w14:paraId="7D6F56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kern w:val="2"/>
                      <w:sz w:val="18"/>
                      <w:szCs w:val="18"/>
                      <w:lang w:val="en-US" w:eastAsia="zh-CN" w:bidi="ar-SA"/>
                    </w:rPr>
                    <w:t>废水量</w:t>
                  </w:r>
                </w:p>
              </w:tc>
              <w:tc>
                <w:tcPr>
                  <w:tcW w:w="723" w:type="pct"/>
                  <w:vMerge w:val="restart"/>
                  <w:noWrap w:val="0"/>
                  <w:vAlign w:val="center"/>
                </w:tcPr>
                <w:p w14:paraId="001581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产生</w:t>
                  </w:r>
                </w:p>
                <w:p w14:paraId="576758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情况</w:t>
                  </w:r>
                </w:p>
              </w:tc>
              <w:tc>
                <w:tcPr>
                  <w:tcW w:w="3068" w:type="pct"/>
                  <w:gridSpan w:val="5"/>
                  <w:noWrap w:val="0"/>
                  <w:vAlign w:val="center"/>
                </w:tcPr>
                <w:p w14:paraId="5EE3EF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主要污染物</w:t>
                  </w:r>
                </w:p>
              </w:tc>
            </w:tr>
            <w:tr w14:paraId="314E8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1" w:type="pct"/>
                  <w:vMerge w:val="continue"/>
                  <w:noWrap w:val="0"/>
                  <w:vAlign w:val="center"/>
                </w:tcPr>
                <w:p w14:paraId="573B03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p>
              </w:tc>
              <w:tc>
                <w:tcPr>
                  <w:tcW w:w="546" w:type="pct"/>
                  <w:vMerge w:val="continue"/>
                  <w:noWrap w:val="0"/>
                  <w:vAlign w:val="center"/>
                </w:tcPr>
                <w:p w14:paraId="5D0B48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18"/>
                      <w:szCs w:val="18"/>
                      <w:lang w:val="en-US" w:eastAsia="zh-CN" w:bidi="ar-SA"/>
                    </w:rPr>
                  </w:pPr>
                </w:p>
              </w:tc>
              <w:tc>
                <w:tcPr>
                  <w:tcW w:w="723" w:type="pct"/>
                  <w:vMerge w:val="continue"/>
                  <w:noWrap w:val="0"/>
                  <w:vAlign w:val="center"/>
                </w:tcPr>
                <w:p w14:paraId="3FB92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p>
              </w:tc>
              <w:tc>
                <w:tcPr>
                  <w:tcW w:w="472" w:type="pct"/>
                  <w:noWrap w:val="0"/>
                  <w:vAlign w:val="center"/>
                </w:tcPr>
                <w:p w14:paraId="04D529F6">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pH</w:t>
                  </w:r>
                </w:p>
              </w:tc>
              <w:tc>
                <w:tcPr>
                  <w:tcW w:w="696" w:type="pct"/>
                  <w:noWrap w:val="0"/>
                  <w:vAlign w:val="center"/>
                </w:tcPr>
                <w:p w14:paraId="27883FAC">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w:t>
                  </w:r>
                  <w:r>
                    <w:rPr>
                      <w:rFonts w:hint="eastAsia" w:ascii="Times New Roman" w:hAnsi="Times New Roman" w:eastAsia="宋体" w:cs="Times New Roman"/>
                      <w:color w:val="auto"/>
                      <w:kern w:val="18"/>
                      <w:sz w:val="18"/>
                      <w:szCs w:val="18"/>
                      <w:highlight w:val="none"/>
                      <w:lang w:val="en-US" w:eastAsia="zh-CN"/>
                    </w:rPr>
                    <w:t>cr</w:t>
                  </w:r>
                </w:p>
              </w:tc>
              <w:tc>
                <w:tcPr>
                  <w:tcW w:w="645" w:type="pct"/>
                  <w:noWrap w:val="0"/>
                  <w:vAlign w:val="center"/>
                </w:tcPr>
                <w:p w14:paraId="52B7546F">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氨氮</w:t>
                  </w:r>
                </w:p>
              </w:tc>
              <w:tc>
                <w:tcPr>
                  <w:tcW w:w="628" w:type="pct"/>
                  <w:noWrap w:val="0"/>
                  <w:vAlign w:val="center"/>
                </w:tcPr>
                <w:p w14:paraId="7FAB08A7">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SS</w:t>
                  </w:r>
                </w:p>
              </w:tc>
              <w:tc>
                <w:tcPr>
                  <w:tcW w:w="626" w:type="pct"/>
                  <w:noWrap w:val="0"/>
                  <w:vAlign w:val="center"/>
                </w:tcPr>
                <w:p w14:paraId="43D1F9B3">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石油类</w:t>
                  </w:r>
                </w:p>
              </w:tc>
            </w:tr>
            <w:tr w14:paraId="65E0E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1" w:type="pct"/>
                  <w:vMerge w:val="restart"/>
                  <w:noWrap w:val="0"/>
                  <w:vAlign w:val="center"/>
                </w:tcPr>
                <w:p w14:paraId="520A36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建始县报废汽车回收拆解及加工项目（年拆解5000辆）</w:t>
                  </w:r>
                </w:p>
              </w:tc>
              <w:tc>
                <w:tcPr>
                  <w:tcW w:w="546" w:type="pct"/>
                  <w:vMerge w:val="restart"/>
                  <w:noWrap w:val="0"/>
                  <w:vAlign w:val="center"/>
                </w:tcPr>
                <w:p w14:paraId="04EFA1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kern w:val="2"/>
                      <w:sz w:val="18"/>
                      <w:szCs w:val="18"/>
                      <w:lang w:val="en-US" w:eastAsia="zh-CN" w:bidi="ar-SA"/>
                    </w:rPr>
                    <w:t>/</w:t>
                  </w:r>
                </w:p>
              </w:tc>
              <w:tc>
                <w:tcPr>
                  <w:tcW w:w="723" w:type="pct"/>
                  <w:noWrap w:val="0"/>
                  <w:vAlign w:val="center"/>
                </w:tcPr>
                <w:p w14:paraId="38FA46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隔油沉淀池排口</w:t>
                  </w:r>
                  <w:r>
                    <w:rPr>
                      <w:rFonts w:hint="default" w:ascii="Times New Roman" w:hAnsi="Times New Roman" w:eastAsia="宋体" w:cs="Times New Roman"/>
                      <w:bCs/>
                      <w:color w:val="auto"/>
                      <w:sz w:val="18"/>
                      <w:szCs w:val="18"/>
                      <w:lang w:val="en-US" w:eastAsia="zh-CN"/>
                    </w:rPr>
                    <w:t>浓度</w:t>
                  </w:r>
                </w:p>
                <w:p w14:paraId="5F40EE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lang w:val="en-US" w:eastAsia="zh-CN"/>
                    </w:rPr>
                    <w:t>(mg/L</w:t>
                  </w:r>
                  <w:r>
                    <w:rPr>
                      <w:rFonts w:hint="eastAsia" w:ascii="Times New Roman" w:hAnsi="Times New Roman" w:eastAsia="宋体" w:cs="Times New Roman"/>
                      <w:bCs/>
                      <w:color w:val="auto"/>
                      <w:sz w:val="18"/>
                      <w:szCs w:val="18"/>
                      <w:lang w:val="en-US" w:eastAsia="zh-CN"/>
                    </w:rPr>
                    <w:t>，pH无量纲</w:t>
                  </w:r>
                  <w:r>
                    <w:rPr>
                      <w:rFonts w:hint="default" w:ascii="Times New Roman" w:hAnsi="Times New Roman" w:eastAsia="宋体" w:cs="Times New Roman"/>
                      <w:bCs/>
                      <w:color w:val="auto"/>
                      <w:sz w:val="18"/>
                      <w:szCs w:val="18"/>
                      <w:lang w:val="en-US" w:eastAsia="zh-CN"/>
                    </w:rPr>
                    <w:t>)</w:t>
                  </w:r>
                </w:p>
              </w:tc>
              <w:tc>
                <w:tcPr>
                  <w:tcW w:w="472" w:type="pct"/>
                  <w:noWrap w:val="0"/>
                  <w:vAlign w:val="center"/>
                </w:tcPr>
                <w:p w14:paraId="2D36E140">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7.62</w:t>
                  </w:r>
                </w:p>
              </w:tc>
              <w:tc>
                <w:tcPr>
                  <w:tcW w:w="696" w:type="pct"/>
                  <w:noWrap w:val="0"/>
                  <w:vAlign w:val="center"/>
                </w:tcPr>
                <w:p w14:paraId="4FA5AEA6">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25.1</w:t>
                  </w:r>
                </w:p>
              </w:tc>
              <w:tc>
                <w:tcPr>
                  <w:tcW w:w="645" w:type="pct"/>
                  <w:noWrap w:val="0"/>
                  <w:vAlign w:val="center"/>
                </w:tcPr>
                <w:p w14:paraId="60D5A344">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1.56</w:t>
                  </w:r>
                </w:p>
              </w:tc>
              <w:tc>
                <w:tcPr>
                  <w:tcW w:w="628" w:type="pct"/>
                  <w:noWrap w:val="0"/>
                  <w:vAlign w:val="center"/>
                </w:tcPr>
                <w:p w14:paraId="231A4BD2">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12</w:t>
                  </w:r>
                </w:p>
              </w:tc>
              <w:tc>
                <w:tcPr>
                  <w:tcW w:w="626" w:type="pct"/>
                  <w:noWrap w:val="0"/>
                  <w:vAlign w:val="center"/>
                </w:tcPr>
                <w:p w14:paraId="268590CD">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0.54</w:t>
                  </w:r>
                </w:p>
              </w:tc>
            </w:tr>
            <w:tr w14:paraId="1EB5E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1" w:type="pct"/>
                  <w:vMerge w:val="continue"/>
                  <w:noWrap w:val="0"/>
                  <w:vAlign w:val="center"/>
                </w:tcPr>
                <w:p w14:paraId="5A083D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18"/>
                      <w:szCs w:val="18"/>
                      <w:lang w:val="en-US" w:eastAsia="zh-CN"/>
                    </w:rPr>
                  </w:pPr>
                </w:p>
              </w:tc>
              <w:tc>
                <w:tcPr>
                  <w:tcW w:w="546" w:type="pct"/>
                  <w:vMerge w:val="continue"/>
                  <w:noWrap w:val="0"/>
                  <w:vAlign w:val="center"/>
                </w:tcPr>
                <w:p w14:paraId="4E93A6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18"/>
                      <w:szCs w:val="18"/>
                      <w:lang w:val="en-US" w:eastAsia="zh-CN" w:bidi="ar-SA"/>
                    </w:rPr>
                  </w:pPr>
                </w:p>
              </w:tc>
              <w:tc>
                <w:tcPr>
                  <w:tcW w:w="723" w:type="pct"/>
                  <w:noWrap w:val="0"/>
                  <w:vAlign w:val="center"/>
                </w:tcPr>
                <w:p w14:paraId="5A96E2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产生</w:t>
                  </w:r>
                  <w:r>
                    <w:rPr>
                      <w:rFonts w:hint="default" w:ascii="Times New Roman" w:hAnsi="Times New Roman" w:eastAsia="宋体" w:cs="Times New Roman"/>
                      <w:bCs/>
                      <w:color w:val="auto"/>
                      <w:sz w:val="18"/>
                      <w:szCs w:val="18"/>
                      <w:lang w:val="en-US" w:eastAsia="zh-CN"/>
                    </w:rPr>
                    <w:t>浓度</w:t>
                  </w:r>
                </w:p>
                <w:p w14:paraId="3AF8B5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(mg/L</w:t>
                  </w:r>
                  <w:r>
                    <w:rPr>
                      <w:rFonts w:hint="eastAsia" w:ascii="Times New Roman" w:hAnsi="Times New Roman" w:eastAsia="宋体" w:cs="Times New Roman"/>
                      <w:bCs/>
                      <w:color w:val="auto"/>
                      <w:sz w:val="18"/>
                      <w:szCs w:val="18"/>
                      <w:lang w:val="en-US" w:eastAsia="zh-CN"/>
                    </w:rPr>
                    <w:t>，pH无量纲</w:t>
                  </w:r>
                  <w:r>
                    <w:rPr>
                      <w:rFonts w:hint="default" w:ascii="Times New Roman" w:hAnsi="Times New Roman" w:eastAsia="宋体" w:cs="Times New Roman"/>
                      <w:bCs/>
                      <w:color w:val="auto"/>
                      <w:sz w:val="18"/>
                      <w:szCs w:val="18"/>
                      <w:lang w:val="en-US" w:eastAsia="zh-CN"/>
                    </w:rPr>
                    <w:t>)</w:t>
                  </w:r>
                </w:p>
              </w:tc>
              <w:tc>
                <w:tcPr>
                  <w:tcW w:w="472" w:type="pct"/>
                  <w:noWrap w:val="0"/>
                  <w:vAlign w:val="center"/>
                </w:tcPr>
                <w:p w14:paraId="0EAED9A3">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7.62</w:t>
                  </w:r>
                </w:p>
              </w:tc>
              <w:tc>
                <w:tcPr>
                  <w:tcW w:w="696" w:type="pct"/>
                  <w:noWrap w:val="0"/>
                  <w:vAlign w:val="center"/>
                </w:tcPr>
                <w:p w14:paraId="46F0DBC9">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35.9</w:t>
                  </w:r>
                </w:p>
              </w:tc>
              <w:tc>
                <w:tcPr>
                  <w:tcW w:w="645" w:type="pct"/>
                  <w:noWrap w:val="0"/>
                  <w:vAlign w:val="center"/>
                </w:tcPr>
                <w:p w14:paraId="24329EA1">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1.64</w:t>
                  </w:r>
                </w:p>
              </w:tc>
              <w:tc>
                <w:tcPr>
                  <w:tcW w:w="628" w:type="pct"/>
                  <w:noWrap w:val="0"/>
                  <w:vAlign w:val="center"/>
                </w:tcPr>
                <w:p w14:paraId="2E1340BA">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w:t>
                  </w:r>
                </w:p>
              </w:tc>
              <w:tc>
                <w:tcPr>
                  <w:tcW w:w="626" w:type="pct"/>
                  <w:noWrap w:val="0"/>
                  <w:vAlign w:val="center"/>
                </w:tcPr>
                <w:p w14:paraId="33DE8C5D">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1.08</w:t>
                  </w:r>
                </w:p>
              </w:tc>
            </w:tr>
            <w:tr w14:paraId="6264F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61" w:type="pct"/>
                  <w:noWrap w:val="0"/>
                  <w:vAlign w:val="center"/>
                </w:tcPr>
                <w:p w14:paraId="40AA83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本项</w:t>
                  </w:r>
                  <w:r>
                    <w:rPr>
                      <w:rFonts w:hint="eastAsia" w:ascii="Times New Roman" w:hAnsi="Times New Roman" w:eastAsia="宋体" w:cs="Times New Roman"/>
                      <w:bCs/>
                      <w:color w:val="auto"/>
                      <w:sz w:val="18"/>
                      <w:szCs w:val="18"/>
                      <w:lang w:val="en-US" w:eastAsia="zh-CN"/>
                    </w:rPr>
                    <w:t>目（年拆解20000辆）</w:t>
                  </w:r>
                </w:p>
              </w:tc>
              <w:tc>
                <w:tcPr>
                  <w:tcW w:w="546" w:type="pct"/>
                  <w:noWrap w:val="0"/>
                  <w:vAlign w:val="center"/>
                </w:tcPr>
                <w:p w14:paraId="029F75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23.2</w:t>
                  </w:r>
                </w:p>
                <w:p w14:paraId="16B511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m</w:t>
                  </w:r>
                  <w:r>
                    <w:rPr>
                      <w:rFonts w:hint="eastAsia" w:ascii="Times New Roman" w:hAnsi="Times New Roman" w:eastAsia="宋体" w:cs="Times New Roman"/>
                      <w:bCs/>
                      <w:color w:val="auto"/>
                      <w:sz w:val="18"/>
                      <w:szCs w:val="18"/>
                      <w:vertAlign w:val="superscript"/>
                      <w:lang w:val="en-US" w:eastAsia="zh-CN"/>
                    </w:rPr>
                    <w:t>3</w:t>
                  </w:r>
                  <w:r>
                    <w:rPr>
                      <w:rFonts w:hint="eastAsia" w:ascii="Times New Roman" w:hAnsi="Times New Roman" w:eastAsia="宋体" w:cs="Times New Roman"/>
                      <w:bCs/>
                      <w:color w:val="auto"/>
                      <w:sz w:val="18"/>
                      <w:szCs w:val="18"/>
                      <w:lang w:val="en-US" w:eastAsia="zh-CN"/>
                    </w:rPr>
                    <w:t>/次</w:t>
                  </w:r>
                </w:p>
              </w:tc>
              <w:tc>
                <w:tcPr>
                  <w:tcW w:w="723" w:type="pct"/>
                  <w:noWrap w:val="0"/>
                  <w:vAlign w:val="center"/>
                </w:tcPr>
                <w:p w14:paraId="11A3C2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产生</w:t>
                  </w:r>
                  <w:r>
                    <w:rPr>
                      <w:rFonts w:hint="default" w:ascii="Times New Roman" w:hAnsi="Times New Roman" w:eastAsia="宋体" w:cs="Times New Roman"/>
                      <w:bCs/>
                      <w:color w:val="auto"/>
                      <w:sz w:val="18"/>
                      <w:szCs w:val="18"/>
                      <w:lang w:val="en-US" w:eastAsia="zh-CN"/>
                    </w:rPr>
                    <w:t>浓度</w:t>
                  </w:r>
                </w:p>
                <w:p w14:paraId="12E3A0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(mg/L</w:t>
                  </w:r>
                  <w:r>
                    <w:rPr>
                      <w:rFonts w:hint="eastAsia" w:ascii="Times New Roman" w:hAnsi="Times New Roman" w:eastAsia="宋体" w:cs="Times New Roman"/>
                      <w:bCs/>
                      <w:color w:val="auto"/>
                      <w:sz w:val="18"/>
                      <w:szCs w:val="18"/>
                      <w:lang w:val="en-US" w:eastAsia="zh-CN"/>
                    </w:rPr>
                    <w:t>，pH无量纲</w:t>
                  </w:r>
                  <w:r>
                    <w:rPr>
                      <w:rFonts w:hint="default" w:ascii="Times New Roman" w:hAnsi="Times New Roman" w:eastAsia="宋体" w:cs="Times New Roman"/>
                      <w:bCs/>
                      <w:color w:val="auto"/>
                      <w:sz w:val="18"/>
                      <w:szCs w:val="18"/>
                      <w:lang w:val="en-US" w:eastAsia="zh-CN"/>
                    </w:rPr>
                    <w:t>)</w:t>
                  </w:r>
                </w:p>
              </w:tc>
              <w:tc>
                <w:tcPr>
                  <w:tcW w:w="472" w:type="pct"/>
                  <w:noWrap w:val="0"/>
                  <w:vAlign w:val="center"/>
                </w:tcPr>
                <w:p w14:paraId="109D587B">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6~9</w:t>
                  </w:r>
                </w:p>
              </w:tc>
              <w:tc>
                <w:tcPr>
                  <w:tcW w:w="696" w:type="pct"/>
                  <w:noWrap w:val="0"/>
                  <w:vAlign w:val="center"/>
                </w:tcPr>
                <w:p w14:paraId="620EF0C6">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143.6</w:t>
                  </w:r>
                </w:p>
              </w:tc>
              <w:tc>
                <w:tcPr>
                  <w:tcW w:w="645" w:type="pct"/>
                  <w:noWrap w:val="0"/>
                  <w:vAlign w:val="center"/>
                </w:tcPr>
                <w:p w14:paraId="4E3015CF">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6.56</w:t>
                  </w:r>
                </w:p>
              </w:tc>
              <w:tc>
                <w:tcPr>
                  <w:tcW w:w="628" w:type="pct"/>
                  <w:noWrap w:val="0"/>
                  <w:vAlign w:val="center"/>
                </w:tcPr>
                <w:p w14:paraId="66C73C10">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160</w:t>
                  </w:r>
                </w:p>
              </w:tc>
              <w:tc>
                <w:tcPr>
                  <w:tcW w:w="626" w:type="pct"/>
                  <w:noWrap w:val="0"/>
                  <w:vAlign w:val="center"/>
                </w:tcPr>
                <w:p w14:paraId="59089D56">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4.32</w:t>
                  </w:r>
                </w:p>
              </w:tc>
            </w:tr>
            <w:tr w14:paraId="7B18F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70" w:hRule="atLeast"/>
              </w:trPr>
              <w:tc>
                <w:tcPr>
                  <w:tcW w:w="5000" w:type="pct"/>
                  <w:gridSpan w:val="8"/>
                  <w:noWrap w:val="0"/>
                  <w:vAlign w:val="center"/>
                </w:tcPr>
                <w:p w14:paraId="408E1C3D">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注：1.建始县报废汽车回收拆解及加工项目</w:t>
                  </w:r>
                  <w:r>
                    <w:rPr>
                      <w:rFonts w:hint="eastAsia" w:ascii="Times New Roman" w:hAnsi="Times New Roman" w:eastAsia="宋体" w:cs="Times New Roman"/>
                      <w:color w:val="auto"/>
                      <w:sz w:val="18"/>
                      <w:szCs w:val="18"/>
                      <w:lang w:val="en-US" w:eastAsia="zh-CN"/>
                    </w:rPr>
                    <w:t>雨水隔油沉淀池排口</w:t>
                  </w:r>
                  <w:r>
                    <w:rPr>
                      <w:rFonts w:hint="default" w:ascii="Times New Roman" w:hAnsi="Times New Roman" w:eastAsia="宋体" w:cs="Times New Roman"/>
                      <w:color w:val="auto"/>
                      <w:sz w:val="18"/>
                      <w:szCs w:val="18"/>
                      <w:lang w:val="en-US" w:eastAsia="zh-CN"/>
                    </w:rPr>
                    <w:t>水质取</w:t>
                  </w:r>
                  <w:r>
                    <w:rPr>
                      <w:rFonts w:hint="eastAsia" w:ascii="Times New Roman" w:hAnsi="Times New Roman" w:eastAsia="宋体" w:cs="Times New Roman"/>
                      <w:color w:val="auto"/>
                      <w:sz w:val="18"/>
                      <w:szCs w:val="18"/>
                      <w:lang w:val="en-US" w:eastAsia="zh-CN"/>
                    </w:rPr>
                    <w:t>恩施跃华检测有限公司</w:t>
                  </w:r>
                  <w:r>
                    <w:rPr>
                      <w:rFonts w:hint="default" w:ascii="Times New Roman" w:hAnsi="Times New Roman" w:eastAsia="宋体" w:cs="Times New Roman"/>
                      <w:color w:val="auto"/>
                      <w:sz w:val="18"/>
                      <w:szCs w:val="18"/>
                      <w:lang w:val="en-US" w:eastAsia="zh-CN"/>
                    </w:rPr>
                    <w:t>出具的</w:t>
                  </w:r>
                  <w:r>
                    <w:rPr>
                      <w:rFonts w:hint="eastAsia" w:ascii="Times New Roman" w:hAnsi="Times New Roman" w:eastAsia="宋体" w:cs="Times New Roman"/>
                      <w:color w:val="auto"/>
                      <w:sz w:val="18"/>
                      <w:szCs w:val="18"/>
                      <w:lang w:val="en-US" w:eastAsia="zh-CN"/>
                    </w:rPr>
                    <w:t>2023.2.28、2023.3.1</w:t>
                  </w:r>
                  <w:r>
                    <w:rPr>
                      <w:rFonts w:hint="default" w:ascii="Times New Roman" w:hAnsi="Times New Roman" w:eastAsia="宋体" w:cs="Times New Roman"/>
                      <w:color w:val="auto"/>
                      <w:sz w:val="18"/>
                      <w:szCs w:val="18"/>
                      <w:lang w:val="en-US" w:eastAsia="zh-CN"/>
                    </w:rPr>
                    <w:t>两天竣工验收监测报告</w:t>
                  </w:r>
                  <w:r>
                    <w:rPr>
                      <w:rFonts w:hint="eastAsia" w:ascii="Times New Roman" w:hAnsi="Times New Roman" w:eastAsia="宋体" w:cs="Times New Roman"/>
                      <w:color w:val="auto"/>
                      <w:sz w:val="18"/>
                      <w:szCs w:val="18"/>
                      <w:lang w:val="en-US" w:eastAsia="zh-CN"/>
                    </w:rPr>
                    <w:t>数据</w:t>
                  </w:r>
                  <w:r>
                    <w:rPr>
                      <w:rFonts w:hint="default" w:ascii="Times New Roman" w:hAnsi="Times New Roman" w:eastAsia="宋体" w:cs="Times New Roman"/>
                      <w:color w:val="auto"/>
                      <w:sz w:val="18"/>
                      <w:szCs w:val="18"/>
                      <w:lang w:val="en-US" w:eastAsia="zh-CN"/>
                    </w:rPr>
                    <w:t>进行分析(报告编号：</w:t>
                  </w:r>
                  <w:r>
                    <w:rPr>
                      <w:rFonts w:hint="eastAsia" w:ascii="Times New Roman" w:hAnsi="Times New Roman" w:eastAsia="宋体" w:cs="Times New Roman"/>
                      <w:color w:val="auto"/>
                      <w:sz w:val="18"/>
                      <w:szCs w:val="18"/>
                      <w:lang w:val="en-US" w:eastAsia="zh-CN"/>
                    </w:rPr>
                    <w:t>跃华（检）字20230154</w:t>
                  </w:r>
                  <w:r>
                    <w:rPr>
                      <w:rFonts w:hint="default" w:ascii="Times New Roman" w:hAnsi="Times New Roman" w:eastAsia="宋体" w:cs="Times New Roman"/>
                      <w:color w:val="auto"/>
                      <w:sz w:val="18"/>
                      <w:szCs w:val="18"/>
                      <w:lang w:val="en-US" w:eastAsia="zh-CN"/>
                    </w:rPr>
                    <w:t>，详见附件</w:t>
                  </w:r>
                  <w:r>
                    <w:rPr>
                      <w:rFonts w:hint="eastAsia" w:ascii="Times New Roman" w:hAnsi="Times New Roman" w:eastAsia="宋体" w:cs="Times New Roman"/>
                      <w:color w:val="auto"/>
                      <w:sz w:val="18"/>
                      <w:szCs w:val="18"/>
                      <w:lang w:val="en-US" w:eastAsia="zh-CN"/>
                    </w:rPr>
                    <w:t>十</w:t>
                  </w:r>
                  <w:r>
                    <w:rPr>
                      <w:rFonts w:hint="default" w:ascii="Times New Roman" w:hAnsi="Times New Roman" w:eastAsia="宋体" w:cs="Times New Roman"/>
                      <w:color w:val="auto"/>
                      <w:sz w:val="18"/>
                      <w:szCs w:val="18"/>
                      <w:lang w:val="en-US" w:eastAsia="zh-CN"/>
                    </w:rPr>
                    <w:t>)，取值2天</w:t>
                  </w:r>
                  <w:r>
                    <w:rPr>
                      <w:rFonts w:hint="eastAsia" w:ascii="Times New Roman" w:hAnsi="Times New Roman" w:eastAsia="宋体" w:cs="Times New Roman"/>
                      <w:color w:val="auto"/>
                      <w:sz w:val="18"/>
                      <w:szCs w:val="18"/>
                      <w:lang w:val="en-US" w:eastAsia="zh-CN"/>
                    </w:rPr>
                    <w:t>监测数据</w:t>
                  </w:r>
                  <w:r>
                    <w:rPr>
                      <w:rFonts w:hint="default" w:ascii="Times New Roman" w:hAnsi="Times New Roman" w:eastAsia="宋体" w:cs="Times New Roman"/>
                      <w:color w:val="auto"/>
                      <w:sz w:val="18"/>
                      <w:szCs w:val="18"/>
                      <w:lang w:val="en-US" w:eastAsia="zh-CN"/>
                    </w:rPr>
                    <w:t>的平均值</w:t>
                  </w:r>
                  <w:r>
                    <w:rPr>
                      <w:rFonts w:hint="eastAsia" w:ascii="Times New Roman" w:hAnsi="Times New Roman" w:eastAsia="宋体" w:cs="Times New Roman"/>
                      <w:color w:val="auto"/>
                      <w:sz w:val="18"/>
                      <w:szCs w:val="18"/>
                      <w:lang w:val="en-US" w:eastAsia="zh-CN"/>
                    </w:rPr>
                    <w:t>，根据检测报告，经处理后的出水无色、透明、无味、无油膜</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产生浓度</w:t>
                  </w:r>
                  <w:r>
                    <w:rPr>
                      <w:rFonts w:hint="default" w:ascii="Times New Roman" w:hAnsi="Times New Roman" w:eastAsia="宋体" w:cs="Times New Roman"/>
                      <w:color w:val="auto"/>
                      <w:sz w:val="18"/>
                      <w:szCs w:val="18"/>
                      <w:lang w:val="en-US" w:eastAsia="zh-CN"/>
                    </w:rPr>
                    <w:t>参照《第一次全国污染源普查 城镇生活源产排污系数手册》中推荐的“8311 汽车、摩托车维修与保养”中洗车废水预处理去除效率，即隔油沉淀对COD、石油类去除效率分别为30.2%、50%，SS、氨氮去除效率</w:t>
                  </w:r>
                  <w:r>
                    <w:rPr>
                      <w:rFonts w:hint="eastAsia" w:ascii="Times New Roman" w:hAnsi="Times New Roman" w:eastAsia="宋体" w:cs="Times New Roman"/>
                      <w:color w:val="auto"/>
                      <w:sz w:val="18"/>
                      <w:szCs w:val="18"/>
                      <w:lang w:val="en-US" w:eastAsia="zh-CN"/>
                    </w:rPr>
                    <w:t>按70</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计算得出。</w:t>
                  </w:r>
                </w:p>
                <w:p w14:paraId="7F681091">
                  <w:pPr>
                    <w:pStyle w:val="9"/>
                    <w:keepNext w:val="0"/>
                    <w:keepLines w:val="0"/>
                    <w:pageBreakBefore w:val="0"/>
                    <w:widowControl/>
                    <w:kinsoku/>
                    <w:wordWrap/>
                    <w:overflowPunct/>
                    <w:topLinePunct w:val="0"/>
                    <w:autoSpaceDE/>
                    <w:autoSpaceDN/>
                    <w:bidi w:val="0"/>
                    <w:adjustRightInd/>
                    <w:snapToGrid w:val="0"/>
                    <w:spacing w:before="0" w:after="0" w:line="260" w:lineRule="auto"/>
                    <w:ind w:right="113"/>
                    <w:textAlignment w:val="auto"/>
                    <w:rPr>
                      <w:rFonts w:hint="default"/>
                      <w:color w:val="auto"/>
                      <w:lang w:val="en-US" w:eastAsia="zh-CN"/>
                    </w:rPr>
                  </w:pPr>
                  <w:r>
                    <w:rPr>
                      <w:rFonts w:hint="eastAsia" w:ascii="Times New Roman" w:hAnsi="Times New Roman" w:eastAsia="宋体" w:cs="Times New Roman"/>
                      <w:color w:val="auto"/>
                      <w:sz w:val="18"/>
                      <w:szCs w:val="18"/>
                      <w:lang w:val="en-US" w:eastAsia="zh-CN"/>
                    </w:rPr>
                    <w:t xml:space="preserve">    2.由于本项目拆解量大于</w:t>
                  </w:r>
                  <w:r>
                    <w:rPr>
                      <w:rFonts w:hint="eastAsia" w:ascii="Times New Roman" w:hAnsi="Times New Roman" w:eastAsia="宋体" w:cs="Times New Roman"/>
                      <w:bCs/>
                      <w:color w:val="auto"/>
                      <w:sz w:val="18"/>
                      <w:szCs w:val="18"/>
                      <w:lang w:val="en-US" w:eastAsia="zh-CN"/>
                    </w:rPr>
                    <w:t>建始县报废汽车回收拆解及加工项目，因此对除pH外的污染物保守按规模比例扩大选取初期雨水污染物浓度。</w:t>
                  </w:r>
                </w:p>
              </w:tc>
            </w:tr>
          </w:tbl>
          <w:p w14:paraId="2D6D9962">
            <w:pPr>
              <w:keepNext w:val="0"/>
              <w:keepLines w:val="0"/>
              <w:pageBreakBefore w:val="0"/>
              <w:widowControl w:val="0"/>
              <w:kinsoku/>
              <w:wordWrap/>
              <w:overflowPunct/>
              <w:topLinePunct w:val="0"/>
              <w:autoSpaceDE/>
              <w:autoSpaceDN/>
              <w:bidi w:val="0"/>
              <w:adjustRightInd/>
              <w:snapToGrid/>
              <w:spacing w:before="157" w:beforeLines="50" w:line="348"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清洁废水、作业区露天区域初期雨水经配套导流沟、清洁池管道收集后进入收集池暂存，进入“油水分离+混凝沉淀+过滤（砂滤、活性炭滤）”装置处理，出水全部</w:t>
            </w:r>
            <w:bookmarkStart w:id="35" w:name="OLE_LINK3"/>
            <w:r>
              <w:rPr>
                <w:rFonts w:hint="eastAsia" w:ascii="Times New Roman" w:hAnsi="Times New Roman" w:eastAsia="宋体" w:cs="Times New Roman"/>
                <w:color w:val="auto"/>
                <w:sz w:val="24"/>
                <w:highlight w:val="none"/>
                <w:lang w:val="en-US" w:eastAsia="zh-CN"/>
              </w:rPr>
              <w:t>回用于场地洒水清扫、停车区冲洗，不外排</w:t>
            </w:r>
            <w:bookmarkEnd w:id="35"/>
            <w:r>
              <w:rPr>
                <w:rFonts w:hint="eastAsia" w:ascii="Times New Roman" w:hAnsi="Times New Roman" w:eastAsia="宋体" w:cs="Times New Roman"/>
                <w:color w:val="auto"/>
                <w:sz w:val="24"/>
                <w:highlight w:val="none"/>
                <w:lang w:val="en-US" w:eastAsia="zh-CN"/>
              </w:rPr>
              <w:t>。</w:t>
            </w:r>
          </w:p>
          <w:p w14:paraId="2E17B263">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油水分离器对石油类的去除效率按75%计，参考《混凝沉淀+砂滤/活性炭工艺深度处理污水厂尾水的研究》（安徽建筑大学，2014年，殷玉蓉），“混凝沉淀+砂滤/活性炭”组合工艺对COD去除效率82.34%、对氨氮去除效率为35.73%，根据《混凝沉淀处理高浓度LAS废水研究》（傅冬平，企业技术开发，2010年3期），混凝沉淀对LAS去除效率可达70%以上；根据《污水混凝与絮凝处理工程技术规范》（HJ2006-2010）及《污水过滤处理工程技术规范》（HJ2008-2010）的规定，混凝沉淀对SS去除效率为50~60%</w:t>
            </w:r>
          </w:p>
          <w:p w14:paraId="5A5BD9FE">
            <w:pPr>
              <w:keepNext w:val="0"/>
              <w:keepLines w:val="0"/>
              <w:pageBreakBefore w:val="0"/>
              <w:widowControl w:val="0"/>
              <w:kinsoku/>
              <w:wordWrap/>
              <w:overflowPunct/>
              <w:topLinePunct w:val="0"/>
              <w:autoSpaceDE/>
              <w:autoSpaceDN/>
              <w:bidi w:val="0"/>
              <w:adjustRightInd/>
              <w:snapToGrid/>
              <w:spacing w:line="348" w:lineRule="auto"/>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综上，本评价采用“油水分离+混凝沉淀+过滤（砂滤、活性炭滤）”组合工艺，对废水对各污染物去除率取</w:t>
            </w:r>
            <w:r>
              <w:rPr>
                <w:rFonts w:hint="default" w:ascii="Times New Roman" w:hAnsi="Times New Roman" w:cs="Times New Roman"/>
                <w:color w:val="auto"/>
                <w:sz w:val="24"/>
                <w:highlight w:val="none"/>
                <w:lang w:val="en-US" w:eastAsia="zh-CN"/>
              </w:rPr>
              <w:t>COD</w:t>
            </w:r>
            <w:r>
              <w:rPr>
                <w:rFonts w:hint="eastAsia" w:ascii="Times New Roman" w:hAnsi="Times New Roman" w:cs="Times New Roman"/>
                <w:color w:val="auto"/>
                <w:sz w:val="24"/>
                <w:highlight w:val="none"/>
                <w:lang w:val="en-US" w:eastAsia="zh-CN"/>
              </w:rPr>
              <w:t>：70</w:t>
            </w:r>
            <w:r>
              <w:rPr>
                <w:rFonts w:hint="default" w:ascii="Times New Roman" w:hAnsi="Times New Roman" w:cs="Times New Roman"/>
                <w:color w:val="auto"/>
                <w:sz w:val="24"/>
                <w:highlight w:val="none"/>
                <w:lang w:val="en-US" w:eastAsia="zh-CN"/>
              </w:rPr>
              <w:t>%、石油类</w:t>
            </w:r>
            <w:r>
              <w:rPr>
                <w:rFonts w:hint="eastAsia" w:ascii="Times New Roman" w:hAnsi="Times New Roman" w:cs="Times New Roman"/>
                <w:color w:val="auto"/>
                <w:sz w:val="24"/>
                <w:highlight w:val="none"/>
                <w:lang w:val="en-US" w:eastAsia="zh-CN"/>
              </w:rPr>
              <w:t>：75</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、SS：80%</w:t>
            </w:r>
            <w:r>
              <w:rPr>
                <w:rFonts w:hint="default" w:ascii="Times New Roman" w:hAnsi="Times New Roman" w:cs="Times New Roman"/>
                <w:color w:val="auto"/>
                <w:sz w:val="24"/>
                <w:highlight w:val="none"/>
                <w:lang w:val="en-US" w:eastAsia="zh-CN"/>
              </w:rPr>
              <w:t>计</w:t>
            </w:r>
            <w:r>
              <w:rPr>
                <w:rFonts w:hint="eastAsia" w:ascii="Times New Roman" w:hAnsi="Times New Roman" w:cs="Times New Roman"/>
                <w:color w:val="auto"/>
                <w:sz w:val="24"/>
                <w:highlight w:val="none"/>
                <w:lang w:val="en-US" w:eastAsia="zh-CN"/>
              </w:rPr>
              <w:t>，氨氮：30%、LAS：70%计。</w:t>
            </w:r>
          </w:p>
          <w:p w14:paraId="4F176D97">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（2）职工生活污水</w:t>
            </w:r>
          </w:p>
          <w:p w14:paraId="7148EBD3">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lang w:eastAsia="zh-CN"/>
              </w:rPr>
              <w:t>根据</w:t>
            </w:r>
            <w:r>
              <w:rPr>
                <w:rFonts w:hint="eastAsia" w:ascii="Times New Roman" w:hAnsi="Times New Roman" w:cs="Times New Roman"/>
                <w:color w:val="auto"/>
                <w:sz w:val="24"/>
                <w:highlight w:val="none"/>
                <w:lang w:eastAsia="zh-CN"/>
              </w:rPr>
              <w:t>前文</w:t>
            </w:r>
            <w:r>
              <w:rPr>
                <w:rFonts w:hint="default" w:ascii="Times New Roman" w:hAnsi="Times New Roman" w:cs="Times New Roman"/>
                <w:color w:val="auto"/>
                <w:sz w:val="24"/>
                <w:highlight w:val="none"/>
                <w:lang w:eastAsia="zh-CN"/>
              </w:rPr>
              <w:t>项目</w:t>
            </w:r>
            <w:r>
              <w:rPr>
                <w:rFonts w:hint="eastAsia" w:ascii="Times New Roman" w:hAnsi="Times New Roman" w:cs="Times New Roman"/>
                <w:color w:val="auto"/>
                <w:sz w:val="24"/>
                <w:highlight w:val="none"/>
                <w:lang w:val="en-US" w:eastAsia="zh-CN"/>
              </w:rPr>
              <w:t>水平衡可知</w:t>
            </w:r>
            <w:r>
              <w:rPr>
                <w:rFonts w:hint="default" w:ascii="Times New Roman" w:hAnsi="Times New Roman" w:cs="Times New Roman"/>
                <w:color w:val="auto"/>
                <w:sz w:val="24"/>
                <w:highlight w:val="none"/>
                <w:lang w:eastAsia="zh-CN"/>
              </w:rPr>
              <w:t>，项目生活污水</w:t>
            </w:r>
            <w:r>
              <w:rPr>
                <w:rFonts w:hint="eastAsia" w:ascii="Times New Roman" w:hAnsi="Times New Roman" w:cs="Times New Roman"/>
                <w:color w:val="auto"/>
                <w:sz w:val="24"/>
                <w:highlight w:val="none"/>
                <w:lang w:val="en-US" w:eastAsia="zh-CN"/>
              </w:rPr>
              <w:t>排放量</w:t>
            </w:r>
            <w:r>
              <w:rPr>
                <w:rFonts w:hint="default" w:ascii="Times New Roman" w:hAnsi="Times New Roman" w:cs="Times New Roman"/>
                <w:color w:val="auto"/>
                <w:sz w:val="24"/>
                <w:highlight w:val="none"/>
                <w:lang w:eastAsia="zh-CN"/>
              </w:rPr>
              <w:t>为</w:t>
            </w:r>
            <w:r>
              <w:rPr>
                <w:rFonts w:hint="eastAsia" w:ascii="Times New Roman" w:hAnsi="Times New Roman" w:cs="Times New Roman"/>
                <w:color w:val="auto"/>
                <w:sz w:val="24"/>
                <w:highlight w:val="none"/>
                <w:lang w:val="en-US" w:eastAsia="zh-CN"/>
              </w:rPr>
              <w:t>2.25t/d(675t/a)</w:t>
            </w:r>
            <w:r>
              <w:rPr>
                <w:rFonts w:hint="default"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参考《给排水设计手册》(第五册城镇排水)</w:t>
            </w:r>
            <w:r>
              <w:rPr>
                <w:rFonts w:hint="eastAsia" w:cs="Times New Roman"/>
                <w:color w:val="auto"/>
                <w:sz w:val="24"/>
                <w:highlight w:val="none"/>
                <w:lang w:val="en-US" w:eastAsia="zh-CN"/>
              </w:rPr>
              <w:t>中4.2城镇污水水质</w:t>
            </w:r>
            <w:r>
              <w:rPr>
                <w:rFonts w:hint="eastAsia" w:ascii="Times New Roman" w:hAnsi="Times New Roman" w:eastAsia="宋体" w:cs="Times New Roman"/>
                <w:color w:val="auto"/>
                <w:sz w:val="24"/>
                <w:highlight w:val="none"/>
                <w:lang w:val="en-US" w:eastAsia="zh-CN"/>
              </w:rPr>
              <w:t>，项目职工产生的日常生活污水中各主要污染物浓度按COD：</w:t>
            </w:r>
            <w:r>
              <w:rPr>
                <w:rFonts w:hint="eastAsia" w:cs="Times New Roman"/>
                <w:color w:val="auto"/>
                <w:sz w:val="24"/>
                <w:highlight w:val="none"/>
                <w:lang w:val="en-US" w:eastAsia="zh-CN"/>
              </w:rPr>
              <w:t>300</w:t>
            </w:r>
            <w:r>
              <w:rPr>
                <w:rFonts w:hint="eastAsia" w:ascii="Times New Roman" w:hAnsi="Times New Roman" w:eastAsia="宋体" w:cs="Times New Roman"/>
                <w:color w:val="auto"/>
                <w:sz w:val="24"/>
                <w:highlight w:val="none"/>
                <w:lang w:val="en-US" w:eastAsia="zh-CN"/>
              </w:rPr>
              <w:t>mg/L，BOD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150</w:t>
            </w:r>
            <w:r>
              <w:rPr>
                <w:rFonts w:hint="eastAsia" w:ascii="Times New Roman" w:hAnsi="Times New Roman" w:eastAsia="宋体" w:cs="Times New Roman"/>
                <w:color w:val="auto"/>
                <w:sz w:val="24"/>
                <w:highlight w:val="none"/>
                <w:lang w:val="en-US" w:eastAsia="zh-CN"/>
              </w:rPr>
              <w:t>mg/L，SS：2</w:t>
            </w:r>
            <w:r>
              <w:rPr>
                <w:rFonts w:hint="eastAsia"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0mg/L，NH</w:t>
            </w:r>
            <w:r>
              <w:rPr>
                <w:rFonts w:hint="eastAsia" w:ascii="Times New Roman" w:hAnsi="Times New Roman" w:eastAsia="宋体" w:cs="Times New Roman"/>
                <w:color w:val="auto"/>
                <w:sz w:val="24"/>
                <w:highlight w:val="none"/>
                <w:vertAlign w:val="subscript"/>
                <w:lang w:val="en-US" w:eastAsia="zh-CN"/>
              </w:rPr>
              <w:t>3</w:t>
            </w:r>
            <w:r>
              <w:rPr>
                <w:rFonts w:hint="eastAsia" w:ascii="Times New Roman" w:hAnsi="Times New Roman" w:eastAsia="宋体" w:cs="Times New Roman"/>
                <w:color w:val="auto"/>
                <w:sz w:val="24"/>
                <w:highlight w:val="none"/>
                <w:lang w:val="en-US" w:eastAsia="zh-CN"/>
              </w:rPr>
              <w:t>-N：</w:t>
            </w:r>
            <w:r>
              <w:rPr>
                <w:rFonts w:hint="eastAsia" w:cs="Times New Roman"/>
                <w:color w:val="auto"/>
                <w:sz w:val="24"/>
                <w:highlight w:val="none"/>
                <w:lang w:val="en-US" w:eastAsia="zh-CN"/>
              </w:rPr>
              <w:t>25</w:t>
            </w:r>
            <w:r>
              <w:rPr>
                <w:rFonts w:hint="eastAsia" w:ascii="Times New Roman" w:hAnsi="Times New Roman" w:eastAsia="宋体" w:cs="Times New Roman"/>
                <w:color w:val="auto"/>
                <w:sz w:val="24"/>
                <w:highlight w:val="none"/>
                <w:lang w:val="en-US" w:eastAsia="zh-CN"/>
              </w:rPr>
              <w:t>mg/L计算。</w:t>
            </w:r>
            <w:r>
              <w:rPr>
                <w:rFonts w:hint="eastAsia" w:ascii="Times New Roman" w:hAnsi="Times New Roman" w:cs="Times New Roman"/>
                <w:color w:val="auto"/>
                <w:sz w:val="24"/>
                <w:szCs w:val="24"/>
                <w:highlight w:val="none"/>
                <w:lang w:val="en-US" w:eastAsia="zh-CN"/>
              </w:rPr>
              <w:t>项目生活污水中</w:t>
            </w:r>
            <w:r>
              <w:rPr>
                <w:rFonts w:hint="default" w:ascii="Times New Roman" w:hAnsi="Times New Roman" w:eastAsia="Times New Roman"/>
                <w:color w:val="auto"/>
                <w:sz w:val="24"/>
                <w:szCs w:val="24"/>
              </w:rPr>
              <w:t>COD</w:t>
            </w:r>
            <w:r>
              <w:rPr>
                <w:rFonts w:hint="default" w:ascii="Times New Roman" w:hAnsi="Times New Roman" w:eastAsia="Times New Roman"/>
                <w:color w:val="auto"/>
                <w:sz w:val="24"/>
                <w:szCs w:val="24"/>
                <w:vertAlign w:val="subscript"/>
              </w:rPr>
              <w:t>Cr</w:t>
            </w:r>
            <w:r>
              <w:rPr>
                <w:rFonts w:hint="default" w:ascii="Times New Roman" w:hAnsi="Times New Roman" w:eastAsia="宋体"/>
                <w:color w:val="auto"/>
                <w:sz w:val="24"/>
                <w:szCs w:val="24"/>
              </w:rPr>
              <w:t>、</w:t>
            </w:r>
            <w:r>
              <w:rPr>
                <w:rFonts w:hint="default" w:ascii="Times New Roman" w:hAnsi="Times New Roman" w:eastAsia="Times New Roman"/>
                <w:color w:val="auto"/>
                <w:sz w:val="24"/>
                <w:szCs w:val="24"/>
              </w:rPr>
              <w:t>BOD</w:t>
            </w:r>
            <w:r>
              <w:rPr>
                <w:rFonts w:hint="default" w:ascii="Times New Roman" w:hAnsi="Times New Roman" w:eastAsia="Times New Roman"/>
                <w:color w:val="auto"/>
                <w:sz w:val="24"/>
                <w:szCs w:val="24"/>
                <w:vertAlign w:val="subscript"/>
              </w:rPr>
              <w:t>5</w:t>
            </w:r>
            <w:r>
              <w:rPr>
                <w:rFonts w:hint="default" w:ascii="Times New Roman" w:hAnsi="Times New Roman" w:eastAsia="宋体"/>
                <w:color w:val="auto"/>
                <w:sz w:val="24"/>
                <w:szCs w:val="24"/>
              </w:rPr>
              <w:t>、</w:t>
            </w:r>
            <w:r>
              <w:rPr>
                <w:rFonts w:hint="default" w:ascii="Times New Roman" w:hAnsi="Times New Roman" w:eastAsia="宋体" w:cs="Times New Roman"/>
                <w:color w:val="auto"/>
                <w:sz w:val="24"/>
                <w:szCs w:val="24"/>
              </w:rPr>
              <w:t>氨氮的去除率参照</w:t>
            </w:r>
            <w:r>
              <w:rPr>
                <w:rFonts w:hint="eastAsia" w:ascii="Times New Roman" w:hAnsi="Times New Roman" w:eastAsia="宋体" w:cs="Times New Roman"/>
                <w:color w:val="auto"/>
                <w:sz w:val="24"/>
                <w:szCs w:val="24"/>
                <w:lang w:val="en-US" w:eastAsia="zh-CN"/>
              </w:rPr>
              <w:t>2019年4月生态环境部华南环境科学研究所发布的</w:t>
            </w:r>
            <w:r>
              <w:rPr>
                <w:rFonts w:hint="default" w:ascii="Times New Roman" w:hAnsi="Times New Roman" w:eastAsia="宋体" w:cs="Times New Roman"/>
                <w:color w:val="auto"/>
                <w:sz w:val="24"/>
                <w:szCs w:val="24"/>
              </w:rPr>
              <w:t>《第</w:t>
            </w:r>
            <w:r>
              <w:rPr>
                <w:rFonts w:hint="default"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rPr>
              <w:t>次全国污染源普查城镇生活污</w:t>
            </w:r>
            <w:r>
              <w:rPr>
                <w:rFonts w:hint="eastAsia" w:ascii="Times New Roman" w:hAnsi="Times New Roman" w:eastAsia="宋体" w:cs="Times New Roman"/>
                <w:color w:val="auto"/>
                <w:sz w:val="24"/>
                <w:szCs w:val="24"/>
                <w:lang w:eastAsia="zh-CN"/>
              </w:rPr>
              <w:t>染源</w:t>
            </w:r>
            <w:r>
              <w:rPr>
                <w:rFonts w:hint="default" w:ascii="Times New Roman" w:hAnsi="Times New Roman" w:eastAsia="宋体" w:cs="Times New Roman"/>
                <w:color w:val="auto"/>
                <w:sz w:val="24"/>
                <w:szCs w:val="24"/>
              </w:rPr>
              <w:t>产排污系数手册》</w:t>
            </w:r>
            <w:r>
              <w:rPr>
                <w:rFonts w:hint="default" w:ascii="Times New Roman" w:hAnsi="Times New Roman" w:eastAsia="宋体" w:cs="Times New Roman"/>
                <w:color w:val="auto"/>
                <w:sz w:val="24"/>
                <w:szCs w:val="24"/>
                <w:lang w:val="en-US" w:eastAsia="zh-CN"/>
              </w:rPr>
              <w:t>表6-4</w:t>
            </w:r>
            <w:r>
              <w:rPr>
                <w:rFonts w:hint="default" w:ascii="Times New Roman" w:hAnsi="Times New Roman" w:eastAsia="宋体" w:cs="Times New Roman"/>
                <w:color w:val="auto"/>
                <w:sz w:val="24"/>
                <w:szCs w:val="24"/>
              </w:rPr>
              <w:t>中</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lang w:val="en-US" w:eastAsia="zh-CN"/>
              </w:rPr>
              <w:t>四区二</w:t>
            </w:r>
            <w:r>
              <w:rPr>
                <w:rFonts w:hint="default" w:ascii="Times New Roman" w:hAnsi="Times New Roman" w:eastAsia="宋体" w:cs="Times New Roman"/>
                <w:color w:val="auto"/>
                <w:sz w:val="24"/>
                <w:szCs w:val="24"/>
              </w:rPr>
              <w:t>类区生活污水</w:t>
            </w:r>
            <w:r>
              <w:rPr>
                <w:rFonts w:hint="eastAsia" w:ascii="Times New Roman" w:hAnsi="Times New Roman" w:eastAsia="宋体" w:cs="Times New Roman"/>
                <w:color w:val="auto"/>
                <w:sz w:val="24"/>
                <w:szCs w:val="24"/>
                <w:lang w:val="en-US" w:eastAsia="zh-CN"/>
              </w:rPr>
              <w:t>污染物产生及排放系数</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lang w:val="en-US" w:eastAsia="zh-CN"/>
              </w:rPr>
              <w:t>初级处理排放系数（</w:t>
            </w:r>
            <w:r>
              <w:rPr>
                <w:rFonts w:hint="default" w:ascii="Times New Roman" w:hAnsi="Times New Roman" w:eastAsia="宋体" w:cs="Times New Roman"/>
                <w:color w:val="auto"/>
                <w:sz w:val="24"/>
                <w:szCs w:val="24"/>
              </w:rPr>
              <w:t>化粪池预处理后</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去除效率分别为</w:t>
            </w:r>
            <w:r>
              <w:rPr>
                <w:rFonts w:hint="default" w:ascii="Times New Roman" w:hAnsi="Times New Roman" w:eastAsia="宋体" w:cs="Times New Roman"/>
                <w:color w:val="auto"/>
                <w:sz w:val="24"/>
                <w:szCs w:val="24"/>
                <w:lang w:val="en-US" w:eastAsia="zh-CN"/>
              </w:rPr>
              <w:t>19.3</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12.7</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w:t>
            </w:r>
            <w:r>
              <w:rPr>
                <w:rFonts w:hint="default" w:ascii="Times New Roman" w:hAnsi="Times New Roman" w:eastAsia="Times New Roman" w:cs="Times New Roman"/>
                <w:color w:val="auto"/>
                <w:sz w:val="24"/>
                <w:szCs w:val="24"/>
              </w:rPr>
              <w:t>SS</w:t>
            </w:r>
            <w:r>
              <w:rPr>
                <w:rFonts w:hint="default" w:ascii="Times New Roman" w:hAnsi="Times New Roman" w:eastAsia="宋体" w:cs="Times New Roman"/>
                <w:color w:val="auto"/>
                <w:sz w:val="24"/>
                <w:szCs w:val="24"/>
              </w:rPr>
              <w:t>参照</w:t>
            </w:r>
            <w:r>
              <w:rPr>
                <w:rFonts w:hint="eastAsia" w:ascii="Times New Roman" w:hAnsi="Times New Roman" w:eastAsia="宋体" w:cs="Times New Roman"/>
                <w:color w:val="auto"/>
                <w:sz w:val="24"/>
                <w:szCs w:val="24"/>
                <w:lang w:val="en-US" w:eastAsia="zh-CN"/>
              </w:rPr>
              <w:t>原环境保护局发布的文件</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村镇生活污染防治最佳可行技术指南</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试行</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HJ-BAT-9</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中化粪池对</w:t>
            </w:r>
            <w:r>
              <w:rPr>
                <w:rFonts w:hint="default" w:ascii="Times New Roman" w:hAnsi="Times New Roman" w:eastAsia="Times New Roman" w:cs="Times New Roman"/>
                <w:color w:val="auto"/>
                <w:sz w:val="24"/>
                <w:szCs w:val="24"/>
                <w:highlight w:val="none"/>
              </w:rPr>
              <w:t>SS</w:t>
            </w:r>
            <w:r>
              <w:rPr>
                <w:rFonts w:hint="default" w:ascii="Times New Roman" w:hAnsi="Times New Roman" w:eastAsia="宋体" w:cs="Times New Roman"/>
                <w:color w:val="auto"/>
                <w:sz w:val="24"/>
                <w:szCs w:val="24"/>
                <w:highlight w:val="none"/>
              </w:rPr>
              <w:t>的去除率为</w:t>
            </w:r>
            <w:r>
              <w:rPr>
                <w:rFonts w:hint="eastAsia" w:ascii="Times New Roman" w:hAnsi="Times New Roman" w:eastAsia="宋体" w:cs="Times New Roman"/>
                <w:color w:val="auto"/>
                <w:sz w:val="24"/>
                <w:szCs w:val="24"/>
                <w:highlight w:val="none"/>
                <w:lang w:val="en-US" w:eastAsia="zh-CN"/>
              </w:rPr>
              <w:t>60%～70</w:t>
            </w:r>
            <w:r>
              <w:rPr>
                <w:rFonts w:hint="default" w:ascii="Times New Roman" w:hAnsi="Times New Roman" w:eastAsia="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本</w:t>
            </w:r>
            <w:r>
              <w:rPr>
                <w:rFonts w:hint="eastAsia" w:ascii="Times New Roman" w:hAnsi="Times New Roman" w:eastAsia="宋体" w:cs="Times New Roman"/>
                <w:color w:val="auto"/>
                <w:sz w:val="24"/>
                <w:szCs w:val="24"/>
                <w:lang w:val="en-US" w:eastAsia="zh-CN"/>
              </w:rPr>
              <w:t>评价按60%计算。</w:t>
            </w:r>
          </w:p>
          <w:p w14:paraId="52A80F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pacing w:val="0"/>
                <w:sz w:val="24"/>
                <w:szCs w:val="24"/>
                <w:highlight w:val="none"/>
              </w:rPr>
              <w:t>项目生活污水</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作业区露天区域初期雨水、清洁废水</w:t>
            </w:r>
            <w:r>
              <w:rPr>
                <w:rFonts w:hint="default" w:ascii="Times New Roman" w:hAnsi="Times New Roman" w:eastAsia="宋体" w:cs="Times New Roman"/>
                <w:color w:val="auto"/>
                <w:spacing w:val="0"/>
                <w:sz w:val="24"/>
                <w:szCs w:val="24"/>
                <w:highlight w:val="none"/>
              </w:rPr>
              <w:t>各污染物</w:t>
            </w:r>
            <w:r>
              <w:rPr>
                <w:rFonts w:hint="eastAsia" w:ascii="Times New Roman" w:hAnsi="Times New Roman" w:eastAsia="宋体" w:cs="Times New Roman"/>
                <w:color w:val="auto"/>
                <w:spacing w:val="0"/>
                <w:sz w:val="24"/>
                <w:szCs w:val="24"/>
                <w:highlight w:val="none"/>
                <w:lang w:eastAsia="zh-CN"/>
              </w:rPr>
              <w:t>产生及</w:t>
            </w:r>
            <w:r>
              <w:rPr>
                <w:rFonts w:hint="eastAsia" w:ascii="Times New Roman" w:hAnsi="Times New Roman" w:cs="Times New Roman"/>
                <w:color w:val="auto"/>
                <w:spacing w:val="0"/>
                <w:sz w:val="24"/>
                <w:szCs w:val="24"/>
                <w:highlight w:val="none"/>
                <w:lang w:eastAsia="zh-CN"/>
              </w:rPr>
              <w:t>排放</w:t>
            </w:r>
            <w:r>
              <w:rPr>
                <w:rFonts w:hint="default" w:ascii="Times New Roman" w:hAnsi="Times New Roman" w:eastAsia="宋体" w:cs="Times New Roman"/>
                <w:color w:val="auto"/>
                <w:spacing w:val="0"/>
                <w:sz w:val="24"/>
                <w:szCs w:val="24"/>
                <w:highlight w:val="none"/>
              </w:rPr>
              <w:t>源强情况见表</w:t>
            </w:r>
            <w:r>
              <w:rPr>
                <w:rFonts w:hint="eastAsia" w:ascii="Times New Roman" w:hAnsi="Times New Roman" w:eastAsia="宋体" w:cs="Times New Roman"/>
                <w:color w:val="auto"/>
                <w:spacing w:val="0"/>
                <w:sz w:val="24"/>
                <w:szCs w:val="24"/>
                <w:highlight w:val="none"/>
                <w:lang w:val="en-US" w:eastAsia="zh-CN"/>
              </w:rPr>
              <w:t>4.3-1</w:t>
            </w:r>
            <w:r>
              <w:rPr>
                <w:rFonts w:hint="default" w:ascii="Times New Roman" w:hAnsi="Times New Roman" w:eastAsia="宋体" w:cs="Times New Roman"/>
                <w:color w:val="auto"/>
                <w:spacing w:val="0"/>
                <w:sz w:val="24"/>
                <w:szCs w:val="24"/>
                <w:highlight w:val="none"/>
              </w:rPr>
              <w:t>。</w:t>
            </w:r>
          </w:p>
        </w:tc>
      </w:tr>
    </w:tbl>
    <w:p w14:paraId="517B645E">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12682"/>
      </w:tblGrid>
      <w:tr w14:paraId="0AD8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7" w:hRule="atLeast"/>
        </w:trPr>
        <w:tc>
          <w:tcPr>
            <w:tcW w:w="546" w:type="dxa"/>
            <w:noWrap w:val="0"/>
            <w:vAlign w:val="center"/>
          </w:tcPr>
          <w:p w14:paraId="53EC867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5EFCBF91">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7C5AE5F5">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7ADB269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3B1C03A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7389D0ED">
            <w:pPr>
              <w:adjustRightInd w:val="0"/>
              <w:snapToGrid w:val="0"/>
              <w:jc w:val="center"/>
              <w:rPr>
                <w:rFonts w:hint="eastAsia" w:ascii="Times New Roman" w:hAnsi="Times New Roman" w:eastAsia="黑体" w:cs="Times New Roman"/>
                <w:color w:val="auto"/>
                <w:sz w:val="24"/>
                <w:szCs w:val="24"/>
                <w:vertAlign w:val="baseline"/>
                <w:lang w:val="en-US" w:eastAsia="zh-CN"/>
              </w:rPr>
            </w:pPr>
            <w:r>
              <w:rPr>
                <w:rFonts w:hint="default" w:ascii="Times New Roman" w:hAnsi="Times New Roman" w:cs="Times New Roman"/>
                <w:bCs/>
                <w:color w:val="auto"/>
                <w:szCs w:val="21"/>
              </w:rPr>
              <w:t>措施</w:t>
            </w:r>
          </w:p>
        </w:tc>
        <w:tc>
          <w:tcPr>
            <w:tcW w:w="12682" w:type="dxa"/>
            <w:noWrap w:val="0"/>
            <w:vAlign w:val="center"/>
          </w:tcPr>
          <w:p w14:paraId="402155BB">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lang w:eastAsia="zh-CN"/>
              </w:rPr>
            </w:pPr>
            <w:r>
              <w:rPr>
                <w:rFonts w:hint="eastAsia" w:ascii="Times New Roman" w:hAnsi="Times New Roman" w:eastAsia="黑体" w:cs="Times New Roman"/>
                <w:color w:val="auto"/>
                <w:sz w:val="24"/>
                <w:szCs w:val="24"/>
                <w:lang w:val="en-US" w:eastAsia="zh-CN"/>
              </w:rPr>
              <w:t xml:space="preserve">表4.3-2 </w:t>
            </w:r>
            <w:r>
              <w:rPr>
                <w:rFonts w:hint="eastAsia" w:ascii="Times New Roman" w:hAnsi="Times New Roman" w:eastAsia="宋体" w:cs="Times New Roman"/>
                <w:color w:val="auto"/>
                <w:spacing w:val="0"/>
                <w:sz w:val="24"/>
                <w:szCs w:val="24"/>
                <w:highlight w:val="none"/>
                <w:lang w:val="en-US" w:eastAsia="zh-CN"/>
              </w:rPr>
              <w:t xml:space="preserve"> </w:t>
            </w:r>
            <w:r>
              <w:rPr>
                <w:rFonts w:hint="default" w:ascii="Times New Roman" w:hAnsi="Times New Roman" w:eastAsia="黑体" w:cs="Times New Roman"/>
                <w:color w:val="auto"/>
                <w:sz w:val="24"/>
                <w:szCs w:val="24"/>
                <w:lang w:val="en-US" w:eastAsia="zh-CN"/>
              </w:rPr>
              <w:t>项目</w:t>
            </w:r>
            <w:r>
              <w:rPr>
                <w:rFonts w:hint="eastAsia" w:ascii="Times New Roman" w:hAnsi="Times New Roman" w:eastAsia="黑体" w:cs="Times New Roman"/>
                <w:color w:val="auto"/>
                <w:sz w:val="24"/>
                <w:szCs w:val="24"/>
                <w:lang w:eastAsia="zh-CN"/>
              </w:rPr>
              <w:t>污水</w:t>
            </w:r>
            <w:r>
              <w:rPr>
                <w:rFonts w:hint="default" w:ascii="Times New Roman" w:hAnsi="Times New Roman" w:eastAsia="黑体" w:cs="Times New Roman"/>
                <w:color w:val="auto"/>
                <w:sz w:val="24"/>
                <w:szCs w:val="24"/>
                <w:lang w:eastAsia="zh-CN"/>
              </w:rPr>
              <w:t>污染源源强核算结果及相关参数一览表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3"/>
              <w:gridCol w:w="554"/>
              <w:gridCol w:w="594"/>
              <w:gridCol w:w="236"/>
              <w:gridCol w:w="511"/>
              <w:gridCol w:w="539"/>
              <w:gridCol w:w="701"/>
              <w:gridCol w:w="564"/>
              <w:gridCol w:w="521"/>
              <w:gridCol w:w="491"/>
              <w:gridCol w:w="521"/>
              <w:gridCol w:w="506"/>
              <w:gridCol w:w="644"/>
              <w:gridCol w:w="439"/>
              <w:gridCol w:w="943"/>
              <w:gridCol w:w="424"/>
              <w:gridCol w:w="806"/>
              <w:gridCol w:w="551"/>
              <w:gridCol w:w="1142"/>
              <w:gridCol w:w="516"/>
              <w:gridCol w:w="993"/>
            </w:tblGrid>
            <w:tr w14:paraId="60C3D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restart"/>
                  <w:noWrap w:val="0"/>
                  <w:vAlign w:val="center"/>
                </w:tcPr>
                <w:p w14:paraId="070E628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产排污环节</w:t>
                  </w:r>
                </w:p>
              </w:tc>
              <w:tc>
                <w:tcPr>
                  <w:tcW w:w="222" w:type="pct"/>
                  <w:vMerge w:val="restart"/>
                  <w:noWrap w:val="0"/>
                  <w:vAlign w:val="center"/>
                </w:tcPr>
                <w:p w14:paraId="79BBD34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类别</w:t>
                  </w:r>
                </w:p>
              </w:tc>
              <w:tc>
                <w:tcPr>
                  <w:tcW w:w="238" w:type="pct"/>
                  <w:vMerge w:val="restart"/>
                  <w:noWrap w:val="0"/>
                  <w:vAlign w:val="center"/>
                </w:tcPr>
                <w:p w14:paraId="4D61C1E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污染物种类</w:t>
                  </w:r>
                </w:p>
              </w:tc>
              <w:tc>
                <w:tcPr>
                  <w:tcW w:w="796" w:type="pct"/>
                  <w:gridSpan w:val="4"/>
                  <w:noWrap w:val="0"/>
                  <w:vAlign w:val="center"/>
                </w:tcPr>
                <w:p w14:paraId="6D81649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污染源产生</w:t>
                  </w:r>
                </w:p>
              </w:tc>
              <w:tc>
                <w:tcPr>
                  <w:tcW w:w="632" w:type="pct"/>
                  <w:gridSpan w:val="3"/>
                  <w:noWrap w:val="0"/>
                  <w:vAlign w:val="center"/>
                </w:tcPr>
                <w:p w14:paraId="2F9B2683">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治理措施</w:t>
                  </w:r>
                </w:p>
              </w:tc>
              <w:tc>
                <w:tcPr>
                  <w:tcW w:w="670" w:type="pct"/>
                  <w:gridSpan w:val="3"/>
                  <w:noWrap w:val="0"/>
                  <w:vAlign w:val="center"/>
                </w:tcPr>
                <w:p w14:paraId="5769B99F">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污染物排放</w:t>
                  </w:r>
                </w:p>
              </w:tc>
              <w:tc>
                <w:tcPr>
                  <w:tcW w:w="176" w:type="pct"/>
                  <w:vMerge w:val="restart"/>
                  <w:noWrap w:val="0"/>
                  <w:vAlign w:val="center"/>
                </w:tcPr>
                <w:p w14:paraId="06FAB2C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排放</w:t>
                  </w:r>
                </w:p>
                <w:p w14:paraId="562C19B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方式</w:t>
                  </w:r>
                </w:p>
              </w:tc>
              <w:tc>
                <w:tcPr>
                  <w:tcW w:w="378" w:type="pct"/>
                  <w:vMerge w:val="restart"/>
                  <w:noWrap w:val="0"/>
                  <w:vAlign w:val="center"/>
                </w:tcPr>
                <w:p w14:paraId="6E945DA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lang w:eastAsia="zh-CN"/>
                    </w:rPr>
                    <w:t>排放去向</w:t>
                  </w:r>
                </w:p>
              </w:tc>
              <w:tc>
                <w:tcPr>
                  <w:tcW w:w="170" w:type="pct"/>
                  <w:vMerge w:val="restart"/>
                  <w:noWrap w:val="0"/>
                  <w:vAlign w:val="center"/>
                </w:tcPr>
                <w:p w14:paraId="55291FA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lang w:eastAsia="zh-CN"/>
                    </w:rPr>
                    <w:t>排放规律</w:t>
                  </w:r>
                </w:p>
              </w:tc>
              <w:tc>
                <w:tcPr>
                  <w:tcW w:w="1002" w:type="pct"/>
                  <w:gridSpan w:val="3"/>
                  <w:noWrap w:val="0"/>
                  <w:vAlign w:val="center"/>
                </w:tcPr>
                <w:p w14:paraId="7DD6437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排放口基本情况</w:t>
                  </w:r>
                </w:p>
              </w:tc>
              <w:tc>
                <w:tcPr>
                  <w:tcW w:w="207" w:type="pct"/>
                  <w:vMerge w:val="restart"/>
                  <w:noWrap w:val="0"/>
                  <w:vAlign w:val="center"/>
                </w:tcPr>
                <w:p w14:paraId="6A617590">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w:t>
                  </w:r>
                </w:p>
                <w:p w14:paraId="0167E71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时间</w:t>
                  </w:r>
                </w:p>
                <w:p w14:paraId="4E06898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h</w:t>
                  </w:r>
                </w:p>
              </w:tc>
              <w:tc>
                <w:tcPr>
                  <w:tcW w:w="398" w:type="pct"/>
                  <w:noWrap w:val="0"/>
                  <w:vAlign w:val="center"/>
                </w:tcPr>
                <w:p w14:paraId="0FD260A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Cs/>
                      <w:color w:val="auto"/>
                      <w:sz w:val="18"/>
                      <w:szCs w:val="18"/>
                      <w:highlight w:val="none"/>
                    </w:rPr>
                    <w:t>排放标准</w:t>
                  </w:r>
                  <w:r>
                    <w:rPr>
                      <w:rFonts w:hint="eastAsia" w:ascii="Times New Roman" w:hAnsi="Times New Roman" w:eastAsia="宋体" w:cs="Times New Roman"/>
                      <w:bCs/>
                      <w:color w:val="auto"/>
                      <w:sz w:val="18"/>
                      <w:szCs w:val="18"/>
                      <w:highlight w:val="none"/>
                      <w:lang w:val="en-US" w:eastAsia="zh-CN"/>
                    </w:rPr>
                    <w:t>/回用标准</w:t>
                  </w:r>
                </w:p>
              </w:tc>
            </w:tr>
            <w:tr w14:paraId="392B1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13A3AC4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6077DBD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vMerge w:val="continue"/>
                  <w:noWrap w:val="0"/>
                  <w:vAlign w:val="center"/>
                </w:tcPr>
                <w:p w14:paraId="28182E4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94" w:type="pct"/>
                  <w:noWrap w:val="0"/>
                  <w:vAlign w:val="center"/>
                </w:tcPr>
                <w:p w14:paraId="0A7120FF">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核算</w:t>
                  </w:r>
                </w:p>
                <w:p w14:paraId="1FDD954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方法</w:t>
                  </w:r>
                </w:p>
              </w:tc>
              <w:tc>
                <w:tcPr>
                  <w:tcW w:w="205" w:type="pct"/>
                  <w:noWrap w:val="0"/>
                  <w:vAlign w:val="center"/>
                </w:tcPr>
                <w:p w14:paraId="40D710C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产生废水量</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/a</w:t>
                  </w:r>
                </w:p>
              </w:tc>
              <w:tc>
                <w:tcPr>
                  <w:tcW w:w="216" w:type="pct"/>
                  <w:noWrap w:val="0"/>
                  <w:vAlign w:val="center"/>
                </w:tcPr>
                <w:p w14:paraId="5F5E4A1E">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产生浓度</w:t>
                  </w:r>
                </w:p>
                <w:p w14:paraId="40A9E4EA">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mg/L</w:t>
                  </w:r>
                </w:p>
              </w:tc>
              <w:tc>
                <w:tcPr>
                  <w:tcW w:w="280" w:type="pct"/>
                  <w:noWrap w:val="0"/>
                  <w:vAlign w:val="center"/>
                </w:tcPr>
                <w:p w14:paraId="018D2F0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产生量</w:t>
                  </w:r>
                </w:p>
                <w:p w14:paraId="7789978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t/a</w:t>
                  </w:r>
                </w:p>
              </w:tc>
              <w:tc>
                <w:tcPr>
                  <w:tcW w:w="226" w:type="pct"/>
                  <w:noWrap w:val="0"/>
                  <w:vAlign w:val="center"/>
                </w:tcPr>
                <w:p w14:paraId="5D554A99">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处理能力</w:t>
                  </w:r>
                </w:p>
              </w:tc>
              <w:tc>
                <w:tcPr>
                  <w:tcW w:w="209" w:type="pct"/>
                  <w:noWrap w:val="0"/>
                  <w:vAlign w:val="center"/>
                </w:tcPr>
                <w:p w14:paraId="623FA8A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治理</w:t>
                  </w:r>
                  <w:r>
                    <w:rPr>
                      <w:rFonts w:hint="default" w:ascii="Times New Roman" w:hAnsi="Times New Roman" w:eastAsia="宋体" w:cs="Times New Roman"/>
                      <w:bCs/>
                      <w:color w:val="auto"/>
                      <w:sz w:val="18"/>
                      <w:szCs w:val="18"/>
                      <w:highlight w:val="none"/>
                      <w:lang w:eastAsia="zh-CN"/>
                    </w:rPr>
                    <w:t>效率</w:t>
                  </w:r>
                </w:p>
              </w:tc>
              <w:tc>
                <w:tcPr>
                  <w:tcW w:w="197" w:type="pct"/>
                  <w:noWrap w:val="0"/>
                  <w:vAlign w:val="center"/>
                </w:tcPr>
                <w:p w14:paraId="284352C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是否为可行技术</w:t>
                  </w:r>
                </w:p>
              </w:tc>
              <w:tc>
                <w:tcPr>
                  <w:tcW w:w="209" w:type="pct"/>
                  <w:noWrap w:val="0"/>
                  <w:vAlign w:val="center"/>
                </w:tcPr>
                <w:p w14:paraId="34A95CD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排放废水量</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r>
                    <w:rPr>
                      <w:rFonts w:hint="eastAsia" w:ascii="Times New Roman" w:hAnsi="Times New Roman" w:cs="Times New Roman"/>
                      <w:color w:val="auto"/>
                      <w:sz w:val="18"/>
                      <w:szCs w:val="18"/>
                      <w:highlight w:val="none"/>
                      <w:lang w:val="en-US" w:eastAsia="zh-CN"/>
                    </w:rPr>
                    <w:t>a</w:t>
                  </w:r>
                </w:p>
              </w:tc>
              <w:tc>
                <w:tcPr>
                  <w:tcW w:w="203" w:type="pct"/>
                  <w:noWrap w:val="0"/>
                  <w:vAlign w:val="center"/>
                </w:tcPr>
                <w:p w14:paraId="030C61B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排放浓度</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mg/L</w:t>
                  </w:r>
                </w:p>
              </w:tc>
              <w:tc>
                <w:tcPr>
                  <w:tcW w:w="258" w:type="pct"/>
                  <w:noWrap w:val="0"/>
                  <w:vAlign w:val="center"/>
                </w:tcPr>
                <w:p w14:paraId="3589FC9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排放量</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回用量</w:t>
                  </w:r>
                  <w:r>
                    <w:rPr>
                      <w:rFonts w:hint="eastAsia" w:ascii="Times New Roman" w:hAnsi="Times New Roman" w:eastAsia="宋体" w:cs="Times New Roman"/>
                      <w:color w:val="auto"/>
                      <w:sz w:val="18"/>
                      <w:szCs w:val="18"/>
                      <w:highlight w:val="none"/>
                      <w:lang w:eastAsia="zh-CN"/>
                    </w:rPr>
                    <w:t>）</w:t>
                  </w:r>
                </w:p>
                <w:p w14:paraId="52BB0805">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t/a</w:t>
                  </w:r>
                </w:p>
              </w:tc>
              <w:tc>
                <w:tcPr>
                  <w:tcW w:w="176" w:type="pct"/>
                  <w:vMerge w:val="continue"/>
                  <w:noWrap w:val="0"/>
                  <w:vAlign w:val="center"/>
                </w:tcPr>
                <w:p w14:paraId="75C1FFD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78" w:type="pct"/>
                  <w:vMerge w:val="continue"/>
                  <w:noWrap w:val="0"/>
                  <w:vAlign w:val="center"/>
                </w:tcPr>
                <w:p w14:paraId="69F2D2F3">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15D0B79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noWrap w:val="0"/>
                  <w:vAlign w:val="center"/>
                </w:tcPr>
                <w:p w14:paraId="7EAFCB5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编号及</w:t>
                  </w:r>
                </w:p>
                <w:p w14:paraId="5EDFB7A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名称</w:t>
                  </w:r>
                </w:p>
              </w:tc>
              <w:tc>
                <w:tcPr>
                  <w:tcW w:w="221" w:type="pct"/>
                  <w:noWrap w:val="0"/>
                  <w:vAlign w:val="center"/>
                </w:tcPr>
                <w:p w14:paraId="2BDD544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类型</w:t>
                  </w:r>
                </w:p>
              </w:tc>
              <w:tc>
                <w:tcPr>
                  <w:tcW w:w="458" w:type="pct"/>
                  <w:noWrap w:val="0"/>
                  <w:vAlign w:val="center"/>
                </w:tcPr>
                <w:p w14:paraId="60A3A84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地理</w:t>
                  </w:r>
                </w:p>
                <w:p w14:paraId="04ED2D0C">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坐标</w:t>
                  </w:r>
                </w:p>
              </w:tc>
              <w:tc>
                <w:tcPr>
                  <w:tcW w:w="207" w:type="pct"/>
                  <w:vMerge w:val="continue"/>
                  <w:noWrap w:val="0"/>
                  <w:vAlign w:val="center"/>
                </w:tcPr>
                <w:p w14:paraId="6EFE042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0A9081D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浓度</w:t>
                  </w:r>
                </w:p>
                <w:p w14:paraId="5E9162EF">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mg/L</w:t>
                  </w:r>
                </w:p>
              </w:tc>
            </w:tr>
            <w:tr w14:paraId="6E0ED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restart"/>
                  <w:noWrap w:val="0"/>
                  <w:vAlign w:val="center"/>
                </w:tcPr>
                <w:p w14:paraId="15847163">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eastAsia="zh-CN"/>
                    </w:rPr>
                    <w:t>职工</w:t>
                  </w:r>
                </w:p>
                <w:p w14:paraId="492108B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生活</w:t>
                  </w:r>
                </w:p>
              </w:tc>
              <w:tc>
                <w:tcPr>
                  <w:tcW w:w="222" w:type="pct"/>
                  <w:vMerge w:val="restart"/>
                  <w:noWrap w:val="0"/>
                  <w:vAlign w:val="center"/>
                </w:tcPr>
                <w:p w14:paraId="7366916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eastAsia="zh-CN"/>
                    </w:rPr>
                    <w:t>生活</w:t>
                  </w:r>
                </w:p>
                <w:p w14:paraId="6A0B8D2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eastAsia="zh-CN"/>
                    </w:rPr>
                    <w:t>污水</w:t>
                  </w:r>
                </w:p>
                <w:p w14:paraId="731AF040">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38" w:type="pct"/>
                  <w:noWrap w:val="0"/>
                  <w:vAlign w:val="center"/>
                </w:tcPr>
                <w:p w14:paraId="533EB46E">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bCs/>
                      <w:color w:val="auto"/>
                      <w:sz w:val="18"/>
                      <w:szCs w:val="18"/>
                      <w:highlight w:val="none"/>
                      <w:lang w:val="en-US" w:eastAsia="zh-CN"/>
                    </w:rPr>
                    <w:t>pH</w:t>
                  </w:r>
                </w:p>
              </w:tc>
              <w:tc>
                <w:tcPr>
                  <w:tcW w:w="94" w:type="pct"/>
                  <w:vMerge w:val="restart"/>
                  <w:noWrap w:val="0"/>
                  <w:vAlign w:val="center"/>
                </w:tcPr>
                <w:p w14:paraId="2EAA62A0">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产污系数法</w:t>
                  </w:r>
                </w:p>
              </w:tc>
              <w:tc>
                <w:tcPr>
                  <w:tcW w:w="205" w:type="pct"/>
                  <w:vMerge w:val="restart"/>
                  <w:noWrap w:val="0"/>
                  <w:vAlign w:val="center"/>
                </w:tcPr>
                <w:p w14:paraId="2BEED3CE">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bidi="ar-SA"/>
                    </w:rPr>
                    <w:t>675</w:t>
                  </w:r>
                </w:p>
              </w:tc>
              <w:tc>
                <w:tcPr>
                  <w:tcW w:w="216" w:type="pct"/>
                  <w:noWrap w:val="0"/>
                  <w:vAlign w:val="center"/>
                </w:tcPr>
                <w:p w14:paraId="7657F96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6-9（无量纲）</w:t>
                  </w:r>
                </w:p>
              </w:tc>
              <w:tc>
                <w:tcPr>
                  <w:tcW w:w="280" w:type="pct"/>
                  <w:noWrap w:val="0"/>
                  <w:vAlign w:val="center"/>
                </w:tcPr>
                <w:p w14:paraId="71578A0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w:t>
                  </w:r>
                </w:p>
              </w:tc>
              <w:tc>
                <w:tcPr>
                  <w:tcW w:w="226" w:type="pct"/>
                  <w:vMerge w:val="restart"/>
                  <w:noWrap w:val="0"/>
                  <w:vAlign w:val="center"/>
                </w:tcPr>
                <w:p w14:paraId="1BF992A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eastAsia="zh-CN"/>
                    </w:rPr>
                    <w:t>化粪池</w:t>
                  </w:r>
                </w:p>
              </w:tc>
              <w:tc>
                <w:tcPr>
                  <w:tcW w:w="209" w:type="pct"/>
                  <w:noWrap w:val="0"/>
                  <w:vAlign w:val="center"/>
                </w:tcPr>
                <w:p w14:paraId="63BEEBB4">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97" w:type="pct"/>
                  <w:vMerge w:val="restart"/>
                  <w:noWrap w:val="0"/>
                  <w:vAlign w:val="center"/>
                </w:tcPr>
                <w:p w14:paraId="15C9FB1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209" w:type="pct"/>
                  <w:vMerge w:val="restart"/>
                  <w:noWrap w:val="0"/>
                  <w:vAlign w:val="center"/>
                </w:tcPr>
                <w:p w14:paraId="48E2E0A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675</w:t>
                  </w:r>
                </w:p>
              </w:tc>
              <w:tc>
                <w:tcPr>
                  <w:tcW w:w="203" w:type="pct"/>
                  <w:noWrap w:val="0"/>
                  <w:vAlign w:val="center"/>
                </w:tcPr>
                <w:p w14:paraId="21A6490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6-9（无量纲）</w:t>
                  </w:r>
                </w:p>
              </w:tc>
              <w:tc>
                <w:tcPr>
                  <w:tcW w:w="258" w:type="pct"/>
                  <w:noWrap w:val="0"/>
                  <w:vAlign w:val="center"/>
                </w:tcPr>
                <w:p w14:paraId="22C18A08">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bidi="ar-SA"/>
                    </w:rPr>
                    <w:t>/</w:t>
                  </w:r>
                </w:p>
              </w:tc>
              <w:tc>
                <w:tcPr>
                  <w:tcW w:w="176" w:type="pct"/>
                  <w:vMerge w:val="restart"/>
                  <w:noWrap w:val="0"/>
                  <w:vAlign w:val="center"/>
                </w:tcPr>
                <w:p w14:paraId="252A135A">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lang w:eastAsia="zh-CN"/>
                    </w:rPr>
                    <w:t>间接排放</w:t>
                  </w:r>
                </w:p>
              </w:tc>
              <w:tc>
                <w:tcPr>
                  <w:tcW w:w="378" w:type="pct"/>
                  <w:vMerge w:val="restart"/>
                  <w:noWrap w:val="0"/>
                  <w:vAlign w:val="center"/>
                </w:tcPr>
                <w:p w14:paraId="625A385A">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lang w:eastAsia="zh-CN"/>
                    </w:rPr>
                    <w:t>排入</w:t>
                  </w:r>
                  <w:r>
                    <w:rPr>
                      <w:rFonts w:hint="eastAsia" w:ascii="Times New Roman" w:hAnsi="Times New Roman" w:eastAsia="宋体" w:cs="Times New Roman"/>
                      <w:bCs/>
                      <w:color w:val="auto"/>
                      <w:sz w:val="18"/>
                      <w:szCs w:val="18"/>
                      <w:highlight w:val="none"/>
                      <w:lang w:eastAsia="zh-CN"/>
                    </w:rPr>
                    <w:t>松下镇山前村污水管网，</w:t>
                  </w:r>
                  <w:r>
                    <w:rPr>
                      <w:rFonts w:hint="default" w:ascii="Times New Roman" w:hAnsi="Times New Roman" w:eastAsia="宋体" w:cs="Times New Roman"/>
                      <w:bCs/>
                      <w:color w:val="auto"/>
                      <w:sz w:val="18"/>
                      <w:szCs w:val="18"/>
                      <w:highlight w:val="none"/>
                      <w:lang w:val="en-US" w:eastAsia="zh-CN"/>
                    </w:rPr>
                    <w:t>送往</w:t>
                  </w:r>
                  <w:r>
                    <w:rPr>
                      <w:rFonts w:hint="eastAsia" w:ascii="Times New Roman" w:hAnsi="Times New Roman" w:cs="Times New Roman"/>
                      <w:bCs/>
                      <w:color w:val="auto"/>
                      <w:sz w:val="18"/>
                      <w:szCs w:val="18"/>
                      <w:highlight w:val="none"/>
                      <w:lang w:eastAsia="zh-CN"/>
                    </w:rPr>
                    <w:t>福州市长乐区松下镇山前村污水处理站</w:t>
                  </w:r>
                  <w:r>
                    <w:rPr>
                      <w:rFonts w:hint="default" w:ascii="Times New Roman" w:hAnsi="Times New Roman" w:eastAsia="宋体" w:cs="Times New Roman"/>
                      <w:bCs/>
                      <w:color w:val="auto"/>
                      <w:sz w:val="18"/>
                      <w:szCs w:val="18"/>
                      <w:highlight w:val="none"/>
                      <w:lang w:eastAsia="zh-CN"/>
                    </w:rPr>
                    <w:t>集中处理</w:t>
                  </w:r>
                </w:p>
              </w:tc>
              <w:tc>
                <w:tcPr>
                  <w:tcW w:w="170" w:type="pct"/>
                  <w:vMerge w:val="restart"/>
                  <w:noWrap w:val="0"/>
                  <w:vAlign w:val="center"/>
                </w:tcPr>
                <w:p w14:paraId="0962AE2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lang w:eastAsia="zh-CN"/>
                    </w:rPr>
                    <w:t>间歇排放</w:t>
                  </w:r>
                </w:p>
              </w:tc>
              <w:tc>
                <w:tcPr>
                  <w:tcW w:w="323" w:type="pct"/>
                  <w:vMerge w:val="restart"/>
                  <w:noWrap w:val="0"/>
                  <w:vAlign w:val="center"/>
                </w:tcPr>
                <w:p w14:paraId="2461F9E3">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编号D</w:t>
                  </w:r>
                  <w:r>
                    <w:rPr>
                      <w:rFonts w:hint="default" w:ascii="Times New Roman" w:hAnsi="Times New Roman" w:eastAsia="宋体" w:cs="Times New Roman"/>
                      <w:bCs/>
                      <w:color w:val="auto"/>
                      <w:sz w:val="18"/>
                      <w:szCs w:val="18"/>
                      <w:highlight w:val="none"/>
                      <w:lang w:val="en-US" w:eastAsia="zh-CN"/>
                    </w:rPr>
                    <w:t>W</w:t>
                  </w:r>
                  <w:r>
                    <w:rPr>
                      <w:rFonts w:hint="default" w:ascii="Times New Roman" w:hAnsi="Times New Roman" w:eastAsia="宋体" w:cs="Times New Roman"/>
                      <w:bCs/>
                      <w:color w:val="auto"/>
                      <w:sz w:val="18"/>
                      <w:szCs w:val="18"/>
                      <w:highlight w:val="none"/>
                    </w:rPr>
                    <w:t>00</w:t>
                  </w:r>
                  <w:r>
                    <w:rPr>
                      <w:rFonts w:hint="eastAsia" w:ascii="Times New Roman" w:hAnsi="Times New Roman" w:cs="Times New Roman"/>
                      <w:bCs/>
                      <w:color w:val="auto"/>
                      <w:sz w:val="18"/>
                      <w:szCs w:val="18"/>
                      <w:highlight w:val="none"/>
                      <w:lang w:val="en-US" w:eastAsia="zh-CN"/>
                    </w:rPr>
                    <w:t>1</w:t>
                  </w:r>
                  <w:r>
                    <w:rPr>
                      <w:rFonts w:hint="default" w:ascii="Times New Roman" w:hAnsi="Times New Roman" w:eastAsia="宋体" w:cs="Times New Roman"/>
                      <w:bCs/>
                      <w:color w:val="auto"/>
                      <w:sz w:val="18"/>
                      <w:szCs w:val="18"/>
                      <w:highlight w:val="none"/>
                    </w:rPr>
                    <w:t>，</w:t>
                  </w:r>
                  <w:r>
                    <w:rPr>
                      <w:rStyle w:val="22"/>
                      <w:rFonts w:hint="default" w:ascii="Times New Roman" w:hAnsi="Times New Roman" w:eastAsia="宋体" w:cs="Times New Roman"/>
                      <w:color w:val="auto"/>
                      <w:kern w:val="2"/>
                      <w:sz w:val="18"/>
                      <w:szCs w:val="18"/>
                      <w:highlight w:val="none"/>
                      <w:lang w:val="en-US" w:eastAsia="zh-CN" w:bidi="ar-SA"/>
                    </w:rPr>
                    <w:t>厂区</w:t>
                  </w:r>
                  <w:r>
                    <w:rPr>
                      <w:rStyle w:val="22"/>
                      <w:rFonts w:hint="eastAsia" w:ascii="Times New Roman" w:hAnsi="Times New Roman" w:cs="Times New Roman"/>
                      <w:color w:val="auto"/>
                      <w:kern w:val="2"/>
                      <w:sz w:val="18"/>
                      <w:szCs w:val="18"/>
                      <w:highlight w:val="none"/>
                      <w:lang w:val="en-US" w:eastAsia="zh-CN" w:bidi="ar-SA"/>
                    </w:rPr>
                    <w:t>污水</w:t>
                  </w:r>
                  <w:r>
                    <w:rPr>
                      <w:rStyle w:val="22"/>
                      <w:rFonts w:hint="default" w:ascii="Times New Roman" w:hAnsi="Times New Roman" w:eastAsia="宋体" w:cs="Times New Roman"/>
                      <w:color w:val="auto"/>
                      <w:kern w:val="2"/>
                      <w:sz w:val="18"/>
                      <w:szCs w:val="18"/>
                      <w:highlight w:val="none"/>
                      <w:lang w:val="en-US" w:eastAsia="zh-CN" w:bidi="ar-SA"/>
                    </w:rPr>
                    <w:t>总排口</w:t>
                  </w:r>
                </w:p>
              </w:tc>
              <w:tc>
                <w:tcPr>
                  <w:tcW w:w="221" w:type="pct"/>
                  <w:vMerge w:val="restart"/>
                  <w:noWrap w:val="0"/>
                  <w:vAlign w:val="center"/>
                </w:tcPr>
                <w:p w14:paraId="101599C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一般排放口</w:t>
                  </w:r>
                </w:p>
              </w:tc>
              <w:tc>
                <w:tcPr>
                  <w:tcW w:w="458" w:type="pct"/>
                  <w:vMerge w:val="restart"/>
                  <w:noWrap w:val="0"/>
                  <w:vAlign w:val="center"/>
                </w:tcPr>
                <w:p w14:paraId="39C0387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kern w:val="2"/>
                      <w:sz w:val="18"/>
                      <w:szCs w:val="18"/>
                      <w:highlight w:val="none"/>
                      <w:lang w:val="en-US" w:eastAsia="zh-CN" w:bidi="ar-SA"/>
                    </w:rPr>
                    <w:t>经度：</w:t>
                  </w:r>
                </w:p>
                <w:p w14:paraId="6E36ECFE">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kern w:val="2"/>
                      <w:sz w:val="18"/>
                      <w:szCs w:val="18"/>
                      <w:highlight w:val="none"/>
                      <w:lang w:val="en-US" w:eastAsia="zh-CN" w:bidi="ar-SA"/>
                    </w:rPr>
                    <w:t>119°35′</w:t>
                  </w:r>
                  <w:r>
                    <w:rPr>
                      <w:rFonts w:hint="eastAsia" w:ascii="Times New Roman" w:hAnsi="Times New Roman" w:eastAsia="宋体" w:cs="Times New Roman"/>
                      <w:bCs/>
                      <w:color w:val="auto"/>
                      <w:kern w:val="2"/>
                      <w:sz w:val="18"/>
                      <w:szCs w:val="18"/>
                      <w:highlight w:val="none"/>
                      <w:lang w:val="en-US" w:eastAsia="zh-CN" w:bidi="ar-SA"/>
                    </w:rPr>
                    <w:t>2.973</w:t>
                  </w:r>
                  <w:r>
                    <w:rPr>
                      <w:rFonts w:hint="default" w:ascii="Times New Roman" w:hAnsi="Times New Roman" w:eastAsia="宋体" w:cs="Times New Roman"/>
                      <w:bCs/>
                      <w:color w:val="auto"/>
                      <w:kern w:val="2"/>
                      <w:sz w:val="18"/>
                      <w:szCs w:val="18"/>
                      <w:highlight w:val="none"/>
                      <w:lang w:val="en-US" w:eastAsia="zh-CN" w:bidi="ar-SA"/>
                    </w:rPr>
                    <w:t xml:space="preserve">″纬度： </w:t>
                  </w:r>
                </w:p>
                <w:p w14:paraId="751C583A">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kern w:val="2"/>
                      <w:sz w:val="18"/>
                      <w:szCs w:val="18"/>
                      <w:highlight w:val="none"/>
                      <w:lang w:val="en-US" w:eastAsia="zh-CN" w:bidi="ar-SA"/>
                    </w:rPr>
                    <w:t>25°4</w:t>
                  </w:r>
                  <w:r>
                    <w:rPr>
                      <w:rFonts w:hint="eastAsia" w:ascii="Times New Roman" w:hAnsi="Times New Roman" w:eastAsia="宋体" w:cs="Times New Roman"/>
                      <w:bCs/>
                      <w:color w:val="auto"/>
                      <w:kern w:val="2"/>
                      <w:sz w:val="18"/>
                      <w:szCs w:val="18"/>
                      <w:highlight w:val="none"/>
                      <w:lang w:val="en-US" w:eastAsia="zh-CN" w:bidi="ar-SA"/>
                    </w:rPr>
                    <w:t>2</w:t>
                  </w:r>
                  <w:r>
                    <w:rPr>
                      <w:rFonts w:hint="default" w:ascii="Times New Roman" w:hAnsi="Times New Roman" w:eastAsia="宋体" w:cs="Times New Roman"/>
                      <w:bCs/>
                      <w:color w:val="auto"/>
                      <w:kern w:val="2"/>
                      <w:sz w:val="18"/>
                      <w:szCs w:val="18"/>
                      <w:highlight w:val="none"/>
                      <w:lang w:val="en-US" w:eastAsia="zh-CN" w:bidi="ar-SA"/>
                    </w:rPr>
                    <w:t>′</w:t>
                  </w:r>
                  <w:r>
                    <w:rPr>
                      <w:rFonts w:hint="eastAsia" w:ascii="Times New Roman" w:hAnsi="Times New Roman" w:eastAsia="宋体" w:cs="Times New Roman"/>
                      <w:bCs/>
                      <w:color w:val="auto"/>
                      <w:kern w:val="2"/>
                      <w:sz w:val="18"/>
                      <w:szCs w:val="18"/>
                      <w:highlight w:val="none"/>
                      <w:lang w:val="en-US" w:eastAsia="zh-CN" w:bidi="ar-SA"/>
                    </w:rPr>
                    <w:t>12.408</w:t>
                  </w:r>
                  <w:r>
                    <w:rPr>
                      <w:rFonts w:hint="default" w:ascii="Times New Roman" w:hAnsi="Times New Roman" w:eastAsia="宋体" w:cs="Times New Roman"/>
                      <w:bCs/>
                      <w:color w:val="auto"/>
                      <w:kern w:val="2"/>
                      <w:sz w:val="18"/>
                      <w:szCs w:val="18"/>
                      <w:highlight w:val="none"/>
                      <w:lang w:val="en-US" w:eastAsia="zh-CN" w:bidi="ar-SA"/>
                    </w:rPr>
                    <w:t>″</w:t>
                  </w:r>
                </w:p>
              </w:tc>
              <w:tc>
                <w:tcPr>
                  <w:tcW w:w="207" w:type="pct"/>
                  <w:vMerge w:val="restart"/>
                  <w:noWrap w:val="0"/>
                  <w:vAlign w:val="center"/>
                </w:tcPr>
                <w:p w14:paraId="3519BA2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2400</w:t>
                  </w:r>
                </w:p>
              </w:tc>
              <w:tc>
                <w:tcPr>
                  <w:tcW w:w="398" w:type="pct"/>
                  <w:noWrap w:val="0"/>
                  <w:vAlign w:val="center"/>
                </w:tcPr>
                <w:p w14:paraId="2C2FD40A">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6-9</w:t>
                  </w:r>
                  <w:r>
                    <w:rPr>
                      <w:rFonts w:hint="eastAsia" w:ascii="Times New Roman" w:hAnsi="Times New Roman" w:eastAsia="宋体" w:cs="Times New Roman"/>
                      <w:bCs/>
                      <w:color w:val="auto"/>
                      <w:sz w:val="18"/>
                      <w:szCs w:val="18"/>
                      <w:highlight w:val="none"/>
                      <w:lang w:val="en-US" w:eastAsia="zh-CN"/>
                    </w:rPr>
                    <w:t>(无量纲)</w:t>
                  </w:r>
                </w:p>
              </w:tc>
            </w:tr>
            <w:tr w14:paraId="5AB3AC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6BBA959E">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22" w:type="pct"/>
                  <w:vMerge w:val="continue"/>
                  <w:noWrap w:val="0"/>
                  <w:vAlign w:val="center"/>
                </w:tcPr>
                <w:p w14:paraId="569AC25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38" w:type="pct"/>
                  <w:noWrap w:val="0"/>
                  <w:vAlign w:val="center"/>
                </w:tcPr>
                <w:p w14:paraId="3D248685">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COD</w:t>
                  </w:r>
                </w:p>
              </w:tc>
              <w:tc>
                <w:tcPr>
                  <w:tcW w:w="94" w:type="pct"/>
                  <w:vMerge w:val="continue"/>
                  <w:noWrap w:val="0"/>
                  <w:vAlign w:val="center"/>
                </w:tcPr>
                <w:p w14:paraId="7C59DE2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5" w:type="pct"/>
                  <w:vMerge w:val="continue"/>
                  <w:noWrap w:val="0"/>
                  <w:vAlign w:val="center"/>
                </w:tcPr>
                <w:p w14:paraId="563C0B43">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16" w:type="pct"/>
                  <w:noWrap w:val="0"/>
                  <w:vAlign w:val="center"/>
                </w:tcPr>
                <w:p w14:paraId="6D14C9E9">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300</w:t>
                  </w:r>
                </w:p>
              </w:tc>
              <w:tc>
                <w:tcPr>
                  <w:tcW w:w="280" w:type="pct"/>
                  <w:noWrap w:val="0"/>
                  <w:vAlign w:val="center"/>
                </w:tcPr>
                <w:p w14:paraId="763C6F44">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0.203</w:t>
                  </w:r>
                </w:p>
              </w:tc>
              <w:tc>
                <w:tcPr>
                  <w:tcW w:w="226" w:type="pct"/>
                  <w:vMerge w:val="continue"/>
                  <w:noWrap w:val="0"/>
                  <w:vAlign w:val="center"/>
                </w:tcPr>
                <w:p w14:paraId="660CC27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p>
              </w:tc>
              <w:tc>
                <w:tcPr>
                  <w:tcW w:w="209" w:type="pct"/>
                  <w:noWrap w:val="0"/>
                  <w:vAlign w:val="center"/>
                </w:tcPr>
                <w:p w14:paraId="49301D0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19.3</w:t>
                  </w:r>
                  <w:r>
                    <w:rPr>
                      <w:rFonts w:hint="default" w:ascii="Times New Roman" w:hAnsi="Times New Roman" w:eastAsia="宋体" w:cs="Times New Roman"/>
                      <w:color w:val="auto"/>
                      <w:sz w:val="18"/>
                      <w:szCs w:val="18"/>
                      <w:highlight w:val="none"/>
                    </w:rPr>
                    <w:t>%</w:t>
                  </w:r>
                </w:p>
              </w:tc>
              <w:tc>
                <w:tcPr>
                  <w:tcW w:w="197" w:type="pct"/>
                  <w:vMerge w:val="continue"/>
                  <w:noWrap w:val="0"/>
                  <w:vAlign w:val="center"/>
                </w:tcPr>
                <w:p w14:paraId="542F22FE">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p>
              </w:tc>
              <w:tc>
                <w:tcPr>
                  <w:tcW w:w="209" w:type="pct"/>
                  <w:vMerge w:val="continue"/>
                  <w:noWrap w:val="0"/>
                  <w:vAlign w:val="center"/>
                </w:tcPr>
                <w:p w14:paraId="5765EA4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247BAC70">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242.1</w:t>
                  </w:r>
                </w:p>
              </w:tc>
              <w:tc>
                <w:tcPr>
                  <w:tcW w:w="258" w:type="pct"/>
                  <w:noWrap w:val="0"/>
                  <w:vAlign w:val="center"/>
                </w:tcPr>
                <w:p w14:paraId="13E4A74B">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0.163</w:t>
                  </w:r>
                </w:p>
              </w:tc>
              <w:tc>
                <w:tcPr>
                  <w:tcW w:w="176" w:type="pct"/>
                  <w:vMerge w:val="continue"/>
                  <w:noWrap w:val="0"/>
                  <w:vAlign w:val="center"/>
                </w:tcPr>
                <w:p w14:paraId="49A449F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78" w:type="pct"/>
                  <w:vMerge w:val="continue"/>
                  <w:noWrap w:val="0"/>
                  <w:vAlign w:val="center"/>
                </w:tcPr>
                <w:p w14:paraId="0460B36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76D58BD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4EB97CCF">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1" w:type="pct"/>
                  <w:vMerge w:val="continue"/>
                  <w:noWrap w:val="0"/>
                  <w:vAlign w:val="center"/>
                </w:tcPr>
                <w:p w14:paraId="3BA1DFE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eastAsia="zh-CN"/>
                    </w:rPr>
                  </w:pPr>
                </w:p>
              </w:tc>
              <w:tc>
                <w:tcPr>
                  <w:tcW w:w="458" w:type="pct"/>
                  <w:vMerge w:val="continue"/>
                  <w:noWrap w:val="0"/>
                  <w:vAlign w:val="center"/>
                </w:tcPr>
                <w:p w14:paraId="2685D2F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p>
              </w:tc>
              <w:tc>
                <w:tcPr>
                  <w:tcW w:w="207" w:type="pct"/>
                  <w:vMerge w:val="continue"/>
                  <w:noWrap w:val="0"/>
                  <w:vAlign w:val="center"/>
                </w:tcPr>
                <w:p w14:paraId="0E4DE2FA">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p>
              </w:tc>
              <w:tc>
                <w:tcPr>
                  <w:tcW w:w="398" w:type="pct"/>
                  <w:noWrap w:val="0"/>
                  <w:vAlign w:val="center"/>
                </w:tcPr>
                <w:p w14:paraId="52D1218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500</w:t>
                  </w:r>
                </w:p>
              </w:tc>
            </w:tr>
            <w:tr w14:paraId="3FF1E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0E1881A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321FC9E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702A5190">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BOD</w:t>
                  </w:r>
                  <w:r>
                    <w:rPr>
                      <w:rFonts w:hint="default" w:ascii="Times New Roman" w:hAnsi="Times New Roman" w:eastAsia="宋体" w:cs="Times New Roman"/>
                      <w:color w:val="auto"/>
                      <w:sz w:val="18"/>
                      <w:szCs w:val="18"/>
                      <w:highlight w:val="none"/>
                      <w:vertAlign w:val="subscript"/>
                    </w:rPr>
                    <w:t>5</w:t>
                  </w:r>
                </w:p>
              </w:tc>
              <w:tc>
                <w:tcPr>
                  <w:tcW w:w="94" w:type="pct"/>
                  <w:vMerge w:val="continue"/>
                  <w:noWrap w:val="0"/>
                  <w:vAlign w:val="center"/>
                </w:tcPr>
                <w:p w14:paraId="33143F7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760F442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683DC69E">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150</w:t>
                  </w:r>
                </w:p>
              </w:tc>
              <w:tc>
                <w:tcPr>
                  <w:tcW w:w="280" w:type="pct"/>
                  <w:noWrap w:val="0"/>
                  <w:vAlign w:val="center"/>
                </w:tcPr>
                <w:p w14:paraId="00A369D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0.101</w:t>
                  </w:r>
                </w:p>
              </w:tc>
              <w:tc>
                <w:tcPr>
                  <w:tcW w:w="226" w:type="pct"/>
                  <w:vMerge w:val="continue"/>
                  <w:noWrap w:val="0"/>
                  <w:vAlign w:val="center"/>
                </w:tcPr>
                <w:p w14:paraId="20F2DE1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25DE1CAA">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sz w:val="18"/>
                      <w:szCs w:val="18"/>
                      <w:highlight w:val="none"/>
                      <w:lang w:val="en-US" w:eastAsia="zh-CN"/>
                    </w:rPr>
                    <w:t>12.7</w:t>
                  </w:r>
                  <w:r>
                    <w:rPr>
                      <w:rFonts w:hint="default" w:ascii="Times New Roman" w:hAnsi="Times New Roman" w:eastAsia="宋体" w:cs="Times New Roman"/>
                      <w:bCs/>
                      <w:color w:val="auto"/>
                      <w:sz w:val="18"/>
                      <w:szCs w:val="18"/>
                      <w:highlight w:val="none"/>
                      <w:lang w:val="en-US" w:eastAsia="zh-CN"/>
                    </w:rPr>
                    <w:t>%</w:t>
                  </w:r>
                </w:p>
              </w:tc>
              <w:tc>
                <w:tcPr>
                  <w:tcW w:w="197" w:type="pct"/>
                  <w:vMerge w:val="continue"/>
                  <w:noWrap w:val="0"/>
                  <w:vAlign w:val="center"/>
                </w:tcPr>
                <w:p w14:paraId="2433AD99">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19F9B8B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727B600D">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131.0</w:t>
                  </w:r>
                </w:p>
              </w:tc>
              <w:tc>
                <w:tcPr>
                  <w:tcW w:w="258" w:type="pct"/>
                  <w:noWrap w:val="0"/>
                  <w:vAlign w:val="center"/>
                </w:tcPr>
                <w:p w14:paraId="0EA2081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0.088</w:t>
                  </w:r>
                </w:p>
              </w:tc>
              <w:tc>
                <w:tcPr>
                  <w:tcW w:w="176" w:type="pct"/>
                  <w:vMerge w:val="continue"/>
                  <w:noWrap w:val="0"/>
                  <w:vAlign w:val="center"/>
                </w:tcPr>
                <w:p w14:paraId="221439B1">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78" w:type="pct"/>
                  <w:vMerge w:val="continue"/>
                  <w:noWrap w:val="0"/>
                  <w:vAlign w:val="center"/>
                </w:tcPr>
                <w:p w14:paraId="0652095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007024C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210B106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1D4FB878">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0EC420E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4589B51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47768CAA">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300</w:t>
                  </w:r>
                </w:p>
              </w:tc>
            </w:tr>
            <w:tr w14:paraId="4D2E0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5" w:hRule="atLeast"/>
                <w:jc w:val="center"/>
              </w:trPr>
              <w:tc>
                <w:tcPr>
                  <w:tcW w:w="106" w:type="pct"/>
                  <w:vMerge w:val="continue"/>
                  <w:noWrap w:val="0"/>
                  <w:vAlign w:val="center"/>
                </w:tcPr>
                <w:p w14:paraId="79EA70B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2FC6ADB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1072BC28">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SS</w:t>
                  </w:r>
                </w:p>
              </w:tc>
              <w:tc>
                <w:tcPr>
                  <w:tcW w:w="94" w:type="pct"/>
                  <w:vMerge w:val="continue"/>
                  <w:noWrap w:val="0"/>
                  <w:vAlign w:val="center"/>
                </w:tcPr>
                <w:p w14:paraId="71C09D3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7630D153">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742E188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200</w:t>
                  </w:r>
                </w:p>
              </w:tc>
              <w:tc>
                <w:tcPr>
                  <w:tcW w:w="280" w:type="pct"/>
                  <w:noWrap w:val="0"/>
                  <w:vAlign w:val="center"/>
                </w:tcPr>
                <w:p w14:paraId="3D4F109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0.135</w:t>
                  </w:r>
                </w:p>
              </w:tc>
              <w:tc>
                <w:tcPr>
                  <w:tcW w:w="226" w:type="pct"/>
                  <w:vMerge w:val="continue"/>
                  <w:noWrap w:val="0"/>
                  <w:vAlign w:val="center"/>
                </w:tcPr>
                <w:p w14:paraId="3AF78AA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786A7FE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sz w:val="18"/>
                      <w:szCs w:val="18"/>
                      <w:highlight w:val="none"/>
                      <w:lang w:val="en-US" w:eastAsia="zh-CN"/>
                    </w:rPr>
                    <w:t>60</w:t>
                  </w:r>
                  <w:r>
                    <w:rPr>
                      <w:rFonts w:hint="default" w:ascii="Times New Roman" w:hAnsi="Times New Roman" w:eastAsia="宋体" w:cs="Times New Roman"/>
                      <w:bCs/>
                      <w:color w:val="auto"/>
                      <w:sz w:val="18"/>
                      <w:szCs w:val="18"/>
                      <w:highlight w:val="none"/>
                      <w:lang w:val="en-US" w:eastAsia="zh-CN"/>
                    </w:rPr>
                    <w:t>%</w:t>
                  </w:r>
                </w:p>
              </w:tc>
              <w:tc>
                <w:tcPr>
                  <w:tcW w:w="197" w:type="pct"/>
                  <w:vMerge w:val="continue"/>
                  <w:noWrap w:val="0"/>
                  <w:vAlign w:val="center"/>
                </w:tcPr>
                <w:p w14:paraId="421F150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39EF808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78659E27">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80</w:t>
                  </w:r>
                </w:p>
              </w:tc>
              <w:tc>
                <w:tcPr>
                  <w:tcW w:w="258" w:type="pct"/>
                  <w:noWrap w:val="0"/>
                  <w:vAlign w:val="center"/>
                </w:tcPr>
                <w:p w14:paraId="7B4BA1FB">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0.054</w:t>
                  </w:r>
                </w:p>
              </w:tc>
              <w:tc>
                <w:tcPr>
                  <w:tcW w:w="176" w:type="pct"/>
                  <w:vMerge w:val="continue"/>
                  <w:noWrap w:val="0"/>
                  <w:vAlign w:val="center"/>
                </w:tcPr>
                <w:p w14:paraId="2051CC1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78" w:type="pct"/>
                  <w:vMerge w:val="continue"/>
                  <w:noWrap w:val="0"/>
                  <w:vAlign w:val="center"/>
                </w:tcPr>
                <w:p w14:paraId="1703402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7EF8F0FF">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413CF0E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329AFD6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74EB4D6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7341677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595E7E1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400</w:t>
                  </w:r>
                </w:p>
              </w:tc>
            </w:tr>
            <w:tr w14:paraId="4DF37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23C9442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0105A3E3">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5AF5CB88">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NH</w:t>
                  </w:r>
                  <w:r>
                    <w:rPr>
                      <w:rFonts w:hint="default" w:ascii="Times New Roman" w:hAnsi="Times New Roman" w:eastAsia="宋体" w:cs="Times New Roman"/>
                      <w:color w:val="auto"/>
                      <w:sz w:val="18"/>
                      <w:szCs w:val="18"/>
                      <w:highlight w:val="none"/>
                      <w:vertAlign w:val="subscript"/>
                    </w:rPr>
                    <w:t>3</w:t>
                  </w:r>
                  <w:r>
                    <w:rPr>
                      <w:rFonts w:hint="default" w:ascii="Times New Roman" w:hAnsi="Times New Roman" w:eastAsia="宋体" w:cs="Times New Roman"/>
                      <w:color w:val="auto"/>
                      <w:sz w:val="18"/>
                      <w:szCs w:val="18"/>
                      <w:highlight w:val="none"/>
                    </w:rPr>
                    <w:t>-N</w:t>
                  </w:r>
                </w:p>
              </w:tc>
              <w:tc>
                <w:tcPr>
                  <w:tcW w:w="94" w:type="pct"/>
                  <w:vMerge w:val="continue"/>
                  <w:noWrap w:val="0"/>
                  <w:vAlign w:val="center"/>
                </w:tcPr>
                <w:p w14:paraId="456B03D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7D7678CA">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1A3EEC4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25</w:t>
                  </w:r>
                </w:p>
              </w:tc>
              <w:tc>
                <w:tcPr>
                  <w:tcW w:w="280" w:type="pct"/>
                  <w:noWrap w:val="0"/>
                  <w:vAlign w:val="center"/>
                </w:tcPr>
                <w:p w14:paraId="34CE1D34">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0.017</w:t>
                  </w:r>
                </w:p>
              </w:tc>
              <w:tc>
                <w:tcPr>
                  <w:tcW w:w="226" w:type="pct"/>
                  <w:vMerge w:val="continue"/>
                  <w:noWrap w:val="0"/>
                  <w:vAlign w:val="center"/>
                </w:tcPr>
                <w:p w14:paraId="075AB074">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462B7D27">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sz w:val="18"/>
                      <w:szCs w:val="18"/>
                      <w:highlight w:val="none"/>
                      <w:lang w:val="en-US" w:eastAsia="zh-CN"/>
                    </w:rPr>
                    <w:t>0%</w:t>
                  </w:r>
                </w:p>
              </w:tc>
              <w:tc>
                <w:tcPr>
                  <w:tcW w:w="197" w:type="pct"/>
                  <w:vMerge w:val="continue"/>
                  <w:noWrap w:val="0"/>
                  <w:vAlign w:val="center"/>
                </w:tcPr>
                <w:p w14:paraId="29ACC89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5DABBE0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406A54B9">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25</w:t>
                  </w:r>
                </w:p>
              </w:tc>
              <w:tc>
                <w:tcPr>
                  <w:tcW w:w="258" w:type="pct"/>
                  <w:noWrap w:val="0"/>
                  <w:vAlign w:val="center"/>
                </w:tcPr>
                <w:p w14:paraId="05C6460C">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0.017</w:t>
                  </w:r>
                </w:p>
              </w:tc>
              <w:tc>
                <w:tcPr>
                  <w:tcW w:w="176" w:type="pct"/>
                  <w:vMerge w:val="continue"/>
                  <w:noWrap w:val="0"/>
                  <w:vAlign w:val="center"/>
                </w:tcPr>
                <w:p w14:paraId="76A76DE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78" w:type="pct"/>
                  <w:vMerge w:val="continue"/>
                  <w:noWrap w:val="0"/>
                  <w:vAlign w:val="center"/>
                </w:tcPr>
                <w:p w14:paraId="1E8D09A0">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72B58303">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18FD2BD7">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5E088FC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2130DE07">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6F7B63E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6587F93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45</w:t>
                  </w:r>
                </w:p>
              </w:tc>
            </w:tr>
            <w:tr w14:paraId="5D7E4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restart"/>
                  <w:noWrap w:val="0"/>
                  <w:vAlign w:val="center"/>
                </w:tcPr>
                <w:p w14:paraId="702E48D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场地清洁</w:t>
                  </w:r>
                </w:p>
              </w:tc>
              <w:tc>
                <w:tcPr>
                  <w:tcW w:w="222" w:type="pct"/>
                  <w:vMerge w:val="restart"/>
                  <w:noWrap w:val="0"/>
                  <w:vAlign w:val="center"/>
                </w:tcPr>
                <w:p w14:paraId="4FF6A40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清洁废水</w:t>
                  </w:r>
                </w:p>
              </w:tc>
              <w:tc>
                <w:tcPr>
                  <w:tcW w:w="238" w:type="pct"/>
                  <w:noWrap w:val="0"/>
                  <w:vAlign w:val="center"/>
                </w:tcPr>
                <w:p w14:paraId="4C65C64B">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pH</w:t>
                  </w:r>
                </w:p>
              </w:tc>
              <w:tc>
                <w:tcPr>
                  <w:tcW w:w="94" w:type="pct"/>
                  <w:vMerge w:val="restart"/>
                  <w:noWrap w:val="0"/>
                  <w:vAlign w:val="center"/>
                </w:tcPr>
                <w:p w14:paraId="7036A68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产污系数法</w:t>
                  </w:r>
                </w:p>
              </w:tc>
              <w:tc>
                <w:tcPr>
                  <w:tcW w:w="205" w:type="pct"/>
                  <w:vMerge w:val="restart"/>
                  <w:noWrap w:val="0"/>
                  <w:vAlign w:val="center"/>
                </w:tcPr>
                <w:p w14:paraId="7565EF6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972</w:t>
                  </w:r>
                </w:p>
              </w:tc>
              <w:tc>
                <w:tcPr>
                  <w:tcW w:w="216" w:type="pct"/>
                  <w:noWrap w:val="0"/>
                  <w:vAlign w:val="center"/>
                </w:tcPr>
                <w:p w14:paraId="0FACB9E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6-9（无量纲）</w:t>
                  </w:r>
                </w:p>
              </w:tc>
              <w:tc>
                <w:tcPr>
                  <w:tcW w:w="280" w:type="pct"/>
                  <w:noWrap w:val="0"/>
                  <w:vAlign w:val="center"/>
                </w:tcPr>
                <w:p w14:paraId="636BB82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w:t>
                  </w:r>
                </w:p>
              </w:tc>
              <w:tc>
                <w:tcPr>
                  <w:tcW w:w="226" w:type="pct"/>
                  <w:vMerge w:val="restart"/>
                  <w:noWrap w:val="0"/>
                  <w:vAlign w:val="center"/>
                </w:tcPr>
                <w:p w14:paraId="54638E3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lang w:val="en-US" w:eastAsia="zh-CN"/>
                    </w:rPr>
                    <w:t>油水分离+混凝沉淀+过滤（砂滤、活性炭滤）</w:t>
                  </w:r>
                </w:p>
              </w:tc>
              <w:tc>
                <w:tcPr>
                  <w:tcW w:w="209" w:type="pct"/>
                  <w:noWrap w:val="0"/>
                  <w:vAlign w:val="center"/>
                </w:tcPr>
                <w:p w14:paraId="6CC76DF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w:t>
                  </w:r>
                </w:p>
              </w:tc>
              <w:tc>
                <w:tcPr>
                  <w:tcW w:w="197" w:type="pct"/>
                  <w:vMerge w:val="restart"/>
                  <w:noWrap w:val="0"/>
                  <w:vAlign w:val="center"/>
                </w:tcPr>
                <w:p w14:paraId="6C1AB34E">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是</w:t>
                  </w:r>
                </w:p>
              </w:tc>
              <w:tc>
                <w:tcPr>
                  <w:tcW w:w="209" w:type="pct"/>
                  <w:vMerge w:val="restart"/>
                  <w:noWrap w:val="0"/>
                  <w:vAlign w:val="center"/>
                </w:tcPr>
                <w:p w14:paraId="075AC0B5">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972</w:t>
                  </w:r>
                </w:p>
              </w:tc>
              <w:tc>
                <w:tcPr>
                  <w:tcW w:w="203" w:type="pct"/>
                  <w:noWrap w:val="0"/>
                  <w:vAlign w:val="center"/>
                </w:tcPr>
                <w:p w14:paraId="37262E3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6-9（无量纲）</w:t>
                  </w:r>
                </w:p>
              </w:tc>
              <w:tc>
                <w:tcPr>
                  <w:tcW w:w="258" w:type="pct"/>
                  <w:noWrap w:val="0"/>
                  <w:vAlign w:val="center"/>
                </w:tcPr>
                <w:p w14:paraId="7B563D4B">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bidi="ar-SA"/>
                    </w:rPr>
                    <w:t>/</w:t>
                  </w:r>
                </w:p>
              </w:tc>
              <w:tc>
                <w:tcPr>
                  <w:tcW w:w="554" w:type="pct"/>
                  <w:gridSpan w:val="2"/>
                  <w:vMerge w:val="restart"/>
                  <w:noWrap w:val="0"/>
                  <w:vAlign w:val="center"/>
                </w:tcPr>
                <w:p w14:paraId="5BC699F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回用于场地洒水清扫、停车区冲洗，不外排</w:t>
                  </w:r>
                </w:p>
              </w:tc>
              <w:tc>
                <w:tcPr>
                  <w:tcW w:w="170" w:type="pct"/>
                  <w:vMerge w:val="restart"/>
                  <w:noWrap w:val="0"/>
                  <w:vAlign w:val="center"/>
                </w:tcPr>
                <w:p w14:paraId="40A5E3A5">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23" w:type="pct"/>
                  <w:vMerge w:val="restart"/>
                  <w:noWrap w:val="0"/>
                  <w:vAlign w:val="center"/>
                </w:tcPr>
                <w:p w14:paraId="7AECB92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w:t>
                  </w:r>
                </w:p>
              </w:tc>
              <w:tc>
                <w:tcPr>
                  <w:tcW w:w="221" w:type="pct"/>
                  <w:vMerge w:val="restart"/>
                  <w:noWrap w:val="0"/>
                  <w:vAlign w:val="center"/>
                </w:tcPr>
                <w:p w14:paraId="3B60252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w:t>
                  </w:r>
                </w:p>
              </w:tc>
              <w:tc>
                <w:tcPr>
                  <w:tcW w:w="458" w:type="pct"/>
                  <w:vMerge w:val="restart"/>
                  <w:noWrap w:val="0"/>
                  <w:vAlign w:val="center"/>
                </w:tcPr>
                <w:p w14:paraId="6AD2823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w:t>
                  </w:r>
                </w:p>
              </w:tc>
              <w:tc>
                <w:tcPr>
                  <w:tcW w:w="207" w:type="pct"/>
                  <w:vMerge w:val="restart"/>
                  <w:noWrap w:val="0"/>
                  <w:vAlign w:val="center"/>
                </w:tcPr>
                <w:p w14:paraId="725D765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98" w:type="pct"/>
                  <w:noWrap w:val="0"/>
                  <w:vAlign w:val="center"/>
                </w:tcPr>
                <w:p w14:paraId="6584CA5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6-9</w:t>
                  </w:r>
                  <w:r>
                    <w:rPr>
                      <w:rFonts w:hint="eastAsia" w:ascii="Times New Roman" w:hAnsi="Times New Roman" w:eastAsia="宋体" w:cs="Times New Roman"/>
                      <w:bCs/>
                      <w:color w:val="auto"/>
                      <w:sz w:val="18"/>
                      <w:szCs w:val="18"/>
                      <w:highlight w:val="none"/>
                      <w:lang w:val="en-US" w:eastAsia="zh-CN"/>
                    </w:rPr>
                    <w:t>(无量纲)</w:t>
                  </w:r>
                </w:p>
              </w:tc>
            </w:tr>
            <w:tr w14:paraId="48C93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215E299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04F470A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150F1B6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COD</w:t>
                  </w:r>
                </w:p>
              </w:tc>
              <w:tc>
                <w:tcPr>
                  <w:tcW w:w="94" w:type="pct"/>
                  <w:vMerge w:val="continue"/>
                  <w:noWrap w:val="0"/>
                  <w:vAlign w:val="center"/>
                </w:tcPr>
                <w:p w14:paraId="3B57DB2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3151634E">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30E1B67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300</w:t>
                  </w:r>
                </w:p>
              </w:tc>
              <w:tc>
                <w:tcPr>
                  <w:tcW w:w="280" w:type="pct"/>
                  <w:noWrap w:val="0"/>
                  <w:vAlign w:val="center"/>
                </w:tcPr>
                <w:p w14:paraId="1F19282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0.292</w:t>
                  </w:r>
                </w:p>
              </w:tc>
              <w:tc>
                <w:tcPr>
                  <w:tcW w:w="226" w:type="pct"/>
                  <w:vMerge w:val="continue"/>
                  <w:noWrap w:val="0"/>
                  <w:vAlign w:val="center"/>
                </w:tcPr>
                <w:p w14:paraId="0847D22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19E9200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70%</w:t>
                  </w:r>
                </w:p>
              </w:tc>
              <w:tc>
                <w:tcPr>
                  <w:tcW w:w="197" w:type="pct"/>
                  <w:vMerge w:val="continue"/>
                  <w:noWrap w:val="0"/>
                  <w:vAlign w:val="center"/>
                </w:tcPr>
                <w:p w14:paraId="30E99C69">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007DA0DA">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2CEC876D">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bCs/>
                      <w:color w:val="auto"/>
                      <w:sz w:val="18"/>
                      <w:szCs w:val="18"/>
                      <w:highlight w:val="none"/>
                      <w:lang w:val="en-US" w:eastAsia="zh-CN"/>
                    </w:rPr>
                  </w:pPr>
                  <w:r>
                    <w:rPr>
                      <w:rFonts w:hint="eastAsia" w:ascii="Times New Roman" w:hAnsi="Times New Roman"/>
                      <w:bCs/>
                      <w:color w:val="auto"/>
                      <w:sz w:val="18"/>
                      <w:szCs w:val="18"/>
                      <w:highlight w:val="none"/>
                      <w:lang w:val="en-US" w:eastAsia="zh-CN"/>
                    </w:rPr>
                    <w:t>90</w:t>
                  </w:r>
                </w:p>
              </w:tc>
              <w:tc>
                <w:tcPr>
                  <w:tcW w:w="258" w:type="pct"/>
                  <w:noWrap w:val="0"/>
                  <w:vAlign w:val="center"/>
                </w:tcPr>
                <w:p w14:paraId="6DF4AFE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0.087</w:t>
                  </w:r>
                </w:p>
              </w:tc>
              <w:tc>
                <w:tcPr>
                  <w:tcW w:w="554" w:type="pct"/>
                  <w:gridSpan w:val="2"/>
                  <w:vMerge w:val="continue"/>
                  <w:noWrap w:val="0"/>
                  <w:vAlign w:val="center"/>
                </w:tcPr>
                <w:p w14:paraId="239FA93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3DFFA26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1C3826A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417A941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6DBB79D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4D9B2990">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4E6B339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w:t>
                  </w:r>
                </w:p>
              </w:tc>
            </w:tr>
            <w:tr w14:paraId="140E2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0522BB4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47CE4021">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67E29409">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SS</w:t>
                  </w:r>
                </w:p>
              </w:tc>
              <w:tc>
                <w:tcPr>
                  <w:tcW w:w="94" w:type="pct"/>
                  <w:vMerge w:val="continue"/>
                  <w:noWrap w:val="0"/>
                  <w:vAlign w:val="center"/>
                </w:tcPr>
                <w:p w14:paraId="6A18D9F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08BFC32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7D0EA05C">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350</w:t>
                  </w:r>
                </w:p>
              </w:tc>
              <w:tc>
                <w:tcPr>
                  <w:tcW w:w="280" w:type="pct"/>
                  <w:noWrap w:val="0"/>
                  <w:vAlign w:val="center"/>
                </w:tcPr>
                <w:p w14:paraId="04FE40E4">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0.340</w:t>
                  </w:r>
                </w:p>
              </w:tc>
              <w:tc>
                <w:tcPr>
                  <w:tcW w:w="226" w:type="pct"/>
                  <w:vMerge w:val="continue"/>
                  <w:noWrap w:val="0"/>
                  <w:vAlign w:val="center"/>
                </w:tcPr>
                <w:p w14:paraId="231B48A4">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4E01145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80%</w:t>
                  </w:r>
                </w:p>
              </w:tc>
              <w:tc>
                <w:tcPr>
                  <w:tcW w:w="197" w:type="pct"/>
                  <w:vMerge w:val="continue"/>
                  <w:noWrap w:val="0"/>
                  <w:vAlign w:val="center"/>
                </w:tcPr>
                <w:p w14:paraId="5F1251CC">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3CEBD58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4D9CAC11">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bCs/>
                      <w:color w:val="auto"/>
                      <w:sz w:val="18"/>
                      <w:szCs w:val="18"/>
                      <w:highlight w:val="none"/>
                      <w:lang w:val="en-US" w:eastAsia="zh-CN"/>
                    </w:rPr>
                  </w:pPr>
                  <w:r>
                    <w:rPr>
                      <w:rFonts w:hint="eastAsia" w:ascii="Times New Roman" w:hAnsi="Times New Roman"/>
                      <w:bCs/>
                      <w:color w:val="auto"/>
                      <w:sz w:val="18"/>
                      <w:szCs w:val="18"/>
                      <w:highlight w:val="none"/>
                      <w:lang w:val="en-US" w:eastAsia="zh-CN"/>
                    </w:rPr>
                    <w:t>70</w:t>
                  </w:r>
                </w:p>
              </w:tc>
              <w:tc>
                <w:tcPr>
                  <w:tcW w:w="258" w:type="pct"/>
                  <w:noWrap w:val="0"/>
                  <w:vAlign w:val="center"/>
                </w:tcPr>
                <w:p w14:paraId="61E09D3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0.068</w:t>
                  </w:r>
                </w:p>
              </w:tc>
              <w:tc>
                <w:tcPr>
                  <w:tcW w:w="554" w:type="pct"/>
                  <w:gridSpan w:val="2"/>
                  <w:vMerge w:val="continue"/>
                  <w:noWrap w:val="0"/>
                  <w:vAlign w:val="center"/>
                </w:tcPr>
                <w:p w14:paraId="432819CE">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62AB1F0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7D7ADA4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5AD7F957">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00081624">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305C944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32B60A85">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r>
            <w:tr w14:paraId="38D23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70F0382F">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043D22D1">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60CA219B">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NH</w:t>
                  </w:r>
                  <w:r>
                    <w:rPr>
                      <w:rFonts w:hint="default" w:ascii="Times New Roman" w:hAnsi="Times New Roman" w:eastAsia="宋体" w:cs="Times New Roman"/>
                      <w:color w:val="auto"/>
                      <w:sz w:val="18"/>
                      <w:szCs w:val="18"/>
                      <w:highlight w:val="none"/>
                      <w:vertAlign w:val="subscript"/>
                    </w:rPr>
                    <w:t>3</w:t>
                  </w:r>
                  <w:r>
                    <w:rPr>
                      <w:rFonts w:hint="default" w:ascii="Times New Roman" w:hAnsi="Times New Roman" w:eastAsia="宋体" w:cs="Times New Roman"/>
                      <w:color w:val="auto"/>
                      <w:sz w:val="18"/>
                      <w:szCs w:val="18"/>
                      <w:highlight w:val="none"/>
                    </w:rPr>
                    <w:t>-N</w:t>
                  </w:r>
                </w:p>
              </w:tc>
              <w:tc>
                <w:tcPr>
                  <w:tcW w:w="94" w:type="pct"/>
                  <w:vMerge w:val="continue"/>
                  <w:noWrap w:val="0"/>
                  <w:vAlign w:val="center"/>
                </w:tcPr>
                <w:p w14:paraId="2584C1D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07F06B9E">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16337F5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10</w:t>
                  </w:r>
                </w:p>
              </w:tc>
              <w:tc>
                <w:tcPr>
                  <w:tcW w:w="280" w:type="pct"/>
                  <w:noWrap w:val="0"/>
                  <w:vAlign w:val="center"/>
                </w:tcPr>
                <w:p w14:paraId="21759DBE">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0.0097</w:t>
                  </w:r>
                </w:p>
              </w:tc>
              <w:tc>
                <w:tcPr>
                  <w:tcW w:w="226" w:type="pct"/>
                  <w:vMerge w:val="continue"/>
                  <w:noWrap w:val="0"/>
                  <w:vAlign w:val="center"/>
                </w:tcPr>
                <w:p w14:paraId="0EF526F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2E75635C">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30%</w:t>
                  </w:r>
                </w:p>
              </w:tc>
              <w:tc>
                <w:tcPr>
                  <w:tcW w:w="197" w:type="pct"/>
                  <w:vMerge w:val="continue"/>
                  <w:noWrap w:val="0"/>
                  <w:vAlign w:val="center"/>
                </w:tcPr>
                <w:p w14:paraId="3B21F68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180BDCC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5377AD0A">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bCs/>
                      <w:color w:val="auto"/>
                      <w:sz w:val="18"/>
                      <w:szCs w:val="18"/>
                      <w:highlight w:val="none"/>
                      <w:lang w:val="en-US" w:eastAsia="zh-CN"/>
                    </w:rPr>
                  </w:pPr>
                  <w:r>
                    <w:rPr>
                      <w:rFonts w:hint="eastAsia" w:ascii="Times New Roman" w:hAnsi="Times New Roman"/>
                      <w:bCs/>
                      <w:color w:val="auto"/>
                      <w:sz w:val="18"/>
                      <w:szCs w:val="18"/>
                      <w:highlight w:val="none"/>
                      <w:lang w:val="en-US" w:eastAsia="zh-CN"/>
                    </w:rPr>
                    <w:t>7</w:t>
                  </w:r>
                </w:p>
              </w:tc>
              <w:tc>
                <w:tcPr>
                  <w:tcW w:w="258" w:type="pct"/>
                  <w:noWrap w:val="0"/>
                  <w:vAlign w:val="center"/>
                </w:tcPr>
                <w:p w14:paraId="0B2C68CB">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0.0068</w:t>
                  </w:r>
                </w:p>
              </w:tc>
              <w:tc>
                <w:tcPr>
                  <w:tcW w:w="554" w:type="pct"/>
                  <w:gridSpan w:val="2"/>
                  <w:vMerge w:val="continue"/>
                  <w:noWrap w:val="0"/>
                  <w:vAlign w:val="center"/>
                </w:tcPr>
                <w:p w14:paraId="06A86033">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5FE110C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5538033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347D772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485ADEC8">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75FA4AA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3216F0B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w:t>
                  </w:r>
                </w:p>
              </w:tc>
            </w:tr>
            <w:tr w14:paraId="59158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3611622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2AB217E1">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5494ED58">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石油类</w:t>
                  </w:r>
                </w:p>
              </w:tc>
              <w:tc>
                <w:tcPr>
                  <w:tcW w:w="94" w:type="pct"/>
                  <w:vMerge w:val="continue"/>
                  <w:noWrap w:val="0"/>
                  <w:vAlign w:val="center"/>
                </w:tcPr>
                <w:p w14:paraId="4C9A679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79D9FB75">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187DA01A">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150</w:t>
                  </w:r>
                </w:p>
              </w:tc>
              <w:tc>
                <w:tcPr>
                  <w:tcW w:w="280" w:type="pct"/>
                  <w:noWrap w:val="0"/>
                  <w:vAlign w:val="center"/>
                </w:tcPr>
                <w:p w14:paraId="5FFE6618">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0.146</w:t>
                  </w:r>
                </w:p>
              </w:tc>
              <w:tc>
                <w:tcPr>
                  <w:tcW w:w="226" w:type="pct"/>
                  <w:vMerge w:val="continue"/>
                  <w:noWrap w:val="0"/>
                  <w:vAlign w:val="center"/>
                </w:tcPr>
                <w:p w14:paraId="0BD54E0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56A9161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75%</w:t>
                  </w:r>
                </w:p>
              </w:tc>
              <w:tc>
                <w:tcPr>
                  <w:tcW w:w="197" w:type="pct"/>
                  <w:vMerge w:val="continue"/>
                  <w:noWrap w:val="0"/>
                  <w:vAlign w:val="center"/>
                </w:tcPr>
                <w:p w14:paraId="1CC7B1FB">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0F1424A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02E19DCF">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bCs/>
                      <w:color w:val="auto"/>
                      <w:sz w:val="18"/>
                      <w:szCs w:val="18"/>
                      <w:highlight w:val="none"/>
                      <w:lang w:val="en-US" w:eastAsia="zh-CN"/>
                    </w:rPr>
                  </w:pPr>
                  <w:r>
                    <w:rPr>
                      <w:rFonts w:hint="eastAsia" w:ascii="Times New Roman" w:hAnsi="Times New Roman"/>
                      <w:bCs/>
                      <w:color w:val="auto"/>
                      <w:sz w:val="18"/>
                      <w:szCs w:val="18"/>
                      <w:highlight w:val="none"/>
                      <w:lang w:val="en-US" w:eastAsia="zh-CN"/>
                    </w:rPr>
                    <w:t>37.5</w:t>
                  </w:r>
                </w:p>
              </w:tc>
              <w:tc>
                <w:tcPr>
                  <w:tcW w:w="258" w:type="pct"/>
                  <w:noWrap w:val="0"/>
                  <w:vAlign w:val="center"/>
                </w:tcPr>
                <w:p w14:paraId="0D1C00A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0.036</w:t>
                  </w:r>
                </w:p>
              </w:tc>
              <w:tc>
                <w:tcPr>
                  <w:tcW w:w="554" w:type="pct"/>
                  <w:gridSpan w:val="2"/>
                  <w:vMerge w:val="continue"/>
                  <w:noWrap w:val="0"/>
                  <w:vAlign w:val="center"/>
                </w:tcPr>
                <w:p w14:paraId="4FC9F031">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5F467E9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059AAD8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224BAE24">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3229BD1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17E89BC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3E1823C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r>
            <w:tr w14:paraId="696AB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21C9A47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16689B9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695BEEF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LAS</w:t>
                  </w:r>
                </w:p>
              </w:tc>
              <w:tc>
                <w:tcPr>
                  <w:tcW w:w="94" w:type="pct"/>
                  <w:vMerge w:val="continue"/>
                  <w:noWrap w:val="0"/>
                  <w:vAlign w:val="center"/>
                </w:tcPr>
                <w:p w14:paraId="7C83CCB3">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5434035A">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1454626C">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1</w:t>
                  </w:r>
                </w:p>
              </w:tc>
              <w:tc>
                <w:tcPr>
                  <w:tcW w:w="280" w:type="pct"/>
                  <w:noWrap w:val="0"/>
                  <w:vAlign w:val="center"/>
                </w:tcPr>
                <w:p w14:paraId="57323349">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0.001</w:t>
                  </w:r>
                </w:p>
              </w:tc>
              <w:tc>
                <w:tcPr>
                  <w:tcW w:w="226" w:type="pct"/>
                  <w:vMerge w:val="continue"/>
                  <w:noWrap w:val="0"/>
                  <w:vAlign w:val="center"/>
                </w:tcPr>
                <w:p w14:paraId="41E4B54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317A60F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70%</w:t>
                  </w:r>
                </w:p>
              </w:tc>
              <w:tc>
                <w:tcPr>
                  <w:tcW w:w="197" w:type="pct"/>
                  <w:vMerge w:val="continue"/>
                  <w:noWrap w:val="0"/>
                  <w:vAlign w:val="center"/>
                </w:tcPr>
                <w:p w14:paraId="541E7DCA">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52203780">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34F09798">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bCs/>
                      <w:color w:val="auto"/>
                      <w:sz w:val="18"/>
                      <w:szCs w:val="18"/>
                      <w:highlight w:val="none"/>
                      <w:lang w:val="en-US" w:eastAsia="zh-CN"/>
                    </w:rPr>
                  </w:pPr>
                  <w:r>
                    <w:rPr>
                      <w:rFonts w:hint="eastAsia" w:ascii="Times New Roman" w:hAnsi="Times New Roman"/>
                      <w:bCs/>
                      <w:color w:val="auto"/>
                      <w:sz w:val="18"/>
                      <w:szCs w:val="18"/>
                      <w:highlight w:val="none"/>
                      <w:lang w:val="en-US" w:eastAsia="zh-CN"/>
                    </w:rPr>
                    <w:t>0.3</w:t>
                  </w:r>
                </w:p>
              </w:tc>
              <w:tc>
                <w:tcPr>
                  <w:tcW w:w="258" w:type="pct"/>
                  <w:noWrap w:val="0"/>
                  <w:vAlign w:val="center"/>
                </w:tcPr>
                <w:p w14:paraId="50E3FB4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0.0003</w:t>
                  </w:r>
                </w:p>
              </w:tc>
              <w:tc>
                <w:tcPr>
                  <w:tcW w:w="554" w:type="pct"/>
                  <w:gridSpan w:val="2"/>
                  <w:vMerge w:val="continue"/>
                  <w:noWrap w:val="0"/>
                  <w:vAlign w:val="center"/>
                </w:tcPr>
                <w:p w14:paraId="4EAB350F">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5D11CCB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1A02B15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656F93C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4BA1FF2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3EB2066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7CDDE4E0">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0.5</w:t>
                  </w:r>
                </w:p>
              </w:tc>
            </w:tr>
            <w:tr w14:paraId="5A538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restart"/>
                  <w:noWrap w:val="0"/>
                  <w:vAlign w:val="center"/>
                </w:tcPr>
                <w:p w14:paraId="559152D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bookmarkStart w:id="36" w:name="OLE_LINK2" w:colFirst="8" w:colLast="8"/>
                  <w:r>
                    <w:rPr>
                      <w:rFonts w:hint="eastAsia" w:ascii="Times New Roman" w:hAnsi="Times New Roman" w:eastAsia="宋体" w:cs="Times New Roman"/>
                      <w:color w:val="auto"/>
                      <w:sz w:val="18"/>
                      <w:szCs w:val="18"/>
                      <w:highlight w:val="none"/>
                      <w:lang w:val="en-US" w:eastAsia="zh-CN"/>
                    </w:rPr>
                    <w:t>作业区露天区域初期雨水收集</w:t>
                  </w:r>
                </w:p>
              </w:tc>
              <w:tc>
                <w:tcPr>
                  <w:tcW w:w="222" w:type="pct"/>
                  <w:vMerge w:val="restart"/>
                  <w:noWrap w:val="0"/>
                  <w:vAlign w:val="center"/>
                </w:tcPr>
                <w:p w14:paraId="7EE596F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作业区露天区域初期雨水</w:t>
                  </w:r>
                </w:p>
              </w:tc>
              <w:tc>
                <w:tcPr>
                  <w:tcW w:w="238" w:type="pct"/>
                  <w:noWrap w:val="0"/>
                  <w:vAlign w:val="center"/>
                </w:tcPr>
                <w:p w14:paraId="50E89D38">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pH</w:t>
                  </w:r>
                </w:p>
              </w:tc>
              <w:tc>
                <w:tcPr>
                  <w:tcW w:w="94" w:type="pct"/>
                  <w:vMerge w:val="restart"/>
                  <w:noWrap w:val="0"/>
                  <w:vAlign w:val="center"/>
                </w:tcPr>
                <w:p w14:paraId="5F84C97F">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产污系数法</w:t>
                  </w:r>
                </w:p>
              </w:tc>
              <w:tc>
                <w:tcPr>
                  <w:tcW w:w="205" w:type="pct"/>
                  <w:vMerge w:val="restart"/>
                  <w:noWrap w:val="0"/>
                  <w:vAlign w:val="center"/>
                </w:tcPr>
                <w:p w14:paraId="62FC1B3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23.2</w:t>
                  </w:r>
                </w:p>
                <w:p w14:paraId="20CE917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/次</w:t>
                  </w:r>
                </w:p>
              </w:tc>
              <w:tc>
                <w:tcPr>
                  <w:tcW w:w="216" w:type="pct"/>
                  <w:noWrap w:val="0"/>
                  <w:vAlign w:val="center"/>
                </w:tcPr>
                <w:p w14:paraId="38E39EB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6-9（无量纲）</w:t>
                  </w:r>
                </w:p>
              </w:tc>
              <w:tc>
                <w:tcPr>
                  <w:tcW w:w="280" w:type="pct"/>
                  <w:noWrap w:val="0"/>
                  <w:vAlign w:val="center"/>
                </w:tcPr>
                <w:p w14:paraId="7F5273D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w:t>
                  </w:r>
                </w:p>
              </w:tc>
              <w:tc>
                <w:tcPr>
                  <w:tcW w:w="226" w:type="pct"/>
                  <w:vMerge w:val="restart"/>
                  <w:noWrap w:val="0"/>
                  <w:vAlign w:val="center"/>
                </w:tcPr>
                <w:p w14:paraId="478D661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油水分离+混凝沉淀+过滤（砂滤、活性炭滤）</w:t>
                  </w:r>
                </w:p>
              </w:tc>
              <w:tc>
                <w:tcPr>
                  <w:tcW w:w="209" w:type="pct"/>
                  <w:noWrap w:val="0"/>
                  <w:vAlign w:val="center"/>
                </w:tcPr>
                <w:p w14:paraId="05F6833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w:t>
                  </w:r>
                </w:p>
              </w:tc>
              <w:tc>
                <w:tcPr>
                  <w:tcW w:w="197" w:type="pct"/>
                  <w:vMerge w:val="restart"/>
                  <w:noWrap w:val="0"/>
                  <w:vAlign w:val="center"/>
                </w:tcPr>
                <w:p w14:paraId="2AC096B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是</w:t>
                  </w:r>
                </w:p>
              </w:tc>
              <w:tc>
                <w:tcPr>
                  <w:tcW w:w="209" w:type="pct"/>
                  <w:vMerge w:val="restart"/>
                  <w:noWrap w:val="0"/>
                  <w:vAlign w:val="center"/>
                </w:tcPr>
                <w:p w14:paraId="487D79E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23.2</w:t>
                  </w:r>
                </w:p>
                <w:p w14:paraId="24B98751">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m</w:t>
                  </w:r>
                  <w:r>
                    <w:rPr>
                      <w:rFonts w:hint="eastAsia" w:ascii="Times New Roman" w:hAnsi="Times New Roman" w:eastAsia="宋体" w:cs="Times New Roman"/>
                      <w:color w:val="auto"/>
                      <w:sz w:val="18"/>
                      <w:szCs w:val="18"/>
                      <w:highlight w:val="none"/>
                      <w:vertAlign w:val="superscript"/>
                      <w:lang w:val="en-US" w:eastAsia="zh-CN"/>
                    </w:rPr>
                    <w:t>3</w:t>
                  </w:r>
                  <w:r>
                    <w:rPr>
                      <w:rFonts w:hint="eastAsia" w:ascii="Times New Roman" w:hAnsi="Times New Roman" w:eastAsia="宋体" w:cs="Times New Roman"/>
                      <w:color w:val="auto"/>
                      <w:sz w:val="18"/>
                      <w:szCs w:val="18"/>
                      <w:highlight w:val="none"/>
                      <w:lang w:val="en-US" w:eastAsia="zh-CN"/>
                    </w:rPr>
                    <w:t>/次</w:t>
                  </w:r>
                </w:p>
              </w:tc>
              <w:tc>
                <w:tcPr>
                  <w:tcW w:w="203" w:type="pct"/>
                  <w:noWrap w:val="0"/>
                  <w:vAlign w:val="center"/>
                </w:tcPr>
                <w:p w14:paraId="253A72BC">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w:t>
                  </w:r>
                </w:p>
              </w:tc>
              <w:tc>
                <w:tcPr>
                  <w:tcW w:w="258" w:type="pct"/>
                  <w:noWrap w:val="0"/>
                  <w:vAlign w:val="center"/>
                </w:tcPr>
                <w:p w14:paraId="5A075CB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w:t>
                  </w:r>
                </w:p>
              </w:tc>
              <w:tc>
                <w:tcPr>
                  <w:tcW w:w="554" w:type="pct"/>
                  <w:gridSpan w:val="2"/>
                  <w:vMerge w:val="restart"/>
                  <w:noWrap w:val="0"/>
                  <w:vAlign w:val="center"/>
                </w:tcPr>
                <w:p w14:paraId="27B3AB85">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回用于场地洒水清扫、停车区冲洗，不外排</w:t>
                  </w:r>
                </w:p>
              </w:tc>
              <w:tc>
                <w:tcPr>
                  <w:tcW w:w="170" w:type="pct"/>
                  <w:vMerge w:val="restart"/>
                  <w:noWrap w:val="0"/>
                  <w:vAlign w:val="center"/>
                </w:tcPr>
                <w:p w14:paraId="17E58E6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23" w:type="pct"/>
                  <w:vMerge w:val="restart"/>
                  <w:noWrap w:val="0"/>
                  <w:vAlign w:val="center"/>
                </w:tcPr>
                <w:p w14:paraId="5DE9C5CA">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w:t>
                  </w:r>
                </w:p>
              </w:tc>
              <w:tc>
                <w:tcPr>
                  <w:tcW w:w="221" w:type="pct"/>
                  <w:vMerge w:val="restart"/>
                  <w:noWrap w:val="0"/>
                  <w:vAlign w:val="center"/>
                </w:tcPr>
                <w:p w14:paraId="32CD2FF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w:t>
                  </w:r>
                </w:p>
              </w:tc>
              <w:tc>
                <w:tcPr>
                  <w:tcW w:w="458" w:type="pct"/>
                  <w:vMerge w:val="restart"/>
                  <w:noWrap w:val="0"/>
                  <w:vAlign w:val="center"/>
                </w:tcPr>
                <w:p w14:paraId="10AC3269">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w:t>
                  </w:r>
                </w:p>
              </w:tc>
              <w:tc>
                <w:tcPr>
                  <w:tcW w:w="207" w:type="pct"/>
                  <w:vMerge w:val="restart"/>
                  <w:noWrap w:val="0"/>
                  <w:vAlign w:val="center"/>
                </w:tcPr>
                <w:p w14:paraId="0AB0ADD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98" w:type="pct"/>
                  <w:noWrap w:val="0"/>
                  <w:vAlign w:val="center"/>
                </w:tcPr>
                <w:p w14:paraId="0CD22D7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6-9</w:t>
                  </w:r>
                  <w:r>
                    <w:rPr>
                      <w:rFonts w:hint="eastAsia" w:ascii="Times New Roman" w:hAnsi="Times New Roman" w:eastAsia="宋体" w:cs="Times New Roman"/>
                      <w:bCs/>
                      <w:color w:val="auto"/>
                      <w:sz w:val="18"/>
                      <w:szCs w:val="18"/>
                      <w:highlight w:val="none"/>
                      <w:lang w:val="en-US" w:eastAsia="zh-CN"/>
                    </w:rPr>
                    <w:t>(无量纲)</w:t>
                  </w:r>
                </w:p>
              </w:tc>
            </w:tr>
            <w:tr w14:paraId="6E8E1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76C6D70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28024770">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092E68E9">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COD</w:t>
                  </w:r>
                </w:p>
              </w:tc>
              <w:tc>
                <w:tcPr>
                  <w:tcW w:w="94" w:type="pct"/>
                  <w:vMerge w:val="continue"/>
                  <w:noWrap w:val="0"/>
                  <w:vAlign w:val="center"/>
                </w:tcPr>
                <w:p w14:paraId="30CCDA20">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4C4DF56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61964D5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143.6</w:t>
                  </w:r>
                </w:p>
              </w:tc>
              <w:tc>
                <w:tcPr>
                  <w:tcW w:w="280" w:type="pct"/>
                  <w:noWrap w:val="0"/>
                  <w:vAlign w:val="center"/>
                </w:tcPr>
                <w:p w14:paraId="23113B8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0.0033</w:t>
                  </w:r>
                </w:p>
              </w:tc>
              <w:tc>
                <w:tcPr>
                  <w:tcW w:w="226" w:type="pct"/>
                  <w:vMerge w:val="continue"/>
                  <w:noWrap w:val="0"/>
                  <w:vAlign w:val="center"/>
                </w:tcPr>
                <w:p w14:paraId="4083E79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4E8CD1E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70%</w:t>
                  </w:r>
                </w:p>
              </w:tc>
              <w:tc>
                <w:tcPr>
                  <w:tcW w:w="197" w:type="pct"/>
                  <w:vMerge w:val="continue"/>
                  <w:noWrap w:val="0"/>
                  <w:vAlign w:val="center"/>
                </w:tcPr>
                <w:p w14:paraId="0FECA35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00179CE1">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7B838921">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bCs/>
                      <w:color w:val="auto"/>
                      <w:sz w:val="18"/>
                      <w:szCs w:val="18"/>
                      <w:highlight w:val="none"/>
                      <w:lang w:val="en-US" w:eastAsia="zh-CN"/>
                    </w:rPr>
                  </w:pPr>
                  <w:r>
                    <w:rPr>
                      <w:rFonts w:hint="eastAsia" w:ascii="Times New Roman" w:hAnsi="Times New Roman"/>
                      <w:bCs/>
                      <w:color w:val="auto"/>
                      <w:sz w:val="18"/>
                      <w:szCs w:val="18"/>
                      <w:highlight w:val="none"/>
                      <w:lang w:val="en-US" w:eastAsia="zh-CN"/>
                    </w:rPr>
                    <w:t>43.1</w:t>
                  </w:r>
                </w:p>
              </w:tc>
              <w:tc>
                <w:tcPr>
                  <w:tcW w:w="258" w:type="pct"/>
                  <w:noWrap w:val="0"/>
                  <w:vAlign w:val="center"/>
                </w:tcPr>
                <w:p w14:paraId="72CC62EA">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0.0010</w:t>
                  </w:r>
                </w:p>
              </w:tc>
              <w:tc>
                <w:tcPr>
                  <w:tcW w:w="554" w:type="pct"/>
                  <w:gridSpan w:val="2"/>
                  <w:vMerge w:val="continue"/>
                  <w:noWrap w:val="0"/>
                  <w:vAlign w:val="center"/>
                </w:tcPr>
                <w:p w14:paraId="24C36E6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0AFA664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120C6F8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23B23664">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72C718B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1ECEAA7F">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0A45525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w:t>
                  </w:r>
                </w:p>
              </w:tc>
            </w:tr>
            <w:tr w14:paraId="6E9A0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0AC44F5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2403FC5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6FE7DD84">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SS</w:t>
                  </w:r>
                </w:p>
              </w:tc>
              <w:tc>
                <w:tcPr>
                  <w:tcW w:w="94" w:type="pct"/>
                  <w:vMerge w:val="continue"/>
                  <w:noWrap w:val="0"/>
                  <w:vAlign w:val="center"/>
                </w:tcPr>
                <w:p w14:paraId="38AAF19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010EA8BA">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5F214A3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160</w:t>
                  </w:r>
                </w:p>
              </w:tc>
              <w:tc>
                <w:tcPr>
                  <w:tcW w:w="280" w:type="pct"/>
                  <w:noWrap w:val="0"/>
                  <w:vAlign w:val="center"/>
                </w:tcPr>
                <w:p w14:paraId="1D2CCBAC">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0.0037</w:t>
                  </w:r>
                </w:p>
              </w:tc>
              <w:tc>
                <w:tcPr>
                  <w:tcW w:w="226" w:type="pct"/>
                  <w:vMerge w:val="continue"/>
                  <w:noWrap w:val="0"/>
                  <w:vAlign w:val="center"/>
                </w:tcPr>
                <w:p w14:paraId="494E0A5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46D2DCD4">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80%</w:t>
                  </w:r>
                </w:p>
              </w:tc>
              <w:tc>
                <w:tcPr>
                  <w:tcW w:w="197" w:type="pct"/>
                  <w:vMerge w:val="continue"/>
                  <w:noWrap w:val="0"/>
                  <w:vAlign w:val="center"/>
                </w:tcPr>
                <w:p w14:paraId="5EAE264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0DD4202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132A50E8">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bCs/>
                      <w:color w:val="auto"/>
                      <w:sz w:val="18"/>
                      <w:szCs w:val="18"/>
                      <w:highlight w:val="none"/>
                      <w:lang w:val="en-US" w:eastAsia="zh-CN"/>
                    </w:rPr>
                  </w:pPr>
                  <w:r>
                    <w:rPr>
                      <w:rFonts w:hint="eastAsia" w:ascii="Times New Roman" w:hAnsi="Times New Roman"/>
                      <w:bCs/>
                      <w:color w:val="auto"/>
                      <w:sz w:val="18"/>
                      <w:szCs w:val="18"/>
                      <w:highlight w:val="none"/>
                      <w:lang w:val="en-US" w:eastAsia="zh-CN"/>
                    </w:rPr>
                    <w:t>32</w:t>
                  </w:r>
                </w:p>
              </w:tc>
              <w:tc>
                <w:tcPr>
                  <w:tcW w:w="258" w:type="pct"/>
                  <w:noWrap w:val="0"/>
                  <w:vAlign w:val="center"/>
                </w:tcPr>
                <w:p w14:paraId="1DC6313C">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0.0007</w:t>
                  </w:r>
                </w:p>
              </w:tc>
              <w:tc>
                <w:tcPr>
                  <w:tcW w:w="554" w:type="pct"/>
                  <w:gridSpan w:val="2"/>
                  <w:vMerge w:val="continue"/>
                  <w:noWrap w:val="0"/>
                  <w:vAlign w:val="center"/>
                </w:tcPr>
                <w:p w14:paraId="72391028">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4EA155F6">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48C5315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136C90DE">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217BDC98">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60BACEF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7B0931A2">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r>
            <w:tr w14:paraId="581A5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5E6781E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0F0F51C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46187992">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NH</w:t>
                  </w:r>
                  <w:r>
                    <w:rPr>
                      <w:rFonts w:hint="default" w:ascii="Times New Roman" w:hAnsi="Times New Roman" w:eastAsia="宋体" w:cs="Times New Roman"/>
                      <w:color w:val="auto"/>
                      <w:sz w:val="18"/>
                      <w:szCs w:val="18"/>
                      <w:highlight w:val="none"/>
                      <w:vertAlign w:val="subscript"/>
                    </w:rPr>
                    <w:t>3</w:t>
                  </w:r>
                  <w:r>
                    <w:rPr>
                      <w:rFonts w:hint="default" w:ascii="Times New Roman" w:hAnsi="Times New Roman" w:eastAsia="宋体" w:cs="Times New Roman"/>
                      <w:color w:val="auto"/>
                      <w:sz w:val="18"/>
                      <w:szCs w:val="18"/>
                      <w:highlight w:val="none"/>
                    </w:rPr>
                    <w:t>-N</w:t>
                  </w:r>
                </w:p>
              </w:tc>
              <w:tc>
                <w:tcPr>
                  <w:tcW w:w="94" w:type="pct"/>
                  <w:vMerge w:val="continue"/>
                  <w:noWrap w:val="0"/>
                  <w:vAlign w:val="center"/>
                </w:tcPr>
                <w:p w14:paraId="68BF6C3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4A1B5A41">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22BA233C">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6.56</w:t>
                  </w:r>
                </w:p>
              </w:tc>
              <w:tc>
                <w:tcPr>
                  <w:tcW w:w="280" w:type="pct"/>
                  <w:noWrap w:val="0"/>
                  <w:vAlign w:val="center"/>
                </w:tcPr>
                <w:p w14:paraId="2019939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0.0002</w:t>
                  </w:r>
                </w:p>
              </w:tc>
              <w:tc>
                <w:tcPr>
                  <w:tcW w:w="226" w:type="pct"/>
                  <w:vMerge w:val="continue"/>
                  <w:noWrap w:val="0"/>
                  <w:vAlign w:val="center"/>
                </w:tcPr>
                <w:p w14:paraId="2C542BCC">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220F61E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30%</w:t>
                  </w:r>
                </w:p>
              </w:tc>
              <w:tc>
                <w:tcPr>
                  <w:tcW w:w="197" w:type="pct"/>
                  <w:vMerge w:val="continue"/>
                  <w:noWrap w:val="0"/>
                  <w:vAlign w:val="center"/>
                </w:tcPr>
                <w:p w14:paraId="30B67F4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73983A1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3DB7312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bCs/>
                      <w:color w:val="auto"/>
                      <w:sz w:val="18"/>
                      <w:szCs w:val="18"/>
                      <w:highlight w:val="none"/>
                      <w:lang w:val="en-US" w:eastAsia="zh-CN"/>
                    </w:rPr>
                  </w:pPr>
                  <w:r>
                    <w:rPr>
                      <w:rFonts w:hint="eastAsia" w:ascii="Times New Roman" w:hAnsi="Times New Roman"/>
                      <w:bCs/>
                      <w:color w:val="auto"/>
                      <w:sz w:val="18"/>
                      <w:szCs w:val="18"/>
                      <w:highlight w:val="none"/>
                      <w:lang w:val="en-US" w:eastAsia="zh-CN"/>
                    </w:rPr>
                    <w:t>4.6</w:t>
                  </w:r>
                </w:p>
              </w:tc>
              <w:tc>
                <w:tcPr>
                  <w:tcW w:w="258" w:type="pct"/>
                  <w:noWrap w:val="0"/>
                  <w:vAlign w:val="center"/>
                </w:tcPr>
                <w:p w14:paraId="5F62083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0.0001</w:t>
                  </w:r>
                </w:p>
              </w:tc>
              <w:tc>
                <w:tcPr>
                  <w:tcW w:w="554" w:type="pct"/>
                  <w:gridSpan w:val="2"/>
                  <w:vMerge w:val="continue"/>
                  <w:noWrap w:val="0"/>
                  <w:vAlign w:val="center"/>
                </w:tcPr>
                <w:p w14:paraId="621611E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1456AF6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0B0BA9F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670CE848">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062FA72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5C810AD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3065717D">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w:t>
                  </w:r>
                </w:p>
              </w:tc>
            </w:tr>
            <w:tr w14:paraId="75639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6" w:type="pct"/>
                  <w:vMerge w:val="continue"/>
                  <w:noWrap w:val="0"/>
                  <w:vAlign w:val="center"/>
                </w:tcPr>
                <w:p w14:paraId="721CCEF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22" w:type="pct"/>
                  <w:vMerge w:val="continue"/>
                  <w:noWrap w:val="0"/>
                  <w:vAlign w:val="center"/>
                </w:tcPr>
                <w:p w14:paraId="025149E9">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38" w:type="pct"/>
                  <w:noWrap w:val="0"/>
                  <w:vAlign w:val="center"/>
                </w:tcPr>
                <w:p w14:paraId="14750B0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石油类</w:t>
                  </w:r>
                </w:p>
              </w:tc>
              <w:tc>
                <w:tcPr>
                  <w:tcW w:w="94" w:type="pct"/>
                  <w:vMerge w:val="continue"/>
                  <w:noWrap w:val="0"/>
                  <w:vAlign w:val="center"/>
                </w:tcPr>
                <w:p w14:paraId="05ECF77B">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05" w:type="pct"/>
                  <w:vMerge w:val="continue"/>
                  <w:noWrap w:val="0"/>
                  <w:vAlign w:val="center"/>
                </w:tcPr>
                <w:p w14:paraId="49EE9077">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216" w:type="pct"/>
                  <w:noWrap w:val="0"/>
                  <w:vAlign w:val="center"/>
                </w:tcPr>
                <w:p w14:paraId="2F596E67">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4.32</w:t>
                  </w:r>
                </w:p>
              </w:tc>
              <w:tc>
                <w:tcPr>
                  <w:tcW w:w="280" w:type="pct"/>
                  <w:noWrap w:val="0"/>
                  <w:vAlign w:val="center"/>
                </w:tcPr>
                <w:p w14:paraId="231CB92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ascii="Times New Roman" w:hAnsi="Times New Roman" w:eastAsia="宋体" w:cs="Times New Roman"/>
                      <w:bCs/>
                      <w:color w:val="auto"/>
                      <w:kern w:val="2"/>
                      <w:sz w:val="18"/>
                      <w:szCs w:val="18"/>
                      <w:highlight w:val="none"/>
                      <w:lang w:val="en-US" w:eastAsia="zh-CN" w:bidi="ar-SA"/>
                    </w:rPr>
                    <w:t>0.0001</w:t>
                  </w:r>
                </w:p>
              </w:tc>
              <w:tc>
                <w:tcPr>
                  <w:tcW w:w="226" w:type="pct"/>
                  <w:vMerge w:val="continue"/>
                  <w:noWrap w:val="0"/>
                  <w:vAlign w:val="center"/>
                </w:tcPr>
                <w:p w14:paraId="3426858C">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noWrap w:val="0"/>
                  <w:vAlign w:val="center"/>
                </w:tcPr>
                <w:p w14:paraId="49E42B29">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75%</w:t>
                  </w:r>
                </w:p>
              </w:tc>
              <w:tc>
                <w:tcPr>
                  <w:tcW w:w="197" w:type="pct"/>
                  <w:vMerge w:val="continue"/>
                  <w:noWrap w:val="0"/>
                  <w:vAlign w:val="center"/>
                </w:tcPr>
                <w:p w14:paraId="71DC608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9" w:type="pct"/>
                  <w:vMerge w:val="continue"/>
                  <w:noWrap w:val="0"/>
                  <w:vAlign w:val="center"/>
                </w:tcPr>
                <w:p w14:paraId="63F5FB9F">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03" w:type="pct"/>
                  <w:noWrap w:val="0"/>
                  <w:vAlign w:val="center"/>
                </w:tcPr>
                <w:p w14:paraId="2F5C4CAA">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bCs/>
                      <w:color w:val="auto"/>
                      <w:sz w:val="18"/>
                      <w:szCs w:val="18"/>
                      <w:highlight w:val="none"/>
                      <w:lang w:val="en-US" w:eastAsia="zh-CN"/>
                    </w:rPr>
                  </w:pPr>
                  <w:r>
                    <w:rPr>
                      <w:rFonts w:hint="eastAsia" w:ascii="Times New Roman" w:hAnsi="Times New Roman"/>
                      <w:bCs/>
                      <w:color w:val="auto"/>
                      <w:sz w:val="18"/>
                      <w:szCs w:val="18"/>
                      <w:highlight w:val="none"/>
                      <w:lang w:val="en-US" w:eastAsia="zh-CN"/>
                    </w:rPr>
                    <w:t>1.1</w:t>
                  </w:r>
                </w:p>
              </w:tc>
              <w:tc>
                <w:tcPr>
                  <w:tcW w:w="258" w:type="pct"/>
                  <w:noWrap w:val="0"/>
                  <w:vAlign w:val="center"/>
                </w:tcPr>
                <w:p w14:paraId="3EE7A96A">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0.00003</w:t>
                  </w:r>
                </w:p>
              </w:tc>
              <w:tc>
                <w:tcPr>
                  <w:tcW w:w="554" w:type="pct"/>
                  <w:gridSpan w:val="2"/>
                  <w:vMerge w:val="continue"/>
                  <w:noWrap w:val="0"/>
                  <w:vAlign w:val="center"/>
                </w:tcPr>
                <w:p w14:paraId="3B7ACAFC">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170" w:type="pct"/>
                  <w:vMerge w:val="continue"/>
                  <w:noWrap w:val="0"/>
                  <w:vAlign w:val="center"/>
                </w:tcPr>
                <w:p w14:paraId="2E4EBFE0">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23" w:type="pct"/>
                  <w:vMerge w:val="continue"/>
                  <w:noWrap w:val="0"/>
                  <w:vAlign w:val="center"/>
                </w:tcPr>
                <w:p w14:paraId="3266AD05">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21" w:type="pct"/>
                  <w:vMerge w:val="continue"/>
                  <w:noWrap w:val="0"/>
                  <w:vAlign w:val="center"/>
                </w:tcPr>
                <w:p w14:paraId="04B945E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458" w:type="pct"/>
                  <w:vMerge w:val="continue"/>
                  <w:noWrap w:val="0"/>
                  <w:vAlign w:val="center"/>
                </w:tcPr>
                <w:p w14:paraId="1DADF84F">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sz w:val="18"/>
                      <w:szCs w:val="18"/>
                      <w:highlight w:val="none"/>
                    </w:rPr>
                  </w:pPr>
                </w:p>
              </w:tc>
              <w:tc>
                <w:tcPr>
                  <w:tcW w:w="207" w:type="pct"/>
                  <w:vMerge w:val="continue"/>
                  <w:noWrap w:val="0"/>
                  <w:vAlign w:val="center"/>
                </w:tcPr>
                <w:p w14:paraId="4286C3A4">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18"/>
                      <w:szCs w:val="18"/>
                      <w:highlight w:val="none"/>
                    </w:rPr>
                  </w:pPr>
                </w:p>
              </w:tc>
              <w:tc>
                <w:tcPr>
                  <w:tcW w:w="398" w:type="pct"/>
                  <w:noWrap w:val="0"/>
                  <w:vAlign w:val="center"/>
                </w:tcPr>
                <w:p w14:paraId="2FFE2049">
                  <w:pPr>
                    <w:pStyle w:val="48"/>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w:t>
                  </w:r>
                </w:p>
              </w:tc>
            </w:tr>
            <w:bookmarkEnd w:id="36"/>
          </w:tbl>
          <w:p w14:paraId="06146ACF">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黑体" w:cs="Times New Roman"/>
                <w:color w:val="auto"/>
                <w:sz w:val="24"/>
                <w:szCs w:val="24"/>
                <w:vertAlign w:val="baseline"/>
                <w:lang w:val="en-US" w:eastAsia="zh-CN"/>
              </w:rPr>
            </w:pPr>
          </w:p>
        </w:tc>
      </w:tr>
    </w:tbl>
    <w:p w14:paraId="4E69EFD4">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黑体" w:cs="Times New Roman"/>
          <w:color w:val="auto"/>
          <w:sz w:val="24"/>
          <w:szCs w:val="24"/>
          <w:lang w:val="en-US" w:eastAsia="zh-CN"/>
        </w:rPr>
      </w:pPr>
    </w:p>
    <w:p w14:paraId="3CD28F76">
      <w:pPr>
        <w:rPr>
          <w:rFonts w:hint="default" w:ascii="Times New Roman" w:hAnsi="Times New Roman" w:cs="Times New Roman"/>
          <w:b/>
          <w:color w:val="auto"/>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4"/>
        <w:gridCol w:w="8243"/>
      </w:tblGrid>
      <w:tr w14:paraId="13F2D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4" w:hRule="atLeast"/>
          <w:jc w:val="center"/>
        </w:trPr>
        <w:tc>
          <w:tcPr>
            <w:tcW w:w="744" w:type="dxa"/>
            <w:noWrap w:val="0"/>
            <w:tcMar>
              <w:left w:w="28" w:type="dxa"/>
              <w:right w:w="28" w:type="dxa"/>
            </w:tcMar>
            <w:vAlign w:val="center"/>
          </w:tcPr>
          <w:p w14:paraId="7DFDB6B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4E3A4AB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6314B37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3ACBA08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1D72AD8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16ED3A5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243" w:type="dxa"/>
            <w:noWrap w:val="0"/>
            <w:vAlign w:val="center"/>
          </w:tcPr>
          <w:p w14:paraId="1FAC39BB">
            <w:pPr>
              <w:pStyle w:val="7"/>
              <w:keepNext w:val="0"/>
              <w:keepLines w:val="0"/>
              <w:spacing w:line="360" w:lineRule="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4.</w:t>
            </w: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lang w:val="en-US" w:eastAsia="zh-CN"/>
              </w:rPr>
              <w:t>.2运营期水环境影响及污染防治措施可行性分析</w:t>
            </w:r>
          </w:p>
          <w:p w14:paraId="64A92A94">
            <w:pPr>
              <w:pStyle w:val="7"/>
              <w:keepNext w:val="0"/>
              <w:keepLines w:val="0"/>
              <w:spacing w:line="360" w:lineRule="auto"/>
              <w:rPr>
                <w:rFonts w:hint="default" w:ascii="Times New Roman" w:hAnsi="Times New Roman" w:eastAsia="宋体"/>
                <w:b/>
                <w:bCs/>
                <w:color w:val="auto"/>
                <w:sz w:val="24"/>
                <w:szCs w:val="24"/>
                <w:lang w:val="en-US" w:eastAsia="zh-CN"/>
              </w:rPr>
            </w:pPr>
            <w:r>
              <w:rPr>
                <w:rFonts w:hint="eastAsia" w:ascii="Times New Roman" w:hAnsi="Times New Roman" w:eastAsia="宋体" w:cs="Times New Roman"/>
                <w:b/>
                <w:color w:val="auto"/>
                <w:sz w:val="24"/>
              </w:rPr>
              <w:t>4.</w:t>
            </w:r>
            <w:r>
              <w:rPr>
                <w:rFonts w:hint="eastAsia" w:ascii="Times New Roman" w:hAnsi="Times New Roman" w:eastAsia="宋体" w:cs="Times New Roman"/>
                <w:b/>
                <w:color w:val="auto"/>
                <w:sz w:val="24"/>
                <w:lang w:val="en-US" w:eastAsia="zh-CN"/>
              </w:rPr>
              <w:t>3</w:t>
            </w:r>
            <w:r>
              <w:rPr>
                <w:rFonts w:hint="eastAsia" w:ascii="Times New Roman" w:hAnsi="Times New Roman" w:eastAsia="宋体" w:cs="Times New Roman"/>
                <w:b/>
                <w:color w:val="auto"/>
                <w:sz w:val="24"/>
              </w:rPr>
              <w:t>.2.</w:t>
            </w:r>
            <w:r>
              <w:rPr>
                <w:rFonts w:hint="eastAsia" w:ascii="Times New Roman" w:hAnsi="Times New Roman" w:eastAsia="宋体" w:cs="Times New Roman"/>
                <w:b/>
                <w:color w:val="auto"/>
                <w:sz w:val="24"/>
                <w:lang w:val="en-US" w:eastAsia="zh-CN"/>
              </w:rPr>
              <w:t>1作业区露天区域初期雨水、清洁废水处理可行性分析</w:t>
            </w:r>
          </w:p>
          <w:p w14:paraId="3E7AE940">
            <w:pPr>
              <w:tabs>
                <w:tab w:val="left" w:pos="3420"/>
              </w:tabs>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（1）处理措施</w:t>
            </w:r>
          </w:p>
          <w:p w14:paraId="209736A5">
            <w:pPr>
              <w:tabs>
                <w:tab w:val="left" w:pos="3420"/>
              </w:tabs>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本项目运营期清洁废水、作业区露天区域初期雨水经配套导流沟、清洁池管道收集后进入收集池暂存</w:t>
            </w:r>
            <w:r>
              <w:rPr>
                <w:rFonts w:hint="eastAsia" w:ascii="Times New Roman" w:hAnsi="Times New Roman" w:cs="Times New Roman"/>
                <w:color w:val="auto"/>
                <w:sz w:val="24"/>
                <w:lang w:eastAsia="zh-CN"/>
              </w:rPr>
              <w:t>调节</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送入</w:t>
            </w:r>
            <w:r>
              <w:rPr>
                <w:rFonts w:hint="eastAsia" w:ascii="Times New Roman" w:hAnsi="Times New Roman" w:cs="Times New Roman"/>
                <w:color w:val="auto"/>
                <w:sz w:val="24"/>
                <w:lang w:val="en-US" w:eastAsia="zh-CN"/>
              </w:rPr>
              <w:t>废水处理设施</w:t>
            </w:r>
            <w:r>
              <w:rPr>
                <w:rFonts w:hint="eastAsia" w:ascii="Times New Roman" w:hAnsi="Times New Roman" w:cs="Times New Roman"/>
                <w:color w:val="auto"/>
                <w:sz w:val="24"/>
                <w:lang w:eastAsia="zh-CN"/>
              </w:rPr>
              <w:t>（油水分离+混凝沉淀+过滤）处理达标，全部回用于场地洒水清扫、停车区冲洗，不外排，</w:t>
            </w:r>
            <w:r>
              <w:rPr>
                <w:rFonts w:hint="default" w:ascii="Times New Roman" w:hAnsi="Times New Roman" w:cs="Times New Roman"/>
                <w:color w:val="auto"/>
                <w:sz w:val="24"/>
              </w:rPr>
              <w:t>具体处理工艺流程如图4.</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-1。</w:t>
            </w:r>
          </w:p>
          <w:p w14:paraId="5D286A44">
            <w:pPr>
              <w:keepNext w:val="0"/>
              <w:keepLines w:val="0"/>
              <w:pageBreakBefore w:val="0"/>
              <w:widowControl w:val="0"/>
              <w:kinsoku/>
              <w:wordWrap/>
              <w:overflowPunct/>
              <w:topLinePunct w:val="0"/>
              <w:autoSpaceDE/>
              <w:autoSpaceDN/>
              <w:bidi w:val="0"/>
              <w:adjustRightInd w:val="0"/>
              <w:snapToGrid w:val="0"/>
              <w:spacing w:after="157" w:afterLines="50" w:line="360" w:lineRule="auto"/>
              <w:jc w:val="center"/>
              <w:textAlignment w:val="auto"/>
              <w:rPr>
                <w:rFonts w:hint="eastAsia" w:ascii="Times New Roman" w:hAnsi="Times New Roman" w:eastAsia="宋体" w:cs="Times New Roman"/>
                <w:b/>
                <w:bCs w:val="0"/>
                <w:color w:val="auto"/>
                <w:sz w:val="28"/>
                <w:szCs w:val="28"/>
                <w:lang w:eastAsia="zh-CN"/>
              </w:rPr>
            </w:pPr>
            <w:r>
              <w:rPr>
                <w:rFonts w:hint="eastAsia" w:ascii="Times New Roman" w:hAnsi="Times New Roman" w:eastAsia="宋体" w:cs="Times New Roman"/>
                <w:b/>
                <w:bCs w:val="0"/>
                <w:color w:val="auto"/>
                <w:sz w:val="28"/>
                <w:szCs w:val="28"/>
                <w:lang w:eastAsia="zh-CN"/>
              </w:rPr>
              <w:drawing>
                <wp:inline distT="0" distB="0" distL="114300" distR="114300">
                  <wp:extent cx="3249295" cy="3453765"/>
                  <wp:effectExtent l="0" t="0" r="0" b="0"/>
                  <wp:docPr id="18" name="图片 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wps"/>
                          <pic:cNvPicPr>
                            <a:picLocks noChangeAspect="1"/>
                          </pic:cNvPicPr>
                        </pic:nvPicPr>
                        <pic:blipFill>
                          <a:blip r:embed="rId15"/>
                          <a:stretch>
                            <a:fillRect/>
                          </a:stretch>
                        </pic:blipFill>
                        <pic:spPr>
                          <a:xfrm>
                            <a:off x="0" y="0"/>
                            <a:ext cx="3249295" cy="3453765"/>
                          </a:xfrm>
                          <a:prstGeom prst="rect">
                            <a:avLst/>
                          </a:prstGeom>
                          <a:noFill/>
                          <a:ln>
                            <a:noFill/>
                          </a:ln>
                        </pic:spPr>
                      </pic:pic>
                    </a:graphicData>
                  </a:graphic>
                </wp:inline>
              </w:drawing>
            </w:r>
          </w:p>
          <w:p w14:paraId="3159A7A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黑体" w:cs="Times New Roman"/>
                <w:color w:val="auto"/>
                <w:sz w:val="24"/>
                <w:szCs w:val="24"/>
                <w:highlight w:val="none"/>
                <w:lang w:val="en-US" w:eastAsia="zh-CN"/>
              </w:rPr>
            </w:pPr>
            <w:r>
              <w:rPr>
                <w:rFonts w:hint="eastAsia" w:ascii="Times New Roman" w:hAnsi="Times New Roman" w:eastAsia="黑体" w:cs="Times New Roman"/>
                <w:color w:val="auto"/>
                <w:sz w:val="24"/>
                <w:szCs w:val="24"/>
                <w:highlight w:val="none"/>
                <w:lang w:val="en-US" w:eastAsia="zh-CN"/>
              </w:rPr>
              <w:t>图4.3-1 作业区露天区域初期雨水、清洁废水工艺流程图</w:t>
            </w:r>
          </w:p>
          <w:p w14:paraId="634CC47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工艺流程说明：</w:t>
            </w:r>
          </w:p>
          <w:p w14:paraId="180FB23D">
            <w:pPr>
              <w:numPr>
                <w:ilvl w:val="0"/>
                <w:numId w:val="13"/>
              </w:num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收集池</w:t>
            </w:r>
          </w:p>
          <w:p w14:paraId="445D7888">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用于收集暂存废水，同时</w:t>
            </w:r>
            <w:r>
              <w:rPr>
                <w:rFonts w:hint="default" w:ascii="Times New Roman" w:hAnsi="Times New Roman" w:eastAsia="宋体" w:cs="Times New Roman"/>
                <w:color w:val="auto"/>
                <w:sz w:val="24"/>
                <w:szCs w:val="24"/>
                <w:highlight w:val="none"/>
                <w:lang w:val="en-US" w:eastAsia="zh-CN"/>
              </w:rPr>
              <w:t>加以均衡</w:t>
            </w:r>
            <w:r>
              <w:rPr>
                <w:rFonts w:hint="eastAsia" w:ascii="Times New Roman" w:hAnsi="Times New Roman" w:eastAsia="宋体" w:cs="Times New Roman"/>
                <w:color w:val="auto"/>
                <w:sz w:val="24"/>
                <w:szCs w:val="24"/>
                <w:highlight w:val="none"/>
                <w:lang w:val="en-US" w:eastAsia="zh-CN"/>
              </w:rPr>
              <w:t>调节</w:t>
            </w:r>
            <w:r>
              <w:rPr>
                <w:rFonts w:hint="default" w:ascii="Times New Roman" w:hAnsi="Times New Roman" w:eastAsia="宋体" w:cs="Times New Roman"/>
                <w:color w:val="auto"/>
                <w:sz w:val="24"/>
                <w:szCs w:val="24"/>
                <w:highlight w:val="none"/>
                <w:lang w:val="en-US" w:eastAsia="zh-CN"/>
              </w:rPr>
              <w:t>。</w:t>
            </w:r>
          </w:p>
          <w:p w14:paraId="581CF110">
            <w:pPr>
              <w:numPr>
                <w:ilvl w:val="0"/>
                <w:numId w:val="13"/>
              </w:numPr>
              <w:spacing w:line="360" w:lineRule="auto"/>
              <w:ind w:left="0" w:leftChars="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油水分离器</w:t>
            </w:r>
          </w:p>
          <w:p w14:paraId="5D58D0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包含化学破乳和隔油分离两部分功能，主要用于去除废水中的油类物质。通过投加破乳剂CaCl</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进行破乳，破乳剂投加后，使含油废水中的自由水分子减少，对油珠产生脱水作用，从而破坏了油珠的水化层，中和了油珠的电性，破坏了它的双电层结构，因而油珠失去了稳定性，产生凝聚现象，起到油水分离的目的。油水分离器利用乳化液中的油和水的不同密度，在重力作用下进行分离，油浮于废水表面。分离产生的浮油经带式除油机输出进入废油回收罐。经油水分离器处理后，可有效去除废水中石油类。油水分离器出水自流入混凝反应池。</w:t>
            </w:r>
          </w:p>
          <w:p w14:paraId="626694C7">
            <w:pPr>
              <w:numPr>
                <w:ilvl w:val="0"/>
                <w:numId w:val="13"/>
              </w:numPr>
              <w:spacing w:line="360" w:lineRule="auto"/>
              <w:ind w:left="0" w:leftChars="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混凝反应池</w:t>
            </w:r>
          </w:p>
          <w:p w14:paraId="570238BD">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反应池内投加</w:t>
            </w:r>
            <w:r>
              <w:rPr>
                <w:rFonts w:hint="eastAsia" w:ascii="Times New Roman" w:hAnsi="Times New Roman" w:eastAsia="宋体" w:cs="Times New Roman"/>
                <w:color w:val="auto"/>
                <w:sz w:val="24"/>
                <w:szCs w:val="24"/>
                <w:highlight w:val="none"/>
                <w:lang w:val="en-US" w:eastAsia="zh-CN"/>
              </w:rPr>
              <w:t>PAC、PAM完成混凝反应过程，形成絮体颗粒</w:t>
            </w:r>
            <w:r>
              <w:rPr>
                <w:rFonts w:hint="default" w:ascii="Times New Roman" w:hAnsi="Times New Roman" w:eastAsia="宋体" w:cs="Times New Roman"/>
                <w:color w:val="auto"/>
                <w:sz w:val="24"/>
                <w:szCs w:val="24"/>
                <w:highlight w:val="none"/>
                <w:lang w:val="en-US" w:eastAsia="zh-CN"/>
              </w:rPr>
              <w:t>，从而更有利于分离。</w:t>
            </w:r>
          </w:p>
          <w:p w14:paraId="489DDDD9">
            <w:pPr>
              <w:numPr>
                <w:ilvl w:val="0"/>
                <w:numId w:val="13"/>
              </w:numPr>
              <w:spacing w:line="360" w:lineRule="auto"/>
              <w:ind w:left="0" w:leftChars="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沉淀池</w:t>
            </w:r>
          </w:p>
          <w:p w14:paraId="0D15C27F">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对混凝反应后的废水进行固液分离，上清液</w:t>
            </w:r>
            <w:r>
              <w:rPr>
                <w:rFonts w:hint="eastAsia" w:ascii="Times New Roman" w:hAnsi="Times New Roman" w:eastAsia="宋体" w:cs="Times New Roman"/>
                <w:color w:val="auto"/>
                <w:sz w:val="24"/>
                <w:szCs w:val="24"/>
                <w:highlight w:val="none"/>
                <w:lang w:val="en-US" w:eastAsia="zh-CN"/>
              </w:rPr>
              <w:t>进入后续过滤</w:t>
            </w:r>
            <w:r>
              <w:rPr>
                <w:rFonts w:hint="default" w:ascii="Times New Roman" w:hAnsi="Times New Roman" w:eastAsia="宋体" w:cs="Times New Roman"/>
                <w:color w:val="auto"/>
                <w:sz w:val="24"/>
                <w:szCs w:val="24"/>
                <w:highlight w:val="none"/>
                <w:lang w:val="en-US" w:eastAsia="zh-CN"/>
              </w:rPr>
              <w:t>；沉淀后的污泥进行压榨脱水处理。</w:t>
            </w:r>
          </w:p>
          <w:p w14:paraId="2CB9F951">
            <w:pPr>
              <w:numPr>
                <w:ilvl w:val="0"/>
                <w:numId w:val="13"/>
              </w:numPr>
              <w:spacing w:line="360" w:lineRule="auto"/>
              <w:ind w:left="0" w:leftChars="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石英砂过滤、活性炭吸附处理</w:t>
            </w:r>
          </w:p>
          <w:p w14:paraId="31D5D856">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石英砂过滤器是利用石英砂作为过滤介质，在相应的压力下，把浊度较高的水通过相应厚度的粒状或非粒的石英砂过滤，截留除去水中的悬浮物、胶质颗粒、微生物等，活性炭过滤器主要的应用耗材是活性炭，活性炭具有较强的吸附作用，能够滤除水中含有的有机物、异味、异色等。</w:t>
            </w:r>
          </w:p>
          <w:p w14:paraId="1033303B">
            <w:pPr>
              <w:numPr>
                <w:ilvl w:val="0"/>
                <w:numId w:val="13"/>
              </w:numPr>
              <w:spacing w:line="360" w:lineRule="auto"/>
              <w:ind w:left="0" w:leftChars="0"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回用水池</w:t>
            </w:r>
          </w:p>
          <w:p w14:paraId="6183FFCF">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过滤后水暂存于回用水池内，通过临时管道、水泵输送至场地洒水清扫、停车区冲洗回用环节。</w:t>
            </w:r>
          </w:p>
          <w:p w14:paraId="6A17F3C7">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参考</w:t>
            </w:r>
            <w:r>
              <w:rPr>
                <w:rFonts w:hint="default" w:ascii="Times New Roman" w:hAnsi="Times New Roman" w:eastAsia="宋体" w:cs="Times New Roman"/>
                <w:color w:val="auto"/>
                <w:sz w:val="24"/>
                <w:szCs w:val="24"/>
                <w:highlight w:val="none"/>
                <w:lang w:val="en-US" w:eastAsia="zh-CN"/>
              </w:rPr>
              <w:t>《排污许可证申请与核发技术规范 汽车制造业》</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HJ 971-2018</w:t>
            </w:r>
            <w:r>
              <w:rPr>
                <w:rFonts w:hint="eastAsia" w:ascii="Times New Roman" w:hAnsi="Times New Roman" w:eastAsia="宋体" w:cs="Times New Roman"/>
                <w:color w:val="auto"/>
                <w:sz w:val="24"/>
                <w:szCs w:val="24"/>
                <w:highlight w:val="none"/>
                <w:lang w:val="en-US" w:eastAsia="zh-CN"/>
              </w:rPr>
              <w:t>）中表26 废水污染治理推荐可行技术，项目所采用的清洁废水、作业区露天区域初期雨水治理措施属于可行技术。根据前文预测，清洁废水、作业区露天区域初期雨水经处理后可达到《城市污水再生利用 城市杂用水水质》(GB8978-1996)表1中道路清扫水质标准，回用于场地洒水清扫、停车区冲洗，不外排。</w:t>
            </w:r>
          </w:p>
          <w:p w14:paraId="5C3C71B8">
            <w:pPr>
              <w:keepNext w:val="0"/>
              <w:keepLines w:val="0"/>
              <w:widowControl/>
              <w:suppressLineNumbers w:val="0"/>
              <w:spacing w:before="157" w:beforeLines="50"/>
              <w:ind w:firstLine="0" w:firstLineChars="0"/>
              <w:jc w:val="center"/>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表4.</w:t>
            </w:r>
            <w:r>
              <w:rPr>
                <w:rFonts w:hint="eastAsia"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lang w:val="en-US" w:eastAsia="zh-CN"/>
              </w:rPr>
              <w:t>-</w:t>
            </w:r>
            <w:r>
              <w:rPr>
                <w:rFonts w:hint="eastAsia" w:ascii="Times New Roman" w:hAnsi="Times New Roman" w:eastAsia="黑体" w:cs="Times New Roman"/>
                <w:color w:val="auto"/>
                <w:sz w:val="24"/>
                <w:lang w:val="en-US" w:eastAsia="zh-CN"/>
              </w:rPr>
              <w:t>3 废弃资源加工工业排污单位废水污染防治推荐可行技术</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198"/>
              <w:gridCol w:w="984"/>
              <w:gridCol w:w="1626"/>
              <w:gridCol w:w="1863"/>
              <w:gridCol w:w="1610"/>
              <w:gridCol w:w="740"/>
            </w:tblGrid>
            <w:tr w14:paraId="6D38F93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746" w:type="pct"/>
                  <w:tcBorders>
                    <w:tl2br w:val="nil"/>
                    <w:tr2bl w:val="nil"/>
                  </w:tcBorders>
                  <w:noWrap w:val="0"/>
                  <w:vAlign w:val="center"/>
                </w:tcPr>
                <w:p w14:paraId="778B63B8">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废弃资源种类</w:t>
                  </w:r>
                </w:p>
              </w:tc>
              <w:tc>
                <w:tcPr>
                  <w:tcW w:w="613" w:type="pct"/>
                  <w:tcBorders>
                    <w:tl2br w:val="nil"/>
                    <w:tr2bl w:val="nil"/>
                  </w:tcBorders>
                  <w:noWrap w:val="0"/>
                  <w:vAlign w:val="center"/>
                </w:tcPr>
                <w:p w14:paraId="117612A5">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废水类别</w:t>
                  </w:r>
                </w:p>
              </w:tc>
              <w:tc>
                <w:tcPr>
                  <w:tcW w:w="1013" w:type="pct"/>
                  <w:tcBorders>
                    <w:tl2br w:val="nil"/>
                    <w:tr2bl w:val="nil"/>
                  </w:tcBorders>
                  <w:noWrap w:val="0"/>
                  <w:vAlign w:val="center"/>
                </w:tcPr>
                <w:p w14:paraId="0BE82966">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污染物种类</w:t>
                  </w:r>
                </w:p>
              </w:tc>
              <w:tc>
                <w:tcPr>
                  <w:tcW w:w="1161" w:type="pct"/>
                  <w:tcBorders>
                    <w:tl2br w:val="nil"/>
                    <w:tr2bl w:val="nil"/>
                  </w:tcBorders>
                  <w:noWrap w:val="0"/>
                  <w:vAlign w:val="center"/>
                </w:tcPr>
                <w:p w14:paraId="5D380250">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可行技术</w:t>
                  </w:r>
                </w:p>
              </w:tc>
              <w:tc>
                <w:tcPr>
                  <w:tcW w:w="1003" w:type="pct"/>
                  <w:tcBorders>
                    <w:tl2br w:val="nil"/>
                    <w:tr2bl w:val="nil"/>
                  </w:tcBorders>
                  <w:noWrap w:val="0"/>
                  <w:vAlign w:val="center"/>
                </w:tcPr>
                <w:p w14:paraId="03C32973">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w:t>
                  </w:r>
                </w:p>
              </w:tc>
              <w:tc>
                <w:tcPr>
                  <w:tcW w:w="461" w:type="pct"/>
                  <w:tcBorders>
                    <w:tl2br w:val="nil"/>
                    <w:tr2bl w:val="nil"/>
                  </w:tcBorders>
                  <w:noWrap w:val="0"/>
                  <w:vAlign w:val="center"/>
                </w:tcPr>
                <w:p w14:paraId="1ABE18E6">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是否</w:t>
                  </w:r>
                </w:p>
                <w:p w14:paraId="5721BEB1">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可行</w:t>
                  </w:r>
                </w:p>
              </w:tc>
            </w:tr>
            <w:tr w14:paraId="1A8F880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746" w:type="pct"/>
                  <w:tcBorders>
                    <w:tl2br w:val="nil"/>
                    <w:tr2bl w:val="nil"/>
                  </w:tcBorders>
                  <w:noWrap w:val="0"/>
                  <w:vAlign w:val="center"/>
                </w:tcPr>
                <w:p w14:paraId="7AA0C7EC">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废弃电器电子产品、</w:t>
                  </w:r>
                  <w:r>
                    <w:rPr>
                      <w:rFonts w:hint="eastAsia" w:ascii="Times New Roman" w:hAnsi="Times New Roman" w:eastAsia="宋体" w:cs="Times New Roman"/>
                      <w:b/>
                      <w:bCs/>
                      <w:color w:val="auto"/>
                      <w:sz w:val="21"/>
                      <w:szCs w:val="21"/>
                      <w:vertAlign w:val="baseline"/>
                      <w:lang w:val="en-US" w:eastAsia="zh-CN"/>
                    </w:rPr>
                    <w:t>废机动车</w:t>
                  </w:r>
                  <w:r>
                    <w:rPr>
                      <w:rFonts w:hint="eastAsia"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bCs/>
                      <w:color w:val="auto"/>
                      <w:sz w:val="21"/>
                      <w:szCs w:val="21"/>
                      <w:vertAlign w:val="baseline"/>
                      <w:lang w:val="en-US" w:eastAsia="zh-CN"/>
                    </w:rPr>
                    <w:t>废电机</w:t>
                  </w:r>
                  <w:r>
                    <w:rPr>
                      <w:rFonts w:hint="eastAsia" w:ascii="Times New Roman" w:hAnsi="Times New Roman" w:eastAsia="宋体" w:cs="Times New Roman"/>
                      <w:b w:val="0"/>
                      <w:bCs w:val="0"/>
                      <w:color w:val="auto"/>
                      <w:sz w:val="21"/>
                      <w:szCs w:val="21"/>
                      <w:vertAlign w:val="baseline"/>
                      <w:lang w:val="en-US" w:eastAsia="zh-CN"/>
                    </w:rPr>
                    <w:t>、废五金、</w:t>
                  </w:r>
                  <w:r>
                    <w:rPr>
                      <w:rFonts w:hint="eastAsia" w:ascii="Times New Roman" w:hAnsi="Times New Roman" w:eastAsia="宋体" w:cs="Times New Roman"/>
                      <w:b/>
                      <w:bCs/>
                      <w:color w:val="auto"/>
                      <w:sz w:val="21"/>
                      <w:szCs w:val="21"/>
                      <w:vertAlign w:val="baseline"/>
                      <w:lang w:val="en-US" w:eastAsia="zh-CN"/>
                    </w:rPr>
                    <w:t>其他废弃资源</w:t>
                  </w:r>
                </w:p>
              </w:tc>
              <w:tc>
                <w:tcPr>
                  <w:tcW w:w="613" w:type="pct"/>
                  <w:tcBorders>
                    <w:tl2br w:val="nil"/>
                    <w:tr2bl w:val="nil"/>
                  </w:tcBorders>
                  <w:noWrap w:val="0"/>
                  <w:vAlign w:val="center"/>
                </w:tcPr>
                <w:p w14:paraId="64AF04DD">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综合废水</w:t>
                  </w:r>
                </w:p>
              </w:tc>
              <w:tc>
                <w:tcPr>
                  <w:tcW w:w="1013" w:type="pct"/>
                  <w:tcBorders>
                    <w:tl2br w:val="nil"/>
                    <w:tr2bl w:val="nil"/>
                  </w:tcBorders>
                  <w:noWrap w:val="0"/>
                  <w:vAlign w:val="center"/>
                </w:tcPr>
                <w:p w14:paraId="7B10D811">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pH 值、化学需氧量、石油类、氨氮、悬浮物</w:t>
                  </w:r>
                </w:p>
              </w:tc>
              <w:tc>
                <w:tcPr>
                  <w:tcW w:w="1161" w:type="pct"/>
                  <w:tcBorders>
                    <w:tl2br w:val="nil"/>
                    <w:tr2bl w:val="nil"/>
                  </w:tcBorders>
                  <w:noWrap w:val="0"/>
                  <w:vAlign w:val="center"/>
                </w:tcPr>
                <w:p w14:paraId="7DD5DF2A">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均质+隔油池+絮凝+沉淀，</w:t>
                  </w:r>
                  <w:r>
                    <w:rPr>
                      <w:rFonts w:hint="eastAsia" w:ascii="Times New Roman" w:hAnsi="Times New Roman" w:eastAsia="宋体" w:cs="Times New Roman"/>
                      <w:b/>
                      <w:bCs/>
                      <w:color w:val="auto"/>
                      <w:sz w:val="21"/>
                      <w:szCs w:val="21"/>
                      <w:vertAlign w:val="baseline"/>
                      <w:lang w:val="en-US" w:eastAsia="zh-CN"/>
                    </w:rPr>
                    <w:t>均质+隔油池+絮凝+沉淀+过滤</w:t>
                  </w:r>
                  <w:r>
                    <w:rPr>
                      <w:rFonts w:hint="eastAsia" w:ascii="Times New Roman" w:hAnsi="Times New Roman" w:eastAsia="宋体" w:cs="Times New Roman"/>
                      <w:b w:val="0"/>
                      <w:bCs w:val="0"/>
                      <w:color w:val="auto"/>
                      <w:sz w:val="21"/>
                      <w:szCs w:val="21"/>
                      <w:vertAlign w:val="baseline"/>
                      <w:lang w:val="en-US" w:eastAsia="zh-CN"/>
                    </w:rPr>
                    <w:t>等组合处理技术</w:t>
                  </w:r>
                </w:p>
              </w:tc>
              <w:tc>
                <w:tcPr>
                  <w:tcW w:w="1003" w:type="pct"/>
                  <w:tcBorders>
                    <w:tl2br w:val="nil"/>
                    <w:tr2bl w:val="nil"/>
                  </w:tcBorders>
                  <w:noWrap w:val="0"/>
                  <w:vAlign w:val="center"/>
                </w:tcPr>
                <w:p w14:paraId="3B0C209B">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default" w:ascii="Times New Roman" w:hAnsi="Times New Roman" w:eastAsia="宋体" w:cs="Times New Roman"/>
                      <w:b w:val="0"/>
                      <w:bCs w:val="0"/>
                      <w:color w:val="auto"/>
                      <w:kern w:val="44"/>
                      <w:sz w:val="21"/>
                      <w:szCs w:val="21"/>
                      <w:vertAlign w:val="baseline"/>
                      <w:lang w:val="en-US" w:eastAsia="zh-CN" w:bidi="ar-SA"/>
                    </w:rPr>
                  </w:pPr>
                  <w:r>
                    <w:rPr>
                      <w:rFonts w:hint="eastAsia" w:ascii="Times New Roman" w:hAnsi="Times New Roman" w:eastAsia="宋体" w:cs="Times New Roman"/>
                      <w:b w:val="0"/>
                      <w:bCs w:val="0"/>
                      <w:color w:val="auto"/>
                      <w:kern w:val="44"/>
                      <w:sz w:val="21"/>
                      <w:szCs w:val="21"/>
                      <w:vertAlign w:val="baseline"/>
                      <w:lang w:val="en-US" w:eastAsia="zh-CN" w:bidi="ar-SA"/>
                    </w:rPr>
                    <w:t>本项目采用</w:t>
                  </w:r>
                </w:p>
                <w:p w14:paraId="02EA5671">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default" w:ascii="Times New Roman" w:hAnsi="Times New Roman" w:eastAsia="宋体" w:cs="Times New Roman"/>
                      <w:b w:val="0"/>
                      <w:bCs w:val="0"/>
                      <w:color w:val="auto"/>
                      <w:kern w:val="44"/>
                      <w:sz w:val="21"/>
                      <w:szCs w:val="21"/>
                      <w:vertAlign w:val="baseline"/>
                      <w:lang w:val="en-US" w:eastAsia="zh-CN" w:bidi="ar-SA"/>
                    </w:rPr>
                  </w:pPr>
                  <w:r>
                    <w:rPr>
                      <w:rFonts w:hint="eastAsia" w:ascii="Times New Roman" w:hAnsi="Times New Roman" w:eastAsia="宋体" w:cs="Times New Roman"/>
                      <w:b w:val="0"/>
                      <w:bCs w:val="0"/>
                      <w:color w:val="auto"/>
                      <w:kern w:val="44"/>
                      <w:sz w:val="21"/>
                      <w:szCs w:val="21"/>
                      <w:vertAlign w:val="baseline"/>
                      <w:lang w:val="en-US" w:eastAsia="zh-CN" w:bidi="ar-SA"/>
                    </w:rPr>
                    <w:t>“均质+油水分离+混凝沉淀+过滤”组合工艺</w:t>
                  </w:r>
                </w:p>
              </w:tc>
              <w:tc>
                <w:tcPr>
                  <w:tcW w:w="461" w:type="pct"/>
                  <w:tcBorders>
                    <w:tl2br w:val="nil"/>
                    <w:tr2bl w:val="nil"/>
                  </w:tcBorders>
                  <w:noWrap w:val="0"/>
                  <w:vAlign w:val="center"/>
                </w:tcPr>
                <w:p w14:paraId="22D311FA">
                  <w:pPr>
                    <w:keepNext/>
                    <w:keepLines w:val="0"/>
                    <w:pageBreakBefore w:val="0"/>
                    <w:widowControl w:val="0"/>
                    <w:kinsoku/>
                    <w:wordWrap/>
                    <w:overflowPunct w:val="0"/>
                    <w:topLinePunct w:val="0"/>
                    <w:autoSpaceDE/>
                    <w:autoSpaceDN/>
                    <w:bidi w:val="0"/>
                    <w:adjustRightInd/>
                    <w:snapToGrid w:val="0"/>
                    <w:spacing w:before="0" w:beforeLines="0" w:after="0" w:afterLines="0" w:line="340" w:lineRule="exact"/>
                    <w:ind w:left="0" w:leftChars="0" w:firstLine="0" w:firstLineChars="0"/>
                    <w:jc w:val="center"/>
                    <w:textAlignment w:val="auto"/>
                    <w:outlineLvl w:val="9"/>
                    <w:rPr>
                      <w:rFonts w:hint="eastAsia" w:ascii="Times New Roman" w:hAnsi="Times New Roman" w:eastAsia="宋体" w:cs="Times New Roman"/>
                      <w:b w:val="0"/>
                      <w:bCs w:val="0"/>
                      <w:color w:val="auto"/>
                      <w:kern w:val="44"/>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是</w:t>
                  </w:r>
                </w:p>
              </w:tc>
            </w:tr>
          </w:tbl>
          <w:p w14:paraId="58AE2C5C">
            <w:pPr>
              <w:keepNext w:val="0"/>
              <w:keepLines w:val="0"/>
              <w:pageBreakBefore w:val="0"/>
              <w:widowControl w:val="0"/>
              <w:tabs>
                <w:tab w:val="left" w:pos="3420"/>
              </w:tabs>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（2）回用可行性分析</w:t>
            </w:r>
          </w:p>
          <w:p w14:paraId="22925B98">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lang w:val="en-US" w:eastAsia="zh-CN"/>
              </w:rPr>
              <w:t>根据前文水平衡分析，项目收集作业区露天区域初期雨水量约为23.2t/次（按雨天120d/a计，2784t/a），清洁废水量约为972t/a（日最大7.41t），因此日最大需暂存处理的废水总量约为30.61t，年废水总量约为3756t/a。项目拟配套40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收集池对清洁废水、作业区露天区域初期雨水进行收集均质，可满足日最大废水暂存需求，经暂存后废水送入废水处理设施（油水分离+混凝沉淀+过滤）处理，废水处理设施设计处理规模为35t/d＞30.61t，</w:t>
            </w:r>
            <w:r>
              <w:rPr>
                <w:rFonts w:hint="eastAsia" w:ascii="Times New Roman" w:hAnsi="Times New Roman" w:eastAsia="宋体" w:cs="Times New Roman"/>
                <w:color w:val="auto"/>
                <w:sz w:val="24"/>
                <w:vertAlign w:val="baseline"/>
                <w:lang w:val="en-US" w:eastAsia="zh-CN"/>
              </w:rPr>
              <w:t>可满足项目清洁废水、作业区露天区域初期雨水处理需求。</w:t>
            </w:r>
          </w:p>
          <w:p w14:paraId="267F2F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根据前文预测，清洁废水、作业区露天区域初期雨水经预处理后可达到《城市污水再生利用 城市杂用水水质》(GB8978-1996)表1中道路清扫水质标准，回用于场地洒水清扫、停车区冲洗，不外排。根据前文水平衡分析，项目停车区冲洗每3天一次，每次冲洗用水量约为7.83t，作业区露天场地洒水清扫在非雨天进行，每天洒水清扫用水量约为6.4t，二期闲置用地、非作业区洒水清扫，每5天进行一次，每次用水量约为31.2t，场地洒水清扫、停车区冲洗年总需水量为3807t/a＞需回用废水总量3756/a，因此可满足经处理后回用水的消纳需求，且根据场地洒水清扫、停车区冲洗计划周期，经处理后回用水最快可在1天内被完全回用消纳，最迟可在5日内被完全回用消纳，不会造成长时间的续存。为保证经处理后回用水的暂存需求，本评价要求建设单位废水处理设施配套建设的回用水池容积不低于2批次需处理的最大废水量，约61.22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p>
          <w:p w14:paraId="78EF7C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综上，项目拟采取的清洁废水、作业区露天区域初期雨水处理措施可行。</w:t>
            </w:r>
          </w:p>
          <w:p w14:paraId="039B0AD0">
            <w:pPr>
              <w:pStyle w:val="7"/>
              <w:keepNext w:val="0"/>
              <w:keepLines w:val="0"/>
              <w:spacing w:line="360" w:lineRule="auto"/>
              <w:rPr>
                <w:rFonts w:hint="default" w:ascii="Times New Roman" w:hAnsi="Times New Roman" w:eastAsia="宋体"/>
                <w:b/>
                <w:bCs/>
                <w:color w:val="auto"/>
                <w:sz w:val="24"/>
                <w:szCs w:val="24"/>
                <w:lang w:val="en-US" w:eastAsia="zh-CN"/>
              </w:rPr>
            </w:pPr>
            <w:r>
              <w:rPr>
                <w:rFonts w:hint="eastAsia" w:ascii="Times New Roman" w:hAnsi="Times New Roman" w:eastAsia="宋体" w:cs="Times New Roman"/>
                <w:b/>
                <w:color w:val="auto"/>
                <w:sz w:val="24"/>
              </w:rPr>
              <w:t>4.</w:t>
            </w:r>
            <w:r>
              <w:rPr>
                <w:rFonts w:hint="eastAsia" w:ascii="Times New Roman" w:hAnsi="Times New Roman" w:eastAsia="宋体" w:cs="Times New Roman"/>
                <w:b/>
                <w:color w:val="auto"/>
                <w:sz w:val="24"/>
                <w:lang w:val="en-US" w:eastAsia="zh-CN"/>
              </w:rPr>
              <w:t>3</w:t>
            </w:r>
            <w:r>
              <w:rPr>
                <w:rFonts w:hint="eastAsia" w:ascii="Times New Roman" w:hAnsi="Times New Roman" w:eastAsia="宋体" w:cs="Times New Roman"/>
                <w:b/>
                <w:color w:val="auto"/>
                <w:sz w:val="24"/>
              </w:rPr>
              <w:t>.2.</w:t>
            </w:r>
            <w:r>
              <w:rPr>
                <w:rFonts w:hint="eastAsia" w:ascii="Times New Roman" w:hAnsi="Times New Roman" w:eastAsia="宋体" w:cs="Times New Roman"/>
                <w:b/>
                <w:color w:val="auto"/>
                <w:sz w:val="24"/>
                <w:lang w:val="en-US" w:eastAsia="zh-CN"/>
              </w:rPr>
              <w:t>2 生活污水可行性分析</w:t>
            </w:r>
          </w:p>
          <w:p w14:paraId="54B868DB">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项目生活污水依托出租方化粪池预处理后排入</w:t>
            </w:r>
            <w:r>
              <w:rPr>
                <w:rFonts w:hint="eastAsia" w:ascii="Times New Roman" w:hAnsi="Times New Roman" w:eastAsia="宋体" w:cs="Times New Roman"/>
                <w:color w:val="auto"/>
                <w:sz w:val="24"/>
                <w:lang w:val="en-US" w:eastAsia="zh-CN"/>
              </w:rPr>
              <w:t>松下镇山前村污水管网</w:t>
            </w:r>
            <w:r>
              <w:rPr>
                <w:rFonts w:hint="default" w:ascii="Times New Roman" w:hAnsi="Times New Roman" w:eastAsia="宋体" w:cs="Times New Roman"/>
                <w:color w:val="auto"/>
                <w:sz w:val="24"/>
                <w:lang w:val="en-US" w:eastAsia="zh-CN"/>
              </w:rPr>
              <w:t>送往</w:t>
            </w:r>
            <w:r>
              <w:rPr>
                <w:rFonts w:hint="eastAsia" w:ascii="Times New Roman" w:hAnsi="Times New Roman" w:eastAsia="宋体" w:cs="Times New Roman"/>
                <w:color w:val="auto"/>
                <w:sz w:val="24"/>
                <w:lang w:val="en-US" w:eastAsia="zh-CN"/>
              </w:rPr>
              <w:t>福州市长乐区松下镇山前村污水处理站</w:t>
            </w:r>
            <w:r>
              <w:rPr>
                <w:rFonts w:hint="default" w:ascii="Times New Roman" w:hAnsi="Times New Roman" w:eastAsia="宋体" w:cs="Times New Roman"/>
                <w:color w:val="auto"/>
                <w:sz w:val="24"/>
                <w:lang w:val="en-US" w:eastAsia="zh-CN"/>
              </w:rPr>
              <w:t>集中处理。</w:t>
            </w:r>
            <w:r>
              <w:rPr>
                <w:rFonts w:hint="eastAsia" w:ascii="Times New Roman" w:hAnsi="Times New Roman" w:eastAsia="宋体" w:cs="Times New Roman"/>
                <w:color w:val="auto"/>
                <w:sz w:val="24"/>
                <w:lang w:val="en-US" w:eastAsia="zh-CN"/>
              </w:rPr>
              <w:t>根据建设单位提供资料，厂区已埋设有</w:t>
            </w:r>
            <w:r>
              <w:rPr>
                <w:rFonts w:hint="default" w:ascii="Times New Roman" w:hAnsi="Times New Roman" w:eastAsia="宋体" w:cs="Times New Roman"/>
                <w:color w:val="auto"/>
                <w:sz w:val="24"/>
                <w:lang w:val="en-US" w:eastAsia="zh-CN"/>
              </w:rPr>
              <w:t>1个容积为</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的化粪池</w:t>
            </w:r>
            <w:r>
              <w:rPr>
                <w:rFonts w:hint="eastAsia" w:ascii="Times New Roman" w:hAnsi="Times New Roman" w:eastAsia="宋体" w:cs="Times New Roman"/>
                <w:color w:val="auto"/>
                <w:sz w:val="24"/>
                <w:lang w:val="en-US" w:eastAsia="zh-CN"/>
              </w:rPr>
              <w:t>。项目所在厂区已全部被建设单位租赁，因此本项目建成后厂区内生活污水主要为本项目员工排放，根据前文核算，项目生活污水排放量约为</w:t>
            </w:r>
            <w:r>
              <w:rPr>
                <w:rFonts w:hint="eastAsia" w:ascii="Times New Roman" w:hAnsi="Times New Roman" w:cs="Times New Roman"/>
                <w:color w:val="auto"/>
                <w:sz w:val="24"/>
                <w:highlight w:val="none"/>
                <w:lang w:val="en-US" w:eastAsia="zh-CN"/>
              </w:rPr>
              <w:t>2.25t/d(675t/a)</w:t>
            </w:r>
            <w:r>
              <w:rPr>
                <w:rFonts w:hint="default" w:ascii="Times New Roman" w:hAnsi="Times New Roman" w:eastAsia="宋体" w:cs="Times New Roman"/>
                <w:color w:val="auto"/>
                <w:sz w:val="24"/>
                <w:lang w:val="en-US" w:eastAsia="zh-CN"/>
              </w:rPr>
              <w:t>，仅占厂区总化粪池容积的</w:t>
            </w:r>
            <w:r>
              <w:rPr>
                <w:rFonts w:hint="eastAsia" w:ascii="Times New Roman" w:hAnsi="Times New Roman" w:eastAsia="宋体" w:cs="Times New Roman"/>
                <w:color w:val="auto"/>
                <w:sz w:val="24"/>
                <w:lang w:val="en-US" w:eastAsia="zh-CN"/>
              </w:rPr>
              <w:t>7.5</w:t>
            </w:r>
            <w:r>
              <w:rPr>
                <w:rFonts w:hint="default" w:ascii="Times New Roman" w:hAnsi="Times New Roman" w:eastAsia="宋体" w:cs="Times New Roman"/>
                <w:color w:val="auto"/>
                <w:sz w:val="24"/>
                <w:lang w:val="en-US" w:eastAsia="zh-CN"/>
              </w:rPr>
              <w:t>%，由此可知，厂区已建化粪池容积可满足污水停留时间不低于12h，根据</w:t>
            </w:r>
            <w:r>
              <w:rPr>
                <w:rFonts w:hint="eastAsia" w:ascii="Times New Roman" w:hAnsi="Times New Roman" w:eastAsia="宋体" w:cs="Times New Roman"/>
                <w:color w:val="auto"/>
                <w:sz w:val="24"/>
                <w:lang w:val="en-US" w:eastAsia="zh-CN"/>
              </w:rPr>
              <w:t>污水接管证明及现场确认</w:t>
            </w:r>
            <w:r>
              <w:rPr>
                <w:rFonts w:hint="default" w:ascii="Times New Roman" w:hAnsi="Times New Roman" w:eastAsia="宋体" w:cs="Times New Roman"/>
                <w:color w:val="auto"/>
                <w:sz w:val="24"/>
                <w:lang w:val="en-US" w:eastAsia="zh-CN"/>
              </w:rPr>
              <w:t>，目前厂区</w:t>
            </w:r>
            <w:r>
              <w:rPr>
                <w:rFonts w:hint="eastAsia" w:ascii="Times New Roman" w:hAnsi="Times New Roman" w:eastAsia="宋体" w:cs="Times New Roman"/>
                <w:color w:val="auto"/>
                <w:sz w:val="24"/>
                <w:lang w:val="en-US" w:eastAsia="zh-CN"/>
              </w:rPr>
              <w:t>污水管</w:t>
            </w:r>
            <w:r>
              <w:rPr>
                <w:rFonts w:hint="default" w:ascii="Times New Roman" w:hAnsi="Times New Roman" w:eastAsia="宋体" w:cs="Times New Roman"/>
                <w:color w:val="auto"/>
                <w:sz w:val="24"/>
                <w:lang w:val="en-US" w:eastAsia="zh-CN"/>
              </w:rPr>
              <w:t>已经接入厂区</w:t>
            </w:r>
            <w:r>
              <w:rPr>
                <w:rFonts w:hint="eastAsia" w:ascii="Times New Roman" w:hAnsi="Times New Roman" w:eastAsia="宋体" w:cs="Times New Roman"/>
                <w:color w:val="auto"/>
                <w:sz w:val="24"/>
                <w:lang w:val="en-US" w:eastAsia="zh-CN"/>
              </w:rPr>
              <w:t>南侧</w:t>
            </w:r>
            <w:r>
              <w:rPr>
                <w:rFonts w:hint="default" w:ascii="Times New Roman" w:hAnsi="Times New Roman" w:eastAsia="宋体" w:cs="Times New Roman"/>
                <w:color w:val="auto"/>
                <w:sz w:val="24"/>
                <w:lang w:val="en-US" w:eastAsia="zh-CN"/>
              </w:rPr>
              <w:t>的</w:t>
            </w:r>
            <w:r>
              <w:rPr>
                <w:rFonts w:hint="eastAsia" w:ascii="Times New Roman" w:hAnsi="Times New Roman" w:eastAsia="宋体" w:cs="Times New Roman"/>
                <w:color w:val="auto"/>
                <w:sz w:val="24"/>
                <w:lang w:val="en-US" w:eastAsia="zh-CN"/>
              </w:rPr>
              <w:t>松下镇山前村污水管网（接管证明详见附件五）</w:t>
            </w:r>
            <w:r>
              <w:rPr>
                <w:rFonts w:hint="default" w:ascii="Times New Roman" w:hAnsi="Times New Roman" w:eastAsia="宋体" w:cs="Times New Roman"/>
                <w:color w:val="auto"/>
                <w:sz w:val="24"/>
                <w:lang w:val="en-US" w:eastAsia="zh-CN"/>
              </w:rPr>
              <w:t>。</w:t>
            </w:r>
          </w:p>
          <w:p w14:paraId="38F1A51F">
            <w:pPr>
              <w:pStyle w:val="7"/>
              <w:keepNext w:val="0"/>
              <w:keepLines w:val="0"/>
              <w:spacing w:line="360" w:lineRule="auto"/>
              <w:rPr>
                <w:rFonts w:hint="eastAsia" w:ascii="Times New Roman" w:hAnsi="Times New Roman" w:eastAsia="宋体"/>
                <w:b/>
                <w:color w:val="auto"/>
                <w:sz w:val="24"/>
                <w:lang w:val="en-US" w:eastAsia="zh-CN"/>
              </w:rPr>
            </w:pPr>
            <w:r>
              <w:rPr>
                <w:rFonts w:hint="eastAsia" w:ascii="Times New Roman" w:hAnsi="Times New Roman"/>
                <w:b/>
                <w:color w:val="auto"/>
                <w:sz w:val="24"/>
              </w:rPr>
              <w:t>4.</w:t>
            </w:r>
            <w:r>
              <w:rPr>
                <w:rFonts w:hint="eastAsia" w:ascii="Times New Roman" w:hAnsi="Times New Roman"/>
                <w:b/>
                <w:color w:val="auto"/>
                <w:sz w:val="24"/>
                <w:lang w:val="en-US" w:eastAsia="zh-CN"/>
              </w:rPr>
              <w:t>3</w:t>
            </w:r>
            <w:r>
              <w:rPr>
                <w:rFonts w:hint="eastAsia" w:ascii="Times New Roman" w:hAnsi="Times New Roman"/>
                <w:b/>
                <w:color w:val="auto"/>
                <w:sz w:val="24"/>
              </w:rPr>
              <w:t>.2.</w:t>
            </w:r>
            <w:r>
              <w:rPr>
                <w:rFonts w:hint="eastAsia" w:ascii="Times New Roman" w:hAnsi="Times New Roman"/>
                <w:b/>
                <w:color w:val="auto"/>
                <w:sz w:val="24"/>
                <w:lang w:val="en-US" w:eastAsia="zh-CN"/>
              </w:rPr>
              <w:t>2</w:t>
            </w:r>
            <w:r>
              <w:rPr>
                <w:rFonts w:hint="eastAsia" w:ascii="Times New Roman" w:hAnsi="Times New Roman"/>
                <w:b/>
                <w:color w:val="auto"/>
                <w:sz w:val="24"/>
              </w:rPr>
              <w:t xml:space="preserve"> </w:t>
            </w:r>
            <w:r>
              <w:rPr>
                <w:rFonts w:hint="eastAsia" w:ascii="Times New Roman" w:hAnsi="Times New Roman" w:eastAsia="宋体" w:cs="Times New Roman"/>
                <w:b/>
                <w:color w:val="auto"/>
                <w:sz w:val="24"/>
              </w:rPr>
              <w:t>依托集中污水处理厂的可行性</w:t>
            </w:r>
            <w:r>
              <w:rPr>
                <w:rFonts w:hint="eastAsia" w:ascii="Times New Roman" w:hAnsi="Times New Roman" w:eastAsia="宋体" w:cs="Times New Roman"/>
                <w:b/>
                <w:color w:val="auto"/>
                <w:sz w:val="24"/>
                <w:lang w:val="en-US" w:eastAsia="zh-CN"/>
              </w:rPr>
              <w:t>分析</w:t>
            </w:r>
          </w:p>
          <w:p w14:paraId="75CB697C">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根据《建设项目环境影响报告表编制技术指南(污染影响类)(试行)》(环办环评〔2020〕33号)要求，废水间接排放的建设项目应从处理能力、处理工艺、设计进出水水质等方面，分析依托</w:t>
            </w:r>
            <w:r>
              <w:rPr>
                <w:rFonts w:hint="eastAsia" w:ascii="Times New Roman" w:hAnsi="Times New Roman" w:eastAsia="宋体" w:cs="Times New Roman"/>
                <w:color w:val="auto"/>
                <w:sz w:val="24"/>
                <w:lang w:val="en-US" w:eastAsia="zh-CN"/>
              </w:rPr>
              <w:t>松下镇山前村污水处理站</w:t>
            </w:r>
            <w:r>
              <w:rPr>
                <w:rFonts w:hint="default" w:ascii="Times New Roman" w:hAnsi="Times New Roman" w:eastAsia="宋体" w:cs="Times New Roman"/>
                <w:color w:val="auto"/>
                <w:sz w:val="24"/>
                <w:lang w:val="en-US" w:eastAsia="zh-CN"/>
              </w:rPr>
              <w:t>的可行性。</w:t>
            </w:r>
          </w:p>
          <w:p w14:paraId="01C10F51">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（1）松下镇山前村污水处理站基本情况</w:t>
            </w:r>
          </w:p>
          <w:p w14:paraId="657C0D96">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福州市长乐区松下镇山前村污水处理站位于松下镇山前村，定位</w:t>
            </w:r>
            <w:r>
              <w:rPr>
                <w:rFonts w:hint="default" w:ascii="Times New Roman" w:hAnsi="Times New Roman" w:eastAsia="宋体" w:cs="Times New Roman"/>
                <w:color w:val="auto"/>
                <w:sz w:val="24"/>
                <w:lang w:val="en-US" w:eastAsia="zh-CN"/>
              </w:rPr>
              <w:t>经度：119°35'</w:t>
            </w:r>
            <w:r>
              <w:rPr>
                <w:rFonts w:hint="eastAsia" w:ascii="Times New Roman" w:hAnsi="Times New Roman" w:eastAsia="宋体" w:cs="Times New Roman"/>
                <w:color w:val="auto"/>
                <w:sz w:val="24"/>
                <w:lang w:val="en-US" w:eastAsia="zh-CN"/>
              </w:rPr>
              <w:t>13.382</w:t>
            </w:r>
            <w:r>
              <w:rPr>
                <w:rFonts w:hint="default" w:ascii="Times New Roman" w:hAnsi="Times New Roman" w:eastAsia="宋体" w:cs="Times New Roman"/>
                <w:color w:val="auto"/>
                <w:sz w:val="24"/>
                <w:lang w:val="en-US" w:eastAsia="zh-CN"/>
              </w:rPr>
              <w:t>"，纬度：25°42'</w:t>
            </w:r>
            <w:r>
              <w:rPr>
                <w:rFonts w:hint="eastAsia" w:ascii="Times New Roman" w:hAnsi="Times New Roman" w:eastAsia="宋体" w:cs="Times New Roman"/>
                <w:color w:val="auto"/>
                <w:sz w:val="24"/>
                <w:lang w:val="en-US" w:eastAsia="zh-CN"/>
              </w:rPr>
              <w:t>16.688</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，服务范围包括山前村片区，福州市长乐区松下镇山前村污水处理站生活污水处理工艺流程详见图4.3-2。</w:t>
            </w:r>
          </w:p>
          <w:p w14:paraId="47463D0B">
            <w:pPr>
              <w:pStyle w:val="58"/>
              <w:ind w:left="0" w:leftChars="0" w:firstLine="0" w:firstLineChars="0"/>
              <w:jc w:val="center"/>
              <w:rPr>
                <w:rFonts w:ascii="Times New Roman" w:hAnsi="Times New Roman"/>
                <w:color w:val="auto"/>
              </w:rPr>
            </w:pPr>
            <w:r>
              <w:rPr>
                <w:rFonts w:ascii="Times New Roman" w:hAnsi="Times New Roman"/>
                <w:color w:val="auto"/>
              </w:rPr>
              <w:drawing>
                <wp:inline distT="0" distB="0" distL="114300" distR="114300">
                  <wp:extent cx="4881245" cy="1839595"/>
                  <wp:effectExtent l="0" t="0" r="8255" b="190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6"/>
                          <a:stretch>
                            <a:fillRect/>
                          </a:stretch>
                        </pic:blipFill>
                        <pic:spPr>
                          <a:xfrm>
                            <a:off x="0" y="0"/>
                            <a:ext cx="4881245" cy="1839595"/>
                          </a:xfrm>
                          <a:prstGeom prst="rect">
                            <a:avLst/>
                          </a:prstGeom>
                          <a:noFill/>
                          <a:ln>
                            <a:noFill/>
                          </a:ln>
                        </pic:spPr>
                      </pic:pic>
                    </a:graphicData>
                  </a:graphic>
                </wp:inline>
              </w:drawing>
            </w:r>
          </w:p>
          <w:p w14:paraId="40E5B893">
            <w:pPr>
              <w:jc w:val="center"/>
              <w:rPr>
                <w:rFonts w:hint="default" w:ascii="Times New Roman" w:hAnsi="Times New Roman" w:eastAsia="黑体"/>
                <w:color w:val="auto"/>
                <w:sz w:val="24"/>
                <w:lang w:val="en-US" w:eastAsia="zh-CN"/>
              </w:rPr>
            </w:pPr>
            <w:r>
              <w:rPr>
                <w:rFonts w:ascii="Times New Roman" w:hAnsi="Times New Roman" w:eastAsia="黑体"/>
                <w:color w:val="auto"/>
                <w:sz w:val="24"/>
              </w:rPr>
              <w:t>图</w:t>
            </w:r>
            <w:r>
              <w:rPr>
                <w:rFonts w:hint="eastAsia" w:ascii="Times New Roman" w:hAnsi="Times New Roman" w:eastAsia="黑体"/>
                <w:color w:val="auto"/>
                <w:sz w:val="24"/>
              </w:rPr>
              <w:t>4.</w:t>
            </w:r>
            <w:r>
              <w:rPr>
                <w:rFonts w:hint="eastAsia" w:ascii="Times New Roman" w:hAnsi="Times New Roman" w:eastAsia="黑体"/>
                <w:color w:val="auto"/>
                <w:sz w:val="24"/>
                <w:lang w:val="en-US" w:eastAsia="zh-CN"/>
              </w:rPr>
              <w:t>3-2 山前</w:t>
            </w:r>
            <w:r>
              <w:rPr>
                <w:rFonts w:hint="eastAsia" w:ascii="Times New Roman" w:hAnsi="Times New Roman" w:eastAsia="黑体"/>
                <w:color w:val="auto"/>
                <w:sz w:val="24"/>
                <w:lang w:eastAsia="zh-CN"/>
              </w:rPr>
              <w:t>村污水处理站</w:t>
            </w:r>
            <w:r>
              <w:rPr>
                <w:rFonts w:ascii="Times New Roman" w:hAnsi="Times New Roman" w:eastAsia="黑体"/>
                <w:color w:val="auto"/>
                <w:sz w:val="24"/>
              </w:rPr>
              <w:t>处理工艺流程图</w:t>
            </w:r>
          </w:p>
          <w:p w14:paraId="68BE752A">
            <w:pPr>
              <w:keepNext w:val="0"/>
              <w:keepLines w:val="0"/>
              <w:pageBreakBefore w:val="0"/>
              <w:widowControl w:val="0"/>
              <w:tabs>
                <w:tab w:val="left" w:pos="3420"/>
              </w:tabs>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山前村污水站主要采用“膜生物反应器(MBR)”处理工艺，结构紧凑、技术先进，污水经过集水池前端的格栅截留污水中较大的悬浮物或漂浮物，然后用潜污泵提升到调节池，经过调节池均匀水质后提升到一体化设备兼氧池进行水解酸化，再进入好氧池接触氧化，再进入膜池进一步接触氧化，通过 MBR 膜的过滤抽吸出清水进入消毒池，该设备能够将生活污水一步处理达标排放。污水处理站进水水质控制按照</w:t>
            </w:r>
            <w:r>
              <w:rPr>
                <w:rFonts w:hint="default" w:ascii="Times New Roman" w:hAnsi="Times New Roman" w:cs="Times New Roman"/>
                <w:color w:val="auto"/>
                <w:sz w:val="24"/>
                <w:highlight w:val="none"/>
              </w:rPr>
              <w:t>《污水综合排放标准》(GB8978-1996)表4三级标准</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lang w:val="en-US" w:eastAsia="zh-CN"/>
              </w:rPr>
              <w:t>出水水质执行福建省《农村生活污水处理设施水污染物排放标准》(DB35/1869-2019)二级A排放标准。</w:t>
            </w:r>
          </w:p>
          <w:p w14:paraId="00CF351C">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（2）依托可行性</w:t>
            </w:r>
          </w:p>
          <w:p w14:paraId="6E49ACF1">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①接管可行性</w:t>
            </w:r>
          </w:p>
          <w:p w14:paraId="4A171E24">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本项目位于福建省福州市长乐区松下镇山前村，根据福州市长乐区松下镇人民政府出具的污水接管说明（详见附件五），项目厂区污水已通过周边松下镇山前村污水管网，纳入松下镇山前村污水处理站处理。</w:t>
            </w:r>
          </w:p>
          <w:p w14:paraId="70EE97D7">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②水质负荷</w:t>
            </w:r>
          </w:p>
          <w:p w14:paraId="077F7065">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根据源强核算可知，</w:t>
            </w: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污水</w:t>
            </w:r>
            <w:r>
              <w:rPr>
                <w:rFonts w:hint="default" w:ascii="Times New Roman" w:hAnsi="Times New Roman" w:eastAsia="宋体" w:cs="Times New Roman"/>
                <w:color w:val="auto"/>
                <w:sz w:val="24"/>
                <w:lang w:val="en-US" w:eastAsia="zh-CN"/>
              </w:rPr>
              <w:t>经预处理后排入</w:t>
            </w:r>
            <w:r>
              <w:rPr>
                <w:rFonts w:hint="eastAsia" w:ascii="Times New Roman" w:hAnsi="Times New Roman" w:eastAsia="宋体" w:cs="Times New Roman"/>
                <w:color w:val="auto"/>
                <w:sz w:val="24"/>
                <w:lang w:val="en-US" w:eastAsia="zh-CN"/>
              </w:rPr>
              <w:t>松下镇山前村污水管网</w:t>
            </w:r>
            <w:r>
              <w:rPr>
                <w:rFonts w:hint="default" w:ascii="Times New Roman" w:hAnsi="Times New Roman" w:eastAsia="宋体" w:cs="Times New Roman"/>
                <w:color w:val="auto"/>
                <w:sz w:val="24"/>
                <w:lang w:val="en-US" w:eastAsia="zh-CN"/>
              </w:rPr>
              <w:t>内污染物排放浓度情况表</w:t>
            </w:r>
            <w:r>
              <w:rPr>
                <w:rFonts w:hint="eastAsia" w:ascii="Times New Roman" w:hAnsi="Times New Roman" w:eastAsia="宋体" w:cs="Times New Roman"/>
                <w:color w:val="auto"/>
                <w:sz w:val="24"/>
                <w:lang w:val="en-US" w:eastAsia="zh-CN"/>
              </w:rPr>
              <w:t>4.3-4</w:t>
            </w:r>
            <w:r>
              <w:rPr>
                <w:rFonts w:hint="default" w:ascii="Times New Roman" w:hAnsi="Times New Roman" w:eastAsia="宋体" w:cs="Times New Roman"/>
                <w:color w:val="auto"/>
                <w:sz w:val="24"/>
                <w:lang w:val="en-US" w:eastAsia="zh-CN"/>
              </w:rPr>
              <w:t>。</w:t>
            </w:r>
          </w:p>
          <w:p w14:paraId="208F9CB9">
            <w:pPr>
              <w:keepNext w:val="0"/>
              <w:keepLines w:val="0"/>
              <w:pageBreakBefore w:val="0"/>
              <w:widowControl/>
              <w:kinsoku/>
              <w:wordWrap/>
              <w:overflowPunct/>
              <w:topLinePunct w:val="0"/>
              <w:autoSpaceDE w:val="0"/>
              <w:autoSpaceDN w:val="0"/>
              <w:bidi w:val="0"/>
              <w:adjustRightInd/>
              <w:snapToGrid/>
              <w:jc w:val="center"/>
              <w:textAlignment w:val="bottom"/>
              <w:rPr>
                <w:rFonts w:ascii="Times New Roman" w:hAnsi="Times New Roman" w:eastAsia="黑体"/>
                <w:color w:val="auto"/>
              </w:rPr>
            </w:pPr>
            <w:r>
              <w:rPr>
                <w:rFonts w:ascii="Times New Roman" w:hAnsi="Times New Roman" w:eastAsia="黑体"/>
                <w:color w:val="auto"/>
                <w:kern w:val="0"/>
                <w:sz w:val="24"/>
                <w:szCs w:val="28"/>
                <w:highlight w:val="none"/>
              </w:rPr>
              <w:t>表</w:t>
            </w:r>
            <w:r>
              <w:rPr>
                <w:rFonts w:hint="eastAsia" w:ascii="Times New Roman" w:hAnsi="Times New Roman" w:eastAsia="黑体"/>
                <w:color w:val="auto"/>
                <w:kern w:val="0"/>
                <w:sz w:val="24"/>
                <w:szCs w:val="28"/>
                <w:highlight w:val="none"/>
              </w:rPr>
              <w:t>4.</w:t>
            </w:r>
            <w:r>
              <w:rPr>
                <w:rFonts w:hint="eastAsia" w:ascii="Times New Roman" w:hAnsi="Times New Roman" w:eastAsia="黑体"/>
                <w:color w:val="auto"/>
                <w:kern w:val="0"/>
                <w:sz w:val="24"/>
                <w:szCs w:val="28"/>
                <w:highlight w:val="none"/>
                <w:lang w:val="en-US" w:eastAsia="zh-CN"/>
              </w:rPr>
              <w:t>3</w:t>
            </w:r>
            <w:r>
              <w:rPr>
                <w:rFonts w:hint="eastAsia" w:ascii="Times New Roman" w:hAnsi="Times New Roman" w:eastAsia="黑体"/>
                <w:color w:val="auto"/>
                <w:kern w:val="0"/>
                <w:sz w:val="24"/>
                <w:szCs w:val="28"/>
                <w:highlight w:val="none"/>
              </w:rPr>
              <w:t>-</w:t>
            </w:r>
            <w:r>
              <w:rPr>
                <w:rFonts w:hint="eastAsia" w:ascii="Times New Roman" w:hAnsi="Times New Roman" w:eastAsia="黑体"/>
                <w:color w:val="auto"/>
                <w:kern w:val="0"/>
                <w:sz w:val="24"/>
                <w:szCs w:val="28"/>
                <w:highlight w:val="none"/>
                <w:lang w:val="en-US" w:eastAsia="zh-CN"/>
              </w:rPr>
              <w:t>4</w:t>
            </w:r>
            <w:r>
              <w:rPr>
                <w:rFonts w:ascii="Times New Roman" w:hAnsi="Times New Roman" w:eastAsia="黑体"/>
                <w:color w:val="auto"/>
                <w:kern w:val="0"/>
                <w:sz w:val="24"/>
                <w:szCs w:val="28"/>
                <w:highlight w:val="none"/>
              </w:rPr>
              <w:t xml:space="preserve">  本项目</w:t>
            </w:r>
            <w:r>
              <w:rPr>
                <w:rFonts w:hint="eastAsia" w:ascii="Times New Roman" w:hAnsi="Times New Roman" w:eastAsia="黑体"/>
                <w:color w:val="auto"/>
                <w:kern w:val="0"/>
                <w:sz w:val="24"/>
                <w:szCs w:val="28"/>
                <w:highlight w:val="none"/>
                <w:lang w:val="en-US" w:eastAsia="zh-CN"/>
              </w:rPr>
              <w:t>废水</w:t>
            </w:r>
            <w:r>
              <w:rPr>
                <w:rFonts w:ascii="Times New Roman" w:hAnsi="Times New Roman" w:eastAsia="黑体"/>
                <w:color w:val="auto"/>
                <w:kern w:val="0"/>
                <w:sz w:val="24"/>
                <w:szCs w:val="28"/>
                <w:highlight w:val="none"/>
              </w:rPr>
              <w:t>排放情况一览表</w:t>
            </w:r>
            <w:r>
              <w:rPr>
                <w:rFonts w:ascii="Times New Roman" w:hAnsi="Times New Roman" w:eastAsia="黑体"/>
                <w:color w:val="auto"/>
                <w:kern w:val="0"/>
                <w:sz w:val="24"/>
                <w:szCs w:val="28"/>
              </w:rPr>
              <w:t xml:space="preserve">  单位：mg/L(pH除外)</w:t>
            </w:r>
          </w:p>
          <w:tbl>
            <w:tblPr>
              <w:tblStyle w:val="2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455"/>
              <w:gridCol w:w="1277"/>
              <w:gridCol w:w="1213"/>
              <w:gridCol w:w="1181"/>
              <w:gridCol w:w="1380"/>
              <w:gridCol w:w="1090"/>
            </w:tblGrid>
            <w:tr w14:paraId="3AE6B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2" w:type="pct"/>
                  <w:gridSpan w:val="2"/>
                  <w:tcBorders>
                    <w:tl2br w:val="single" w:color="auto" w:sz="4" w:space="0"/>
                  </w:tcBorders>
                  <w:noWrap w:val="0"/>
                  <w:vAlign w:val="center"/>
                </w:tcPr>
                <w:p w14:paraId="301E9135">
                  <w:pPr>
                    <w:widowControl/>
                    <w:autoSpaceDE w:val="0"/>
                    <w:autoSpaceDN w:val="0"/>
                    <w:snapToGrid w:val="0"/>
                    <w:spacing w:line="340" w:lineRule="exact"/>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项目</w:t>
                  </w:r>
                </w:p>
                <w:p w14:paraId="42CE100E">
                  <w:pPr>
                    <w:widowControl/>
                    <w:autoSpaceDE w:val="0"/>
                    <w:autoSpaceDN w:val="0"/>
                    <w:spacing w:line="340" w:lineRule="exact"/>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w:t>
                  </w:r>
                </w:p>
              </w:tc>
              <w:tc>
                <w:tcPr>
                  <w:tcW w:w="796" w:type="pct"/>
                  <w:noWrap w:val="0"/>
                  <w:vAlign w:val="center"/>
                </w:tcPr>
                <w:p w14:paraId="5953B324">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污水</w:t>
                  </w:r>
                  <w:r>
                    <w:rPr>
                      <w:rFonts w:hint="default" w:ascii="Times New Roman" w:hAnsi="Times New Roman" w:eastAsia="宋体" w:cs="Times New Roman"/>
                      <w:color w:val="auto"/>
                      <w:kern w:val="0"/>
                      <w:sz w:val="21"/>
                      <w:szCs w:val="21"/>
                      <w:highlight w:val="none"/>
                    </w:rPr>
                    <w:t>排放量</w:t>
                  </w:r>
                </w:p>
              </w:tc>
              <w:tc>
                <w:tcPr>
                  <w:tcW w:w="756" w:type="pct"/>
                  <w:noWrap w:val="0"/>
                  <w:vAlign w:val="center"/>
                </w:tcPr>
                <w:p w14:paraId="24498627">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污水产生</w:t>
                  </w:r>
                </w:p>
                <w:p w14:paraId="4E8D93CF">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浓度</w:t>
                  </w:r>
                </w:p>
              </w:tc>
              <w:tc>
                <w:tcPr>
                  <w:tcW w:w="736" w:type="pct"/>
                  <w:noWrap w:val="0"/>
                  <w:vAlign w:val="center"/>
                </w:tcPr>
                <w:p w14:paraId="59D3E68E">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污水排放浓</w:t>
                  </w:r>
                  <w:r>
                    <w:rPr>
                      <w:rFonts w:hint="default" w:ascii="Times New Roman" w:hAnsi="Times New Roman" w:eastAsia="宋体" w:cs="Times New Roman"/>
                      <w:color w:val="auto"/>
                      <w:kern w:val="0"/>
                      <w:sz w:val="21"/>
                      <w:szCs w:val="21"/>
                      <w:highlight w:val="none"/>
                    </w:rPr>
                    <w:t>度</w:t>
                  </w:r>
                </w:p>
              </w:tc>
              <w:tc>
                <w:tcPr>
                  <w:tcW w:w="860" w:type="pct"/>
                  <w:noWrap w:val="0"/>
                  <w:vAlign w:val="center"/>
                </w:tcPr>
                <w:p w14:paraId="4F11C928">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排放标准</w:t>
                  </w:r>
                </w:p>
                <w:p w14:paraId="1317CD0A">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限值</w:t>
                  </w:r>
                </w:p>
              </w:tc>
              <w:tc>
                <w:tcPr>
                  <w:tcW w:w="679" w:type="pct"/>
                  <w:noWrap w:val="0"/>
                  <w:vAlign w:val="center"/>
                </w:tcPr>
                <w:p w14:paraId="528F8346">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p w14:paraId="65F5ACF4">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情况</w:t>
                  </w:r>
                </w:p>
              </w:tc>
            </w:tr>
            <w:tr w14:paraId="25B0D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5" w:type="pct"/>
                  <w:vMerge w:val="restart"/>
                  <w:noWrap w:val="0"/>
                  <w:vAlign w:val="center"/>
                </w:tcPr>
                <w:p w14:paraId="268EB341">
                  <w:pPr>
                    <w:spacing w:line="3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生活污水</w:t>
                  </w:r>
                </w:p>
              </w:tc>
              <w:tc>
                <w:tcPr>
                  <w:tcW w:w="906" w:type="pct"/>
                  <w:noWrap w:val="0"/>
                  <w:vAlign w:val="center"/>
                </w:tcPr>
                <w:p w14:paraId="76C79B24">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pH(无量纲)</w:t>
                  </w:r>
                </w:p>
              </w:tc>
              <w:tc>
                <w:tcPr>
                  <w:tcW w:w="796" w:type="pct"/>
                  <w:vMerge w:val="restart"/>
                  <w:noWrap w:val="0"/>
                  <w:vAlign w:val="center"/>
                </w:tcPr>
                <w:p w14:paraId="386E279F">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spacing w:val="-6"/>
                      <w:sz w:val="21"/>
                      <w:szCs w:val="21"/>
                      <w:highlight w:val="none"/>
                      <w:lang w:val="en-US" w:eastAsia="zh-CN"/>
                    </w:rPr>
                    <w:t>2.25</w:t>
                  </w:r>
                  <w:r>
                    <w:rPr>
                      <w:rFonts w:hint="default" w:ascii="Times New Roman" w:hAnsi="Times New Roman" w:cs="Times New Roman"/>
                      <w:color w:val="auto"/>
                      <w:spacing w:val="-6"/>
                      <w:sz w:val="21"/>
                      <w:szCs w:val="21"/>
                      <w:highlight w:val="none"/>
                    </w:rPr>
                    <w:t>m</w:t>
                  </w:r>
                  <w:r>
                    <w:rPr>
                      <w:rFonts w:hint="default" w:ascii="Times New Roman" w:hAnsi="Times New Roman" w:cs="Times New Roman"/>
                      <w:color w:val="auto"/>
                      <w:spacing w:val="-6"/>
                      <w:sz w:val="21"/>
                      <w:szCs w:val="21"/>
                      <w:highlight w:val="none"/>
                      <w:vertAlign w:val="superscript"/>
                    </w:rPr>
                    <w:t>3</w:t>
                  </w:r>
                  <w:r>
                    <w:rPr>
                      <w:rFonts w:hint="default" w:ascii="Times New Roman" w:hAnsi="Times New Roman" w:cs="Times New Roman"/>
                      <w:color w:val="auto"/>
                      <w:spacing w:val="-6"/>
                      <w:sz w:val="21"/>
                      <w:szCs w:val="21"/>
                      <w:highlight w:val="none"/>
                    </w:rPr>
                    <w:t>/d</w:t>
                  </w:r>
                </w:p>
              </w:tc>
              <w:tc>
                <w:tcPr>
                  <w:tcW w:w="756" w:type="pct"/>
                  <w:noWrap w:val="0"/>
                  <w:vAlign w:val="center"/>
                </w:tcPr>
                <w:p w14:paraId="64C4E890">
                  <w:pPr>
                    <w:spacing w:line="3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6～9</w:t>
                  </w:r>
                </w:p>
              </w:tc>
              <w:tc>
                <w:tcPr>
                  <w:tcW w:w="736" w:type="pct"/>
                  <w:noWrap w:val="0"/>
                  <w:vAlign w:val="center"/>
                </w:tcPr>
                <w:p w14:paraId="0129E3FF">
                  <w:pPr>
                    <w:spacing w:line="3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6～9</w:t>
                  </w:r>
                </w:p>
              </w:tc>
              <w:tc>
                <w:tcPr>
                  <w:tcW w:w="860" w:type="pct"/>
                  <w:noWrap w:val="0"/>
                  <w:vAlign w:val="center"/>
                </w:tcPr>
                <w:p w14:paraId="10301476">
                  <w:pPr>
                    <w:spacing w:line="3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6～9</w:t>
                  </w:r>
                </w:p>
              </w:tc>
              <w:tc>
                <w:tcPr>
                  <w:tcW w:w="679" w:type="pct"/>
                  <w:noWrap w:val="0"/>
                  <w:vAlign w:val="center"/>
                </w:tcPr>
                <w:p w14:paraId="762E2F59">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达标</w:t>
                  </w:r>
                </w:p>
              </w:tc>
            </w:tr>
            <w:tr w14:paraId="496DB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5" w:type="pct"/>
                  <w:vMerge w:val="continue"/>
                  <w:noWrap w:val="0"/>
                  <w:vAlign w:val="center"/>
                </w:tcPr>
                <w:p w14:paraId="0FA21820">
                  <w:pPr>
                    <w:spacing w:line="34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906" w:type="pct"/>
                  <w:noWrap w:val="0"/>
                  <w:vAlign w:val="center"/>
                </w:tcPr>
                <w:p w14:paraId="137D57E8">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796" w:type="pct"/>
                  <w:vMerge w:val="continue"/>
                  <w:noWrap w:val="0"/>
                  <w:vAlign w:val="center"/>
                </w:tcPr>
                <w:p w14:paraId="74388164">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p>
              </w:tc>
              <w:tc>
                <w:tcPr>
                  <w:tcW w:w="756" w:type="pct"/>
                  <w:noWrap w:val="0"/>
                  <w:vAlign w:val="center"/>
                </w:tcPr>
                <w:p w14:paraId="1769E35A">
                  <w:pPr>
                    <w:spacing w:line="3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300</w:t>
                  </w:r>
                </w:p>
              </w:tc>
              <w:tc>
                <w:tcPr>
                  <w:tcW w:w="736" w:type="pct"/>
                  <w:noWrap w:val="0"/>
                  <w:vAlign w:val="center"/>
                </w:tcPr>
                <w:p w14:paraId="0E030897">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bCs/>
                      <w:color w:val="auto"/>
                      <w:sz w:val="21"/>
                      <w:szCs w:val="21"/>
                      <w:highlight w:val="none"/>
                      <w:lang w:val="en-US" w:eastAsia="zh-CN"/>
                    </w:rPr>
                    <w:t>242.1</w:t>
                  </w:r>
                </w:p>
              </w:tc>
              <w:tc>
                <w:tcPr>
                  <w:tcW w:w="860" w:type="pct"/>
                  <w:noWrap w:val="0"/>
                  <w:vAlign w:val="center"/>
                </w:tcPr>
                <w:p w14:paraId="2825AEF1">
                  <w:pPr>
                    <w:spacing w:line="3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500</w:t>
                  </w:r>
                </w:p>
              </w:tc>
              <w:tc>
                <w:tcPr>
                  <w:tcW w:w="679" w:type="pct"/>
                  <w:noWrap w:val="0"/>
                  <w:vAlign w:val="center"/>
                </w:tcPr>
                <w:p w14:paraId="4A7F2E3C">
                  <w:pPr>
                    <w:spacing w:line="3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达标</w:t>
                  </w:r>
                </w:p>
              </w:tc>
            </w:tr>
            <w:tr w14:paraId="37931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5" w:type="pct"/>
                  <w:vMerge w:val="continue"/>
                  <w:noWrap w:val="0"/>
                  <w:vAlign w:val="center"/>
                </w:tcPr>
                <w:p w14:paraId="3F320440">
                  <w:pPr>
                    <w:spacing w:line="340" w:lineRule="exact"/>
                    <w:jc w:val="center"/>
                    <w:rPr>
                      <w:rFonts w:hint="default" w:ascii="Times New Roman" w:hAnsi="Times New Roman" w:eastAsia="宋体" w:cs="Times New Roman"/>
                      <w:color w:val="auto"/>
                      <w:sz w:val="21"/>
                      <w:szCs w:val="21"/>
                      <w:highlight w:val="none"/>
                    </w:rPr>
                  </w:pPr>
                </w:p>
              </w:tc>
              <w:tc>
                <w:tcPr>
                  <w:tcW w:w="906" w:type="pct"/>
                  <w:noWrap w:val="0"/>
                  <w:vAlign w:val="center"/>
                </w:tcPr>
                <w:p w14:paraId="2EA06202">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796" w:type="pct"/>
                  <w:vMerge w:val="continue"/>
                  <w:noWrap w:val="0"/>
                  <w:vAlign w:val="center"/>
                </w:tcPr>
                <w:p w14:paraId="75E0AF28">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p>
              </w:tc>
              <w:tc>
                <w:tcPr>
                  <w:tcW w:w="756" w:type="pct"/>
                  <w:noWrap w:val="0"/>
                  <w:vAlign w:val="center"/>
                </w:tcPr>
                <w:p w14:paraId="413C60CA">
                  <w:pPr>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150</w:t>
                  </w:r>
                </w:p>
              </w:tc>
              <w:tc>
                <w:tcPr>
                  <w:tcW w:w="736" w:type="pct"/>
                  <w:noWrap w:val="0"/>
                  <w:vAlign w:val="center"/>
                </w:tcPr>
                <w:p w14:paraId="398A333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bCs/>
                      <w:color w:val="auto"/>
                      <w:sz w:val="21"/>
                      <w:szCs w:val="21"/>
                      <w:highlight w:val="none"/>
                      <w:lang w:val="en-US" w:eastAsia="zh-CN"/>
                    </w:rPr>
                    <w:t>131.0</w:t>
                  </w:r>
                </w:p>
              </w:tc>
              <w:tc>
                <w:tcPr>
                  <w:tcW w:w="860" w:type="pct"/>
                  <w:noWrap w:val="0"/>
                  <w:vAlign w:val="center"/>
                </w:tcPr>
                <w:p w14:paraId="539DDA1A">
                  <w:pPr>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300</w:t>
                  </w:r>
                </w:p>
              </w:tc>
              <w:tc>
                <w:tcPr>
                  <w:tcW w:w="679" w:type="pct"/>
                  <w:noWrap w:val="0"/>
                  <w:vAlign w:val="center"/>
                </w:tcPr>
                <w:p w14:paraId="635C4DCB">
                  <w:pPr>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7B9B6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5" w:type="pct"/>
                  <w:vMerge w:val="continue"/>
                  <w:noWrap w:val="0"/>
                  <w:vAlign w:val="center"/>
                </w:tcPr>
                <w:p w14:paraId="4588E7CF">
                  <w:pPr>
                    <w:spacing w:line="340" w:lineRule="exact"/>
                    <w:jc w:val="center"/>
                    <w:rPr>
                      <w:rFonts w:hint="default" w:ascii="Times New Roman" w:hAnsi="Times New Roman" w:eastAsia="宋体" w:cs="Times New Roman"/>
                      <w:color w:val="auto"/>
                      <w:sz w:val="21"/>
                      <w:szCs w:val="21"/>
                      <w:highlight w:val="none"/>
                    </w:rPr>
                  </w:pPr>
                </w:p>
              </w:tc>
              <w:tc>
                <w:tcPr>
                  <w:tcW w:w="906" w:type="pct"/>
                  <w:noWrap w:val="0"/>
                  <w:vAlign w:val="center"/>
                </w:tcPr>
                <w:p w14:paraId="3FE0B1CA">
                  <w:pPr>
                    <w:spacing w:line="34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796" w:type="pct"/>
                  <w:vMerge w:val="continue"/>
                  <w:noWrap w:val="0"/>
                  <w:vAlign w:val="center"/>
                </w:tcPr>
                <w:p w14:paraId="2863C54B">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p>
              </w:tc>
              <w:tc>
                <w:tcPr>
                  <w:tcW w:w="756" w:type="pct"/>
                  <w:noWrap w:val="0"/>
                  <w:vAlign w:val="center"/>
                </w:tcPr>
                <w:p w14:paraId="7164BB12">
                  <w:pPr>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200</w:t>
                  </w:r>
                </w:p>
              </w:tc>
              <w:tc>
                <w:tcPr>
                  <w:tcW w:w="736" w:type="pct"/>
                  <w:noWrap w:val="0"/>
                  <w:vAlign w:val="center"/>
                </w:tcPr>
                <w:p w14:paraId="34E2F7C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bCs/>
                      <w:color w:val="auto"/>
                      <w:sz w:val="21"/>
                      <w:szCs w:val="21"/>
                      <w:highlight w:val="none"/>
                      <w:lang w:val="en-US" w:eastAsia="zh-CN"/>
                    </w:rPr>
                    <w:t>80</w:t>
                  </w:r>
                </w:p>
              </w:tc>
              <w:tc>
                <w:tcPr>
                  <w:tcW w:w="860" w:type="pct"/>
                  <w:noWrap w:val="0"/>
                  <w:vAlign w:val="center"/>
                </w:tcPr>
                <w:p w14:paraId="064BFF07">
                  <w:pPr>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400</w:t>
                  </w:r>
                </w:p>
              </w:tc>
              <w:tc>
                <w:tcPr>
                  <w:tcW w:w="679" w:type="pct"/>
                  <w:noWrap w:val="0"/>
                  <w:vAlign w:val="center"/>
                </w:tcPr>
                <w:p w14:paraId="0BCAEC6E">
                  <w:pPr>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3B043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5" w:type="pct"/>
                  <w:vMerge w:val="continue"/>
                  <w:noWrap w:val="0"/>
                  <w:vAlign w:val="center"/>
                </w:tcPr>
                <w:p w14:paraId="51024728">
                  <w:pPr>
                    <w:spacing w:line="340" w:lineRule="exact"/>
                    <w:jc w:val="center"/>
                    <w:rPr>
                      <w:rFonts w:hint="default" w:ascii="Times New Roman" w:hAnsi="Times New Roman" w:eastAsia="宋体" w:cs="Times New Roman"/>
                      <w:color w:val="auto"/>
                      <w:sz w:val="21"/>
                      <w:szCs w:val="21"/>
                      <w:highlight w:val="none"/>
                    </w:rPr>
                  </w:pPr>
                </w:p>
              </w:tc>
              <w:tc>
                <w:tcPr>
                  <w:tcW w:w="906" w:type="pct"/>
                  <w:noWrap w:val="0"/>
                  <w:vAlign w:val="center"/>
                </w:tcPr>
                <w:p w14:paraId="42D33265">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796" w:type="pct"/>
                  <w:vMerge w:val="continue"/>
                  <w:noWrap w:val="0"/>
                  <w:vAlign w:val="top"/>
                </w:tcPr>
                <w:p w14:paraId="0E36C1C2">
                  <w:pPr>
                    <w:widowControl/>
                    <w:autoSpaceDE w:val="0"/>
                    <w:autoSpaceDN w:val="0"/>
                    <w:spacing w:line="340" w:lineRule="exact"/>
                    <w:jc w:val="center"/>
                    <w:textAlignment w:val="bottom"/>
                    <w:rPr>
                      <w:rFonts w:hint="default" w:ascii="Times New Roman" w:hAnsi="Times New Roman" w:eastAsia="宋体" w:cs="Times New Roman"/>
                      <w:color w:val="auto"/>
                      <w:kern w:val="0"/>
                      <w:sz w:val="21"/>
                      <w:szCs w:val="21"/>
                      <w:highlight w:val="none"/>
                    </w:rPr>
                  </w:pPr>
                </w:p>
              </w:tc>
              <w:tc>
                <w:tcPr>
                  <w:tcW w:w="756" w:type="pct"/>
                  <w:noWrap w:val="0"/>
                  <w:vAlign w:val="top"/>
                </w:tcPr>
                <w:p w14:paraId="50C83A8A">
                  <w:pPr>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w:t>
                  </w:r>
                </w:p>
              </w:tc>
              <w:tc>
                <w:tcPr>
                  <w:tcW w:w="736" w:type="pct"/>
                  <w:noWrap w:val="0"/>
                  <w:vAlign w:val="center"/>
                </w:tcPr>
                <w:p w14:paraId="1A7EFDD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bCs/>
                      <w:color w:val="auto"/>
                      <w:sz w:val="21"/>
                      <w:szCs w:val="21"/>
                      <w:highlight w:val="none"/>
                      <w:lang w:val="en-US" w:eastAsia="zh-CN"/>
                    </w:rPr>
                    <w:t>25</w:t>
                  </w:r>
                </w:p>
              </w:tc>
              <w:tc>
                <w:tcPr>
                  <w:tcW w:w="860" w:type="pct"/>
                  <w:noWrap w:val="0"/>
                  <w:vAlign w:val="center"/>
                </w:tcPr>
                <w:p w14:paraId="7CB2722E">
                  <w:pPr>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olor w:val="auto"/>
                      <w:kern w:val="18"/>
                      <w:lang w:val="en-US" w:eastAsia="zh-CN"/>
                    </w:rPr>
                    <w:t>45</w:t>
                  </w:r>
                </w:p>
              </w:tc>
              <w:tc>
                <w:tcPr>
                  <w:tcW w:w="679" w:type="pct"/>
                  <w:noWrap w:val="0"/>
                  <w:vAlign w:val="top"/>
                </w:tcPr>
                <w:p w14:paraId="5960E130">
                  <w:pPr>
                    <w:spacing w:line="34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bl>
          <w:p w14:paraId="7B33EA0D">
            <w:pPr>
              <w:keepNext w:val="0"/>
              <w:keepLines w:val="0"/>
              <w:pageBreakBefore w:val="0"/>
              <w:widowControl w:val="0"/>
              <w:tabs>
                <w:tab w:val="left" w:pos="3420"/>
              </w:tabs>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根据上表所列数据，本项目</w:t>
            </w:r>
            <w:r>
              <w:rPr>
                <w:rFonts w:hint="eastAsia" w:ascii="Times New Roman" w:hAnsi="Times New Roman" w:eastAsia="宋体" w:cs="Times New Roman"/>
                <w:color w:val="auto"/>
                <w:sz w:val="24"/>
                <w:lang w:val="en-US" w:eastAsia="zh-CN"/>
              </w:rPr>
              <w:t>需外排废水</w:t>
            </w:r>
            <w:r>
              <w:rPr>
                <w:rFonts w:hint="default" w:ascii="Times New Roman" w:hAnsi="Times New Roman" w:eastAsia="宋体" w:cs="Times New Roman"/>
                <w:color w:val="auto"/>
                <w:sz w:val="24"/>
                <w:lang w:val="en-US" w:eastAsia="zh-CN"/>
              </w:rPr>
              <w:t>主要污染物排放浓度均能满足《污水综合排放标准》(GB8978-1996)表4三级标准及《污水排入城镇下水道水质标准》(GB/T 31962-2015)表1中B级标准限值</w:t>
            </w:r>
            <w:r>
              <w:rPr>
                <w:rFonts w:hint="eastAsia" w:ascii="Times New Roman" w:hAnsi="Times New Roman" w:eastAsia="宋体" w:cs="Times New Roman"/>
                <w:color w:val="auto"/>
                <w:sz w:val="24"/>
                <w:lang w:val="en-US" w:eastAsia="zh-CN"/>
              </w:rPr>
              <w:t>。</w:t>
            </w:r>
          </w:p>
          <w:p w14:paraId="55D09478">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废水</w:t>
            </w:r>
            <w:r>
              <w:rPr>
                <w:rFonts w:hint="default" w:ascii="Times New Roman" w:hAnsi="Times New Roman" w:eastAsia="宋体" w:cs="Times New Roman"/>
                <w:color w:val="auto"/>
                <w:sz w:val="24"/>
                <w:lang w:val="en-US" w:eastAsia="zh-CN"/>
              </w:rPr>
              <w:t>不涉及有毒有害污染物，不涉及持久性、重金属，也不含有腐蚀成分，因此，从水质方面分析，项目</w:t>
            </w:r>
            <w:r>
              <w:rPr>
                <w:rFonts w:hint="eastAsia" w:ascii="Times New Roman" w:hAnsi="Times New Roman" w:eastAsia="宋体" w:cs="Times New Roman"/>
                <w:color w:val="auto"/>
                <w:sz w:val="24"/>
                <w:lang w:val="en-US" w:eastAsia="zh-CN"/>
              </w:rPr>
              <w:t>生活污水和初期雨水</w:t>
            </w:r>
            <w:r>
              <w:rPr>
                <w:rFonts w:hint="default" w:ascii="Times New Roman" w:hAnsi="Times New Roman" w:eastAsia="宋体" w:cs="Times New Roman"/>
                <w:color w:val="auto"/>
                <w:sz w:val="24"/>
                <w:lang w:val="en-US" w:eastAsia="zh-CN"/>
              </w:rPr>
              <w:t>经处理达标后，</w:t>
            </w:r>
            <w:r>
              <w:rPr>
                <w:rFonts w:hint="eastAsia" w:ascii="Times New Roman" w:hAnsi="Times New Roman" w:eastAsia="宋体" w:cs="Times New Roman"/>
                <w:color w:val="auto"/>
                <w:sz w:val="24"/>
                <w:lang w:val="en-US" w:eastAsia="zh-CN"/>
              </w:rPr>
              <w:t>福州市长乐区松下镇山前村污水处理站</w:t>
            </w:r>
            <w:r>
              <w:rPr>
                <w:rFonts w:hint="default" w:ascii="Times New Roman" w:hAnsi="Times New Roman" w:eastAsia="宋体" w:cs="Times New Roman"/>
                <w:color w:val="auto"/>
                <w:sz w:val="24"/>
                <w:lang w:val="en-US" w:eastAsia="zh-CN"/>
              </w:rPr>
              <w:t>可接纳项目</w:t>
            </w:r>
            <w:r>
              <w:rPr>
                <w:rFonts w:hint="eastAsia" w:ascii="Times New Roman" w:hAnsi="Times New Roman" w:eastAsia="宋体" w:cs="Times New Roman"/>
                <w:color w:val="auto"/>
                <w:sz w:val="24"/>
                <w:lang w:val="en-US" w:eastAsia="zh-CN"/>
              </w:rPr>
              <w:t>污水</w:t>
            </w:r>
            <w:r>
              <w:rPr>
                <w:rFonts w:hint="default" w:ascii="Times New Roman" w:hAnsi="Times New Roman" w:eastAsia="宋体" w:cs="Times New Roman"/>
                <w:color w:val="auto"/>
                <w:sz w:val="24"/>
                <w:lang w:val="en-US" w:eastAsia="zh-CN"/>
              </w:rPr>
              <w:t>水质，不会对</w:t>
            </w:r>
            <w:r>
              <w:rPr>
                <w:rFonts w:hint="eastAsia" w:ascii="Times New Roman" w:hAnsi="Times New Roman" w:eastAsia="宋体" w:cs="Times New Roman"/>
                <w:color w:val="auto"/>
                <w:sz w:val="24"/>
                <w:lang w:val="en-US" w:eastAsia="zh-CN"/>
              </w:rPr>
              <w:t>污水处理站</w:t>
            </w:r>
            <w:r>
              <w:rPr>
                <w:rFonts w:hint="default" w:ascii="Times New Roman" w:hAnsi="Times New Roman" w:eastAsia="宋体" w:cs="Times New Roman"/>
                <w:color w:val="auto"/>
                <w:sz w:val="24"/>
                <w:lang w:val="en-US" w:eastAsia="zh-CN"/>
              </w:rPr>
              <w:t>水质负荷造成冲击。</w:t>
            </w:r>
          </w:p>
          <w:p w14:paraId="2BCA166E">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③水量负荷</w:t>
            </w:r>
          </w:p>
          <w:p w14:paraId="22731086">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根据与污水处理站管理人员调查了解，福州市长乐区松下镇山前村污水处理站总规模160吨/日，现状实际处理负荷约占90%，即剩余废水处理规模约16吨/日。项目生活污水排放量为2.25m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/d，约占污水处理站剩余处理规模的14.1%，因此山前村污水处理站有足够能力接纳本项目废水。</w:t>
            </w:r>
          </w:p>
          <w:p w14:paraId="489B6A17">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（3）小结</w:t>
            </w:r>
          </w:p>
          <w:p w14:paraId="611F0106">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上述分析，项目生活污水经预处理达标后可直接排入松下镇山前村污水管网，进入松下镇山前村污水处理站集中处理达标排放，项目废水水质、水量不会对污水处理站造成负荷冲击，项目污水不直接排入地表水体，因此几乎不会对区域地表水环境产生直接不利影响。</w:t>
            </w:r>
          </w:p>
          <w:p w14:paraId="6A7D7D83">
            <w:pPr>
              <w:adjustRightInd w:val="0"/>
              <w:snapToGrid w:val="0"/>
              <w:spacing w:line="360" w:lineRule="auto"/>
              <w:rPr>
                <w:rFonts w:hint="default" w:ascii="Times New Roman" w:hAnsi="Times New Roman" w:eastAsia="黑体"/>
                <w:b/>
                <w:bCs/>
                <w:color w:val="auto"/>
                <w:kern w:val="0"/>
                <w:sz w:val="24"/>
                <w:lang w:eastAsia="zh-CN"/>
              </w:rPr>
            </w:pPr>
            <w:r>
              <w:rPr>
                <w:rFonts w:hint="default" w:ascii="Times New Roman" w:hAnsi="Times New Roman" w:eastAsia="黑体"/>
                <w:b/>
                <w:bCs/>
                <w:color w:val="auto"/>
                <w:kern w:val="0"/>
                <w:sz w:val="24"/>
                <w:lang w:eastAsia="zh-CN"/>
              </w:rPr>
              <w:t>4.</w:t>
            </w:r>
            <w:r>
              <w:rPr>
                <w:rFonts w:hint="eastAsia" w:ascii="Times New Roman" w:hAnsi="Times New Roman" w:eastAsia="黑体"/>
                <w:b/>
                <w:bCs/>
                <w:color w:val="auto"/>
                <w:kern w:val="0"/>
                <w:sz w:val="24"/>
                <w:lang w:val="en-US" w:eastAsia="zh-CN"/>
              </w:rPr>
              <w:t>3</w:t>
            </w:r>
            <w:r>
              <w:rPr>
                <w:rFonts w:hint="default" w:ascii="Times New Roman" w:hAnsi="Times New Roman" w:eastAsia="黑体"/>
                <w:b/>
                <w:bCs/>
                <w:color w:val="auto"/>
                <w:kern w:val="0"/>
                <w:sz w:val="24"/>
                <w:lang w:eastAsia="zh-CN"/>
              </w:rPr>
              <w:t>.</w:t>
            </w:r>
            <w:r>
              <w:rPr>
                <w:rFonts w:hint="eastAsia" w:ascii="Times New Roman" w:hAnsi="Times New Roman" w:eastAsia="黑体"/>
                <w:b/>
                <w:bCs/>
                <w:color w:val="auto"/>
                <w:kern w:val="0"/>
                <w:sz w:val="24"/>
                <w:lang w:val="en-US" w:eastAsia="zh-CN"/>
              </w:rPr>
              <w:t>4</w:t>
            </w:r>
            <w:r>
              <w:rPr>
                <w:rFonts w:hint="default" w:ascii="Times New Roman" w:hAnsi="Times New Roman" w:eastAsia="黑体"/>
                <w:b/>
                <w:bCs/>
                <w:color w:val="auto"/>
                <w:kern w:val="0"/>
                <w:sz w:val="24"/>
                <w:lang w:eastAsia="zh-CN"/>
              </w:rPr>
              <w:t xml:space="preserve"> </w:t>
            </w:r>
            <w:r>
              <w:rPr>
                <w:rFonts w:hint="default" w:ascii="Times New Roman" w:hAnsi="Times New Roman" w:eastAsia="宋体" w:cs="Times New Roman"/>
                <w:b/>
                <w:bCs/>
                <w:color w:val="auto"/>
                <w:kern w:val="0"/>
                <w:sz w:val="24"/>
                <w:szCs w:val="20"/>
                <w:highlight w:val="none"/>
                <w:lang w:val="en-US" w:eastAsia="zh-CN" w:bidi="he-IL"/>
              </w:rPr>
              <w:t>自行监测计划</w:t>
            </w:r>
          </w:p>
          <w:p w14:paraId="4795D748">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本项目初期雨水、清洁废水经处理后回用，不外排，生活污水经预处理后排入市政管网，送往福州市长乐区松下镇山前村污水处理站集中处理，本评价参照《排污许可证申请与核发技术规范 废弃资源加工工业》(HJ 1034-2019)及《排污单位自行监测技术指南 总则》(HJ 819-2017)等要求，未对回用水、仅间接排放生活污水的自行监测进行要求，因此，本评价主要对后期排放雨水提出自行监测要求，不对回用水、生活污水提出自行监测要求，企业根据后续实际运行及管理需要，定期自行委托有资质第三方进行检测。</w:t>
            </w:r>
          </w:p>
          <w:p w14:paraId="00D5660B">
            <w:pPr>
              <w:pStyle w:val="57"/>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黑体" w:cs="Times New Roman"/>
                <w:b w:val="0"/>
                <w:bCs w:val="0"/>
                <w:color w:val="auto"/>
                <w:kern w:val="2"/>
                <w:highlight w:val="none"/>
                <w:lang w:val="en-US" w:eastAsia="zh-CN"/>
              </w:rPr>
            </w:pPr>
            <w:r>
              <w:rPr>
                <w:rFonts w:hint="default" w:ascii="Times New Roman" w:hAnsi="Times New Roman" w:eastAsia="黑体" w:cs="Times New Roman"/>
                <w:b w:val="0"/>
                <w:bCs w:val="0"/>
                <w:color w:val="auto"/>
                <w:kern w:val="0"/>
                <w:sz w:val="24"/>
                <w:lang w:eastAsia="zh-CN"/>
              </w:rPr>
              <w:t>表</w:t>
            </w:r>
            <w:r>
              <w:rPr>
                <w:rFonts w:hint="default" w:ascii="Times New Roman" w:hAnsi="Times New Roman" w:eastAsia="黑体" w:cs="Times New Roman"/>
                <w:b w:val="0"/>
                <w:bCs w:val="0"/>
                <w:color w:val="auto"/>
                <w:kern w:val="0"/>
                <w:sz w:val="24"/>
                <w:lang w:val="en-US" w:eastAsia="zh-CN"/>
              </w:rPr>
              <w:t>4.</w:t>
            </w:r>
            <w:r>
              <w:rPr>
                <w:rFonts w:hint="eastAsia" w:ascii="Times New Roman" w:hAnsi="Times New Roman" w:eastAsia="黑体" w:cs="Times New Roman"/>
                <w:b w:val="0"/>
                <w:bCs w:val="0"/>
                <w:color w:val="auto"/>
                <w:kern w:val="0"/>
                <w:sz w:val="24"/>
                <w:lang w:val="en-US" w:eastAsia="zh-CN"/>
              </w:rPr>
              <w:t xml:space="preserve">3-5 </w:t>
            </w:r>
            <w:r>
              <w:rPr>
                <w:rFonts w:hint="default" w:ascii="Times New Roman" w:hAnsi="Times New Roman" w:eastAsia="黑体" w:cs="Times New Roman"/>
                <w:b w:val="0"/>
                <w:bCs w:val="0"/>
                <w:color w:val="auto"/>
                <w:kern w:val="0"/>
                <w:sz w:val="24"/>
                <w:lang w:val="en-US" w:eastAsia="zh-CN"/>
              </w:rPr>
              <w:t>项目</w:t>
            </w:r>
            <w:r>
              <w:rPr>
                <w:rFonts w:hint="eastAsia" w:ascii="Times New Roman" w:hAnsi="Times New Roman" w:eastAsia="黑体" w:cs="Times New Roman"/>
                <w:b w:val="0"/>
                <w:bCs w:val="0"/>
                <w:color w:val="auto"/>
                <w:kern w:val="0"/>
                <w:sz w:val="24"/>
                <w:lang w:val="en-US" w:eastAsia="zh-CN"/>
              </w:rPr>
              <w:t>雨水</w:t>
            </w:r>
            <w:r>
              <w:rPr>
                <w:rFonts w:hint="default" w:ascii="Times New Roman" w:hAnsi="Times New Roman" w:eastAsia="黑体" w:cs="Times New Roman"/>
                <w:b w:val="0"/>
                <w:bCs w:val="0"/>
                <w:color w:val="auto"/>
                <w:kern w:val="0"/>
                <w:sz w:val="24"/>
              </w:rPr>
              <w:t>自行监测计划</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872"/>
              <w:gridCol w:w="3832"/>
              <w:gridCol w:w="1509"/>
            </w:tblGrid>
            <w:tr w14:paraId="5258E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5" w:type="pct"/>
                  <w:tcBorders>
                    <w:tl2br w:val="nil"/>
                    <w:tr2bl w:val="nil"/>
                  </w:tcBorders>
                  <w:noWrap w:val="0"/>
                  <w:vAlign w:val="center"/>
                </w:tcPr>
                <w:p w14:paraId="556547D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序号</w:t>
                  </w:r>
                </w:p>
              </w:tc>
              <w:tc>
                <w:tcPr>
                  <w:tcW w:w="1167" w:type="pct"/>
                  <w:tcBorders>
                    <w:tl2br w:val="nil"/>
                    <w:tr2bl w:val="nil"/>
                  </w:tcBorders>
                  <w:noWrap w:val="0"/>
                  <w:vAlign w:val="center"/>
                </w:tcPr>
                <w:p w14:paraId="1D611EF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监测点位</w:t>
                  </w:r>
                </w:p>
              </w:tc>
              <w:tc>
                <w:tcPr>
                  <w:tcW w:w="2388" w:type="pct"/>
                  <w:tcBorders>
                    <w:tl2br w:val="nil"/>
                    <w:tr2bl w:val="nil"/>
                  </w:tcBorders>
                  <w:noWrap w:val="0"/>
                  <w:vAlign w:val="center"/>
                </w:tcPr>
                <w:p w14:paraId="18FAE1E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监测因子</w:t>
                  </w:r>
                </w:p>
              </w:tc>
              <w:tc>
                <w:tcPr>
                  <w:tcW w:w="937" w:type="pct"/>
                  <w:tcBorders>
                    <w:tl2br w:val="nil"/>
                    <w:tr2bl w:val="nil"/>
                  </w:tcBorders>
                  <w:noWrap w:val="0"/>
                  <w:vAlign w:val="center"/>
                </w:tcPr>
                <w:p w14:paraId="6B41583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eastAsia" w:ascii="Times New Roman" w:hAnsi="Times New Roman" w:eastAsia="宋体" w:cs="Times New Roman"/>
                      <w:b w:val="0"/>
                      <w:bCs/>
                      <w:color w:val="auto"/>
                      <w:sz w:val="21"/>
                      <w:szCs w:val="21"/>
                      <w:vertAlign w:val="baseline"/>
                      <w:lang w:eastAsia="zh-CN"/>
                    </w:rPr>
                    <w:t>监测</w:t>
                  </w:r>
                  <w:r>
                    <w:rPr>
                      <w:rFonts w:hint="default" w:ascii="Times New Roman" w:hAnsi="Times New Roman" w:eastAsia="宋体" w:cs="Times New Roman"/>
                      <w:b w:val="0"/>
                      <w:bCs/>
                      <w:color w:val="auto"/>
                      <w:sz w:val="21"/>
                      <w:szCs w:val="21"/>
                      <w:vertAlign w:val="baseline"/>
                      <w:lang w:eastAsia="zh-CN"/>
                    </w:rPr>
                    <w:t>频次</w:t>
                  </w:r>
                </w:p>
              </w:tc>
            </w:tr>
            <w:tr w14:paraId="08496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5" w:type="pct"/>
                  <w:tcBorders>
                    <w:tl2br w:val="nil"/>
                    <w:tr2bl w:val="nil"/>
                  </w:tcBorders>
                  <w:noWrap w:val="0"/>
                  <w:vAlign w:val="center"/>
                </w:tcPr>
                <w:p w14:paraId="1BCC8FC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1167" w:type="pct"/>
                  <w:tcBorders>
                    <w:tl2br w:val="nil"/>
                    <w:tr2bl w:val="nil"/>
                  </w:tcBorders>
                  <w:noWrap w:val="0"/>
                  <w:vAlign w:val="center"/>
                </w:tcPr>
                <w:p w14:paraId="205FD2E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厂区雨水排放口</w:t>
                  </w:r>
                </w:p>
              </w:tc>
              <w:tc>
                <w:tcPr>
                  <w:tcW w:w="2388" w:type="pct"/>
                  <w:tcBorders>
                    <w:tl2br w:val="nil"/>
                    <w:tr2bl w:val="nil"/>
                  </w:tcBorders>
                  <w:noWrap w:val="0"/>
                  <w:vAlign w:val="center"/>
                </w:tcPr>
                <w:p w14:paraId="25F53C16">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SS、COD、石油类</w:t>
                  </w:r>
                </w:p>
              </w:tc>
              <w:tc>
                <w:tcPr>
                  <w:tcW w:w="937" w:type="pct"/>
                  <w:tcBorders>
                    <w:tl2br w:val="nil"/>
                    <w:tr2bl w:val="nil"/>
                  </w:tcBorders>
                  <w:noWrap w:val="0"/>
                  <w:vAlign w:val="center"/>
                </w:tcPr>
                <w:p w14:paraId="43FD68B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日</w:t>
                  </w:r>
                </w:p>
              </w:tc>
            </w:tr>
            <w:tr w14:paraId="0B9B6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00" w:type="pct"/>
                  <w:gridSpan w:val="4"/>
                  <w:tcBorders>
                    <w:tl2br w:val="nil"/>
                    <w:tr2bl w:val="nil"/>
                  </w:tcBorders>
                  <w:noWrap w:val="0"/>
                  <w:vAlign w:val="center"/>
                </w:tcPr>
                <w:p w14:paraId="5D1FC3C2">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注：雨水排放口有流动水排放时开展监测，排放期间按日监测。如监测一年无异常情况，每季度第一次有流动水排放时开展按日监测。</w:t>
                  </w:r>
                </w:p>
              </w:tc>
            </w:tr>
          </w:tbl>
          <w:p w14:paraId="5583189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4.</w:t>
            </w:r>
            <w:r>
              <w:rPr>
                <w:rFonts w:hint="eastAsia" w:ascii="Times New Roman" w:hAnsi="Times New Roman" w:eastAsia="宋体" w:cs="Times New Roman"/>
                <w:b/>
                <w:bCs w:val="0"/>
                <w:color w:val="auto"/>
                <w:sz w:val="28"/>
                <w:szCs w:val="28"/>
                <w:lang w:val="en-US" w:eastAsia="zh-CN"/>
              </w:rPr>
              <w:t>4</w:t>
            </w:r>
            <w:r>
              <w:rPr>
                <w:rFonts w:hint="default" w:ascii="Times New Roman" w:hAnsi="Times New Roman" w:eastAsia="宋体" w:cs="Times New Roman"/>
                <w:b/>
                <w:bCs w:val="0"/>
                <w:color w:val="auto"/>
                <w:sz w:val="28"/>
                <w:szCs w:val="28"/>
              </w:rPr>
              <w:t>运营期声环境影响分析和污染防治措施</w:t>
            </w:r>
          </w:p>
          <w:p w14:paraId="04150989">
            <w:pPr>
              <w:adjustRightInd w:val="0"/>
              <w:snapToGrid w:val="0"/>
              <w:spacing w:line="360" w:lineRule="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4.</w:t>
            </w:r>
            <w:r>
              <w:rPr>
                <w:rFonts w:hint="eastAsia" w:ascii="Times New Roman" w:hAnsi="Times New Roman" w:eastAsia="宋体" w:cs="Times New Roman"/>
                <w:b/>
                <w:bCs/>
                <w:color w:val="auto"/>
                <w:kern w:val="0"/>
                <w:sz w:val="24"/>
                <w:lang w:val="en-US" w:eastAsia="zh-CN"/>
              </w:rPr>
              <w:t>4</w:t>
            </w:r>
            <w:r>
              <w:rPr>
                <w:rFonts w:hint="default" w:ascii="Times New Roman" w:hAnsi="Times New Roman" w:eastAsia="宋体" w:cs="Times New Roman"/>
                <w:b/>
                <w:bCs/>
                <w:color w:val="auto"/>
                <w:kern w:val="0"/>
                <w:sz w:val="24"/>
                <w:lang w:val="en-US" w:eastAsia="zh-CN"/>
              </w:rPr>
              <w:t>.1</w:t>
            </w:r>
            <w:r>
              <w:rPr>
                <w:rFonts w:hint="default" w:ascii="Times New Roman" w:hAnsi="Times New Roman" w:eastAsia="宋体" w:cs="Times New Roman"/>
                <w:b/>
                <w:bCs/>
                <w:color w:val="auto"/>
                <w:kern w:val="0"/>
                <w:sz w:val="24"/>
              </w:rPr>
              <w:t xml:space="preserve"> </w:t>
            </w:r>
            <w:r>
              <w:rPr>
                <w:rFonts w:hint="default" w:ascii="Times New Roman" w:hAnsi="Times New Roman" w:eastAsia="宋体" w:cs="Times New Roman"/>
                <w:b/>
                <w:bCs/>
                <w:color w:val="auto"/>
                <w:kern w:val="0"/>
                <w:sz w:val="24"/>
                <w:lang w:val="en-US" w:eastAsia="zh-CN"/>
              </w:rPr>
              <w:t>运营期噪声源强核算</w:t>
            </w:r>
          </w:p>
          <w:p w14:paraId="178B3EB7">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本项目主要的噪声污染源为</w:t>
            </w:r>
            <w:r>
              <w:rPr>
                <w:rFonts w:hint="eastAsia" w:ascii="Times New Roman" w:hAnsi="Times New Roman" w:cs="Times New Roman"/>
                <w:color w:val="auto"/>
                <w:sz w:val="24"/>
                <w:szCs w:val="24"/>
                <w:highlight w:val="none"/>
                <w:lang w:eastAsia="zh-CN"/>
              </w:rPr>
              <w:t>项目生产设备</w:t>
            </w:r>
            <w:r>
              <w:rPr>
                <w:rFonts w:hint="default" w:ascii="Times New Roman" w:hAnsi="Times New Roman" w:eastAsia="宋体" w:cs="Times New Roman"/>
                <w:color w:val="auto"/>
                <w:sz w:val="24"/>
                <w:szCs w:val="24"/>
                <w:highlight w:val="none"/>
              </w:rPr>
              <w:t>运行</w:t>
            </w:r>
            <w:r>
              <w:rPr>
                <w:rFonts w:hint="eastAsia" w:ascii="Times New Roman" w:hAnsi="Times New Roman" w:cs="Times New Roman"/>
                <w:color w:val="auto"/>
                <w:sz w:val="24"/>
                <w:szCs w:val="24"/>
                <w:highlight w:val="none"/>
                <w:lang w:eastAsia="zh-CN"/>
              </w:rPr>
              <w:t>过程中</w:t>
            </w:r>
            <w:r>
              <w:rPr>
                <w:rFonts w:hint="default" w:ascii="Times New Roman" w:hAnsi="Times New Roman" w:eastAsia="宋体" w:cs="Times New Roman"/>
                <w:color w:val="auto"/>
                <w:sz w:val="24"/>
                <w:szCs w:val="24"/>
                <w:highlight w:val="none"/>
              </w:rPr>
              <w:t>产生的噪声，</w:t>
            </w:r>
            <w:r>
              <w:rPr>
                <w:rFonts w:hint="eastAsia" w:ascii="Times New Roman" w:hAnsi="Times New Roman"/>
                <w:color w:val="auto"/>
                <w:sz w:val="24"/>
              </w:rPr>
              <w:t>本项目室内噪声源强调查清单详见表4.4-1</w:t>
            </w:r>
            <w:r>
              <w:rPr>
                <w:rFonts w:hint="default" w:ascii="Times New Roman" w:hAnsi="Times New Roman" w:eastAsia="宋体" w:cs="Times New Roman"/>
                <w:color w:val="auto"/>
                <w:sz w:val="24"/>
                <w:szCs w:val="24"/>
                <w:highlight w:val="none"/>
              </w:rPr>
              <w:t>。</w:t>
            </w:r>
          </w:p>
          <w:p w14:paraId="2B421767">
            <w:pPr>
              <w:pStyle w:val="59"/>
              <w:keepNext/>
              <w:keepLines/>
              <w:pageBreakBefore w:val="0"/>
              <w:widowControl w:val="0"/>
              <w:kinsoku/>
              <w:wordWrap/>
              <w:overflowPunct/>
              <w:topLinePunct w:val="0"/>
              <w:autoSpaceDE/>
              <w:autoSpaceDN/>
              <w:bidi w:val="0"/>
              <w:adjustRightInd/>
              <w:snapToGrid/>
              <w:spacing w:before="157" w:beforeLines="50" w:after="0"/>
              <w:textAlignment w:val="auto"/>
              <w:rPr>
                <w:rFonts w:ascii="Times New Roman" w:hAnsi="Times New Roman" w:eastAsia="宋体"/>
                <w:b/>
                <w:bCs/>
                <w:color w:val="auto"/>
                <w:sz w:val="24"/>
                <w:szCs w:val="24"/>
                <w:lang w:val="zh-CN"/>
              </w:rPr>
            </w:pPr>
            <w:r>
              <w:rPr>
                <w:rFonts w:ascii="Times New Roman" w:hAnsi="Times New Roman" w:eastAsia="宋体"/>
                <w:b/>
                <w:bCs/>
                <w:color w:val="auto"/>
                <w:spacing w:val="6"/>
                <w:sz w:val="24"/>
                <w:szCs w:val="24"/>
              </w:rPr>
              <w:t>表</w:t>
            </w:r>
            <w:r>
              <w:rPr>
                <w:rFonts w:hint="eastAsia" w:ascii="Times New Roman" w:hAnsi="Times New Roman" w:eastAsia="宋体"/>
                <w:b/>
                <w:bCs/>
                <w:color w:val="auto"/>
                <w:spacing w:val="6"/>
                <w:sz w:val="24"/>
                <w:szCs w:val="24"/>
              </w:rPr>
              <w:t>4.</w:t>
            </w:r>
            <w:r>
              <w:rPr>
                <w:rFonts w:hint="eastAsia" w:ascii="Times New Roman" w:hAnsi="Times New Roman" w:eastAsia="宋体"/>
                <w:b/>
                <w:bCs/>
                <w:color w:val="auto"/>
                <w:spacing w:val="6"/>
                <w:sz w:val="24"/>
                <w:szCs w:val="24"/>
                <w:lang w:val="en-US" w:eastAsia="zh-CN"/>
              </w:rPr>
              <w:t>4</w:t>
            </w:r>
            <w:r>
              <w:rPr>
                <w:rFonts w:hint="eastAsia" w:ascii="Times New Roman" w:hAnsi="Times New Roman" w:eastAsia="宋体"/>
                <w:b/>
                <w:bCs/>
                <w:color w:val="auto"/>
                <w:spacing w:val="6"/>
                <w:sz w:val="24"/>
                <w:szCs w:val="24"/>
              </w:rPr>
              <w:t xml:space="preserve">-1 </w:t>
            </w:r>
            <w:r>
              <w:rPr>
                <w:rFonts w:hint="eastAsia" w:ascii="Times New Roman" w:hAnsi="Times New Roman" w:eastAsia="宋体"/>
                <w:b/>
                <w:bCs/>
                <w:color w:val="auto"/>
                <w:sz w:val="24"/>
                <w:szCs w:val="24"/>
                <w:lang w:val="en-US" w:eastAsia="zh-CN"/>
              </w:rPr>
              <w:t>项目噪声源强调查清单（室内声源）</w:t>
            </w:r>
          </w:p>
          <w:tbl>
            <w:tblPr>
              <w:tblStyle w:val="2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49"/>
              <w:gridCol w:w="1033"/>
              <w:gridCol w:w="576"/>
              <w:gridCol w:w="766"/>
              <w:gridCol w:w="387"/>
              <w:gridCol w:w="518"/>
              <w:gridCol w:w="486"/>
              <w:gridCol w:w="316"/>
              <w:gridCol w:w="323"/>
              <w:gridCol w:w="478"/>
              <w:gridCol w:w="489"/>
              <w:gridCol w:w="491"/>
              <w:gridCol w:w="562"/>
              <w:gridCol w:w="425"/>
            </w:tblGrid>
            <w:tr w14:paraId="21552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blHeader/>
              </w:trPr>
              <w:tc>
                <w:tcPr>
                  <w:tcW w:w="446" w:type="pct"/>
                  <w:vMerge w:val="restart"/>
                  <w:tcBorders>
                    <w:tl2br w:val="nil"/>
                    <w:tr2bl w:val="nil"/>
                  </w:tcBorders>
                  <w:noWrap w:val="0"/>
                  <w:vAlign w:val="center"/>
                </w:tcPr>
                <w:p w14:paraId="056CD717">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建筑物名称</w:t>
                  </w:r>
                </w:p>
              </w:tc>
              <w:tc>
                <w:tcPr>
                  <w:tcW w:w="280" w:type="pct"/>
                  <w:vMerge w:val="restart"/>
                  <w:tcBorders>
                    <w:tl2br w:val="nil"/>
                    <w:tr2bl w:val="nil"/>
                  </w:tcBorders>
                  <w:noWrap w:val="0"/>
                  <w:vAlign w:val="center"/>
                </w:tcPr>
                <w:p w14:paraId="05A81A9D">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序号</w:t>
                  </w:r>
                </w:p>
              </w:tc>
              <w:tc>
                <w:tcPr>
                  <w:tcW w:w="643" w:type="pct"/>
                  <w:vMerge w:val="restart"/>
                  <w:tcBorders>
                    <w:tl2br w:val="nil"/>
                    <w:tr2bl w:val="nil"/>
                  </w:tcBorders>
                  <w:noWrap w:val="0"/>
                  <w:vAlign w:val="center"/>
                </w:tcPr>
                <w:p w14:paraId="60F23ABE">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声源名称</w:t>
                  </w:r>
                </w:p>
              </w:tc>
              <w:tc>
                <w:tcPr>
                  <w:tcW w:w="359" w:type="pct"/>
                  <w:vMerge w:val="restart"/>
                  <w:tcBorders>
                    <w:tl2br w:val="nil"/>
                    <w:tr2bl w:val="nil"/>
                  </w:tcBorders>
                  <w:noWrap w:val="0"/>
                  <w:vAlign w:val="center"/>
                </w:tcPr>
                <w:p w14:paraId="281167EE">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数量</w:t>
                  </w:r>
                </w:p>
              </w:tc>
              <w:tc>
                <w:tcPr>
                  <w:tcW w:w="477" w:type="pct"/>
                  <w:vMerge w:val="restart"/>
                  <w:tcBorders>
                    <w:tl2br w:val="nil"/>
                    <w:tr2bl w:val="nil"/>
                  </w:tcBorders>
                  <w:noWrap w:val="0"/>
                  <w:vAlign w:val="center"/>
                </w:tcPr>
                <w:p w14:paraId="51DA250D">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声源</w:t>
                  </w:r>
                </w:p>
                <w:p w14:paraId="5719F465">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源强</w:t>
                  </w:r>
                </w:p>
                <w:p w14:paraId="412A98D9">
                  <w:pPr>
                    <w:spacing w:before="60"/>
                    <w:ind w:left="-105" w:leftChars="-50" w:right="-105" w:rightChars="-50"/>
                    <w:jc w:val="center"/>
                    <w:rPr>
                      <w:rFonts w:hint="default" w:ascii="Times New Roman" w:hAnsi="Times New Roman" w:eastAsia="宋体"/>
                      <w:b/>
                      <w:bCs/>
                      <w:color w:val="auto"/>
                      <w:sz w:val="18"/>
                      <w:szCs w:val="18"/>
                      <w:lang w:val="en-US" w:eastAsia="zh-CN"/>
                    </w:rPr>
                  </w:pPr>
                  <w:r>
                    <w:rPr>
                      <w:rFonts w:hint="eastAsia" w:ascii="Times New Roman" w:hAnsi="Times New Roman" w:eastAsia="宋体"/>
                      <w:b/>
                      <w:bCs/>
                      <w:color w:val="auto"/>
                      <w:sz w:val="18"/>
                      <w:szCs w:val="18"/>
                      <w:lang w:val="en-US" w:eastAsia="zh-CN"/>
                    </w:rPr>
                    <w:t>距声源1m/</w:t>
                  </w:r>
                  <w:r>
                    <w:rPr>
                      <w:rFonts w:ascii="Times New Roman" w:hAnsi="Times New Roman" w:eastAsia="宋体"/>
                      <w:b/>
                      <w:bCs/>
                      <w:color w:val="auto"/>
                      <w:sz w:val="18"/>
                      <w:szCs w:val="18"/>
                    </w:rPr>
                    <w:t>dB(A)</w:t>
                  </w:r>
                </w:p>
              </w:tc>
              <w:tc>
                <w:tcPr>
                  <w:tcW w:w="241" w:type="pct"/>
                  <w:vMerge w:val="restart"/>
                  <w:tcBorders>
                    <w:tl2br w:val="nil"/>
                    <w:tr2bl w:val="nil"/>
                  </w:tcBorders>
                  <w:noWrap w:val="0"/>
                  <w:vAlign w:val="center"/>
                </w:tcPr>
                <w:p w14:paraId="1DDA6B8A">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声源控制措施</w:t>
                  </w:r>
                </w:p>
              </w:tc>
              <w:tc>
                <w:tcPr>
                  <w:tcW w:w="823" w:type="pct"/>
                  <w:gridSpan w:val="3"/>
                  <w:tcBorders>
                    <w:tl2br w:val="nil"/>
                    <w:tr2bl w:val="nil"/>
                  </w:tcBorders>
                  <w:noWrap w:val="0"/>
                  <w:vAlign w:val="center"/>
                </w:tcPr>
                <w:p w14:paraId="08DF6E3B">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空间相对位置/m</w:t>
                  </w:r>
                </w:p>
              </w:tc>
              <w:tc>
                <w:tcPr>
                  <w:tcW w:w="201" w:type="pct"/>
                  <w:vMerge w:val="restart"/>
                  <w:tcBorders>
                    <w:tl2br w:val="nil"/>
                    <w:tr2bl w:val="nil"/>
                  </w:tcBorders>
                  <w:noWrap w:val="0"/>
                  <w:vAlign w:val="center"/>
                </w:tcPr>
                <w:p w14:paraId="0732ABFE">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距室内边界距离m</w:t>
                  </w:r>
                </w:p>
              </w:tc>
              <w:tc>
                <w:tcPr>
                  <w:tcW w:w="298" w:type="pct"/>
                  <w:vMerge w:val="restart"/>
                  <w:tcBorders>
                    <w:tl2br w:val="nil"/>
                    <w:tr2bl w:val="nil"/>
                  </w:tcBorders>
                  <w:noWrap w:val="0"/>
                  <w:vAlign w:val="center"/>
                </w:tcPr>
                <w:p w14:paraId="0AD75169">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室内边界</w:t>
                  </w:r>
                </w:p>
                <w:p w14:paraId="3DFDBD69">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声</w:t>
                  </w:r>
                  <w:r>
                    <w:rPr>
                      <w:rFonts w:hint="eastAsia" w:ascii="Times New Roman" w:hAnsi="Times New Roman" w:eastAsia="宋体"/>
                      <w:b/>
                      <w:bCs/>
                      <w:color w:val="auto"/>
                      <w:sz w:val="18"/>
                      <w:szCs w:val="18"/>
                    </w:rPr>
                    <w:t>压</w:t>
                  </w:r>
                  <w:r>
                    <w:rPr>
                      <w:rFonts w:ascii="Times New Roman" w:hAnsi="Times New Roman" w:eastAsia="宋体"/>
                      <w:b/>
                      <w:bCs/>
                      <w:color w:val="auto"/>
                      <w:sz w:val="18"/>
                      <w:szCs w:val="18"/>
                    </w:rPr>
                    <w:t>级dB(A)</w:t>
                  </w:r>
                </w:p>
              </w:tc>
              <w:tc>
                <w:tcPr>
                  <w:tcW w:w="305" w:type="pct"/>
                  <w:vMerge w:val="restart"/>
                  <w:tcBorders>
                    <w:tl2br w:val="nil"/>
                    <w:tr2bl w:val="nil"/>
                  </w:tcBorders>
                  <w:noWrap w:val="0"/>
                  <w:vAlign w:val="center"/>
                </w:tcPr>
                <w:p w14:paraId="1750AF9D">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运行时段</w:t>
                  </w:r>
                </w:p>
                <w:p w14:paraId="52D2E387">
                  <w:pPr>
                    <w:spacing w:before="60"/>
                    <w:ind w:left="-105" w:leftChars="-50" w:right="-105" w:rightChars="-50"/>
                    <w:jc w:val="center"/>
                    <w:rPr>
                      <w:rFonts w:ascii="Times New Roman" w:hAnsi="Times New Roman" w:eastAsia="宋体"/>
                      <w:b/>
                      <w:bCs/>
                      <w:color w:val="auto"/>
                      <w:sz w:val="18"/>
                      <w:szCs w:val="18"/>
                    </w:rPr>
                  </w:pPr>
                  <w:r>
                    <w:rPr>
                      <w:rFonts w:ascii="Times New Roman" w:hAnsi="Times New Roman" w:eastAsia="宋体"/>
                      <w:b/>
                      <w:bCs/>
                      <w:color w:val="auto"/>
                      <w:sz w:val="18"/>
                      <w:szCs w:val="18"/>
                    </w:rPr>
                    <w:t>h/a</w:t>
                  </w:r>
                </w:p>
              </w:tc>
              <w:tc>
                <w:tcPr>
                  <w:tcW w:w="306" w:type="pct"/>
                  <w:vMerge w:val="restart"/>
                  <w:tcBorders>
                    <w:tl2br w:val="nil"/>
                    <w:tr2bl w:val="nil"/>
                  </w:tcBorders>
                  <w:noWrap w:val="0"/>
                  <w:vAlign w:val="center"/>
                </w:tcPr>
                <w:p w14:paraId="302E3BC4">
                  <w:pPr>
                    <w:spacing w:before="60"/>
                    <w:ind w:left="-105" w:leftChars="-50" w:right="-105" w:rightChars="-50"/>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rPr>
                    <w:t>建筑物插入损失</w:t>
                  </w:r>
                  <w:r>
                    <w:rPr>
                      <w:rFonts w:ascii="Times New Roman" w:hAnsi="Times New Roman" w:eastAsia="宋体"/>
                      <w:b/>
                      <w:bCs/>
                      <w:color w:val="auto"/>
                      <w:sz w:val="18"/>
                      <w:szCs w:val="18"/>
                    </w:rPr>
                    <w:t>dB(A)</w:t>
                  </w:r>
                </w:p>
              </w:tc>
              <w:tc>
                <w:tcPr>
                  <w:tcW w:w="615" w:type="pct"/>
                  <w:gridSpan w:val="2"/>
                  <w:tcBorders>
                    <w:tl2br w:val="nil"/>
                    <w:tr2bl w:val="nil"/>
                  </w:tcBorders>
                  <w:noWrap w:val="0"/>
                  <w:vAlign w:val="center"/>
                </w:tcPr>
                <w:p w14:paraId="76CBA801">
                  <w:pPr>
                    <w:spacing w:before="60"/>
                    <w:ind w:left="-105" w:leftChars="-50" w:right="-105" w:rightChars="-50"/>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rPr>
                    <w:t>建筑物外噪声</w:t>
                  </w:r>
                </w:p>
              </w:tc>
            </w:tr>
            <w:tr w14:paraId="3DBB3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blHeader/>
              </w:trPr>
              <w:tc>
                <w:tcPr>
                  <w:tcW w:w="446" w:type="pct"/>
                  <w:vMerge w:val="continue"/>
                  <w:tcBorders>
                    <w:tl2br w:val="nil"/>
                    <w:tr2bl w:val="nil"/>
                  </w:tcBorders>
                  <w:noWrap w:val="0"/>
                  <w:vAlign w:val="center"/>
                </w:tcPr>
                <w:p w14:paraId="6536B2A6">
                  <w:pPr>
                    <w:spacing w:before="60"/>
                    <w:ind w:left="-63" w:leftChars="-30" w:right="-63" w:rightChars="-30"/>
                    <w:jc w:val="center"/>
                    <w:rPr>
                      <w:rFonts w:ascii="Times New Roman" w:hAnsi="Times New Roman" w:eastAsia="宋体"/>
                      <w:b/>
                      <w:bCs/>
                      <w:color w:val="auto"/>
                      <w:sz w:val="18"/>
                      <w:szCs w:val="18"/>
                    </w:rPr>
                  </w:pPr>
                </w:p>
              </w:tc>
              <w:tc>
                <w:tcPr>
                  <w:tcW w:w="280" w:type="pct"/>
                  <w:vMerge w:val="continue"/>
                  <w:tcBorders>
                    <w:tl2br w:val="nil"/>
                    <w:tr2bl w:val="nil"/>
                  </w:tcBorders>
                  <w:noWrap w:val="0"/>
                  <w:vAlign w:val="center"/>
                </w:tcPr>
                <w:p w14:paraId="71FD251D">
                  <w:pPr>
                    <w:spacing w:before="60"/>
                    <w:ind w:left="-63" w:leftChars="-30" w:right="-63" w:rightChars="-30"/>
                    <w:jc w:val="center"/>
                    <w:rPr>
                      <w:rFonts w:ascii="Times New Roman" w:hAnsi="Times New Roman" w:eastAsia="宋体"/>
                      <w:b/>
                      <w:bCs/>
                      <w:color w:val="auto"/>
                      <w:sz w:val="18"/>
                      <w:szCs w:val="18"/>
                    </w:rPr>
                  </w:pPr>
                </w:p>
              </w:tc>
              <w:tc>
                <w:tcPr>
                  <w:tcW w:w="643" w:type="pct"/>
                  <w:vMerge w:val="continue"/>
                  <w:tcBorders>
                    <w:tl2br w:val="nil"/>
                    <w:tr2bl w:val="nil"/>
                  </w:tcBorders>
                  <w:noWrap w:val="0"/>
                  <w:vAlign w:val="center"/>
                </w:tcPr>
                <w:p w14:paraId="2F0D85B8">
                  <w:pPr>
                    <w:spacing w:before="60"/>
                    <w:ind w:left="-63" w:leftChars="-30" w:right="-63" w:rightChars="-30"/>
                    <w:jc w:val="center"/>
                    <w:rPr>
                      <w:rFonts w:ascii="Times New Roman" w:hAnsi="Times New Roman" w:eastAsia="宋体"/>
                      <w:b/>
                      <w:bCs/>
                      <w:color w:val="auto"/>
                      <w:sz w:val="18"/>
                      <w:szCs w:val="18"/>
                    </w:rPr>
                  </w:pPr>
                </w:p>
              </w:tc>
              <w:tc>
                <w:tcPr>
                  <w:tcW w:w="359" w:type="pct"/>
                  <w:vMerge w:val="continue"/>
                  <w:tcBorders>
                    <w:tl2br w:val="nil"/>
                    <w:tr2bl w:val="nil"/>
                  </w:tcBorders>
                  <w:noWrap w:val="0"/>
                  <w:vAlign w:val="center"/>
                </w:tcPr>
                <w:p w14:paraId="122A72BC">
                  <w:pPr>
                    <w:spacing w:before="60"/>
                    <w:ind w:left="-63" w:leftChars="-30" w:right="-63" w:rightChars="-30"/>
                    <w:jc w:val="center"/>
                    <w:rPr>
                      <w:rFonts w:ascii="Times New Roman" w:hAnsi="Times New Roman" w:eastAsia="宋体"/>
                      <w:b/>
                      <w:bCs/>
                      <w:color w:val="auto"/>
                      <w:sz w:val="18"/>
                      <w:szCs w:val="18"/>
                    </w:rPr>
                  </w:pPr>
                </w:p>
              </w:tc>
              <w:tc>
                <w:tcPr>
                  <w:tcW w:w="477" w:type="pct"/>
                  <w:vMerge w:val="continue"/>
                  <w:tcBorders>
                    <w:tl2br w:val="nil"/>
                    <w:tr2bl w:val="nil"/>
                  </w:tcBorders>
                  <w:noWrap w:val="0"/>
                  <w:vAlign w:val="center"/>
                </w:tcPr>
                <w:p w14:paraId="022DC3F0">
                  <w:pPr>
                    <w:spacing w:before="60"/>
                    <w:ind w:left="-63" w:leftChars="-30" w:right="-63" w:rightChars="-30"/>
                    <w:jc w:val="center"/>
                    <w:rPr>
                      <w:rFonts w:ascii="Times New Roman" w:hAnsi="Times New Roman" w:eastAsia="宋体"/>
                      <w:b/>
                      <w:bCs/>
                      <w:color w:val="auto"/>
                      <w:sz w:val="18"/>
                      <w:szCs w:val="18"/>
                    </w:rPr>
                  </w:pPr>
                </w:p>
              </w:tc>
              <w:tc>
                <w:tcPr>
                  <w:tcW w:w="241" w:type="pct"/>
                  <w:vMerge w:val="continue"/>
                  <w:tcBorders>
                    <w:tl2br w:val="nil"/>
                    <w:tr2bl w:val="nil"/>
                  </w:tcBorders>
                  <w:noWrap w:val="0"/>
                  <w:vAlign w:val="center"/>
                </w:tcPr>
                <w:p w14:paraId="7102EC28">
                  <w:pPr>
                    <w:spacing w:before="60"/>
                    <w:ind w:left="-63" w:leftChars="-30" w:right="-63" w:rightChars="-30"/>
                    <w:jc w:val="center"/>
                    <w:rPr>
                      <w:rFonts w:ascii="Times New Roman" w:hAnsi="Times New Roman" w:eastAsia="宋体"/>
                      <w:b/>
                      <w:bCs/>
                      <w:color w:val="auto"/>
                      <w:sz w:val="18"/>
                      <w:szCs w:val="18"/>
                    </w:rPr>
                  </w:pPr>
                </w:p>
              </w:tc>
              <w:tc>
                <w:tcPr>
                  <w:tcW w:w="323" w:type="pct"/>
                  <w:tcBorders>
                    <w:tl2br w:val="nil"/>
                    <w:tr2bl w:val="nil"/>
                  </w:tcBorders>
                  <w:noWrap w:val="0"/>
                  <w:vAlign w:val="center"/>
                </w:tcPr>
                <w:p w14:paraId="178CB62F">
                  <w:pPr>
                    <w:spacing w:before="60"/>
                    <w:ind w:left="-63" w:leftChars="-30" w:right="-63" w:rightChars="-30"/>
                    <w:jc w:val="center"/>
                    <w:rPr>
                      <w:rFonts w:ascii="Times New Roman" w:hAnsi="Times New Roman" w:eastAsia="宋体"/>
                      <w:b/>
                      <w:bCs/>
                      <w:color w:val="auto"/>
                      <w:sz w:val="18"/>
                      <w:szCs w:val="18"/>
                    </w:rPr>
                  </w:pPr>
                  <w:r>
                    <w:rPr>
                      <w:rFonts w:ascii="Times New Roman" w:hAnsi="Times New Roman" w:eastAsia="宋体"/>
                      <w:b/>
                      <w:bCs/>
                      <w:color w:val="auto"/>
                      <w:sz w:val="18"/>
                      <w:szCs w:val="18"/>
                    </w:rPr>
                    <w:t>X</w:t>
                  </w:r>
                </w:p>
              </w:tc>
              <w:tc>
                <w:tcPr>
                  <w:tcW w:w="303" w:type="pct"/>
                  <w:tcBorders>
                    <w:tl2br w:val="nil"/>
                    <w:tr2bl w:val="nil"/>
                  </w:tcBorders>
                  <w:noWrap w:val="0"/>
                  <w:vAlign w:val="center"/>
                </w:tcPr>
                <w:p w14:paraId="2CF45A15">
                  <w:pPr>
                    <w:spacing w:before="60"/>
                    <w:ind w:left="-63" w:leftChars="-30" w:right="-63" w:rightChars="-30"/>
                    <w:jc w:val="center"/>
                    <w:rPr>
                      <w:rFonts w:ascii="Times New Roman" w:hAnsi="Times New Roman" w:eastAsia="宋体"/>
                      <w:b/>
                      <w:bCs/>
                      <w:color w:val="auto"/>
                      <w:sz w:val="18"/>
                      <w:szCs w:val="18"/>
                    </w:rPr>
                  </w:pPr>
                  <w:r>
                    <w:rPr>
                      <w:rFonts w:ascii="Times New Roman" w:hAnsi="Times New Roman" w:eastAsia="宋体"/>
                      <w:b/>
                      <w:bCs/>
                      <w:color w:val="auto"/>
                      <w:sz w:val="18"/>
                      <w:szCs w:val="18"/>
                    </w:rPr>
                    <w:t>Y</w:t>
                  </w:r>
                </w:p>
              </w:tc>
              <w:tc>
                <w:tcPr>
                  <w:tcW w:w="197" w:type="pct"/>
                  <w:tcBorders>
                    <w:tl2br w:val="nil"/>
                    <w:tr2bl w:val="nil"/>
                  </w:tcBorders>
                  <w:noWrap w:val="0"/>
                  <w:vAlign w:val="center"/>
                </w:tcPr>
                <w:p w14:paraId="166549B4">
                  <w:pPr>
                    <w:spacing w:before="60"/>
                    <w:ind w:left="-63" w:leftChars="-30" w:right="-63" w:rightChars="-30"/>
                    <w:jc w:val="center"/>
                    <w:rPr>
                      <w:rFonts w:ascii="Times New Roman" w:hAnsi="Times New Roman" w:eastAsia="宋体"/>
                      <w:b/>
                      <w:bCs/>
                      <w:color w:val="auto"/>
                      <w:sz w:val="18"/>
                      <w:szCs w:val="18"/>
                    </w:rPr>
                  </w:pPr>
                  <w:r>
                    <w:rPr>
                      <w:rFonts w:ascii="Times New Roman" w:hAnsi="Times New Roman" w:eastAsia="宋体"/>
                      <w:b/>
                      <w:bCs/>
                      <w:color w:val="auto"/>
                      <w:sz w:val="18"/>
                      <w:szCs w:val="18"/>
                    </w:rPr>
                    <w:t>Z</w:t>
                  </w:r>
                </w:p>
              </w:tc>
              <w:tc>
                <w:tcPr>
                  <w:tcW w:w="201" w:type="pct"/>
                  <w:vMerge w:val="continue"/>
                  <w:tcBorders>
                    <w:tl2br w:val="nil"/>
                    <w:tr2bl w:val="nil"/>
                  </w:tcBorders>
                  <w:noWrap w:val="0"/>
                  <w:vAlign w:val="center"/>
                </w:tcPr>
                <w:p w14:paraId="5EBB54C8">
                  <w:pPr>
                    <w:spacing w:before="60"/>
                    <w:ind w:left="-63" w:leftChars="-30" w:right="-63" w:rightChars="-30"/>
                    <w:jc w:val="center"/>
                    <w:rPr>
                      <w:rFonts w:ascii="Times New Roman" w:hAnsi="Times New Roman" w:eastAsia="宋体"/>
                      <w:b/>
                      <w:bCs/>
                      <w:color w:val="auto"/>
                      <w:sz w:val="18"/>
                      <w:szCs w:val="18"/>
                    </w:rPr>
                  </w:pPr>
                </w:p>
              </w:tc>
              <w:tc>
                <w:tcPr>
                  <w:tcW w:w="298" w:type="pct"/>
                  <w:vMerge w:val="continue"/>
                  <w:tcBorders>
                    <w:tl2br w:val="nil"/>
                    <w:tr2bl w:val="nil"/>
                  </w:tcBorders>
                  <w:noWrap w:val="0"/>
                  <w:vAlign w:val="center"/>
                </w:tcPr>
                <w:p w14:paraId="5F8BF862">
                  <w:pPr>
                    <w:spacing w:before="60"/>
                    <w:ind w:left="-63" w:leftChars="-30" w:right="-63" w:rightChars="-30"/>
                    <w:jc w:val="center"/>
                    <w:rPr>
                      <w:rFonts w:ascii="Times New Roman" w:hAnsi="Times New Roman" w:eastAsia="宋体"/>
                      <w:b/>
                      <w:bCs/>
                      <w:color w:val="auto"/>
                      <w:sz w:val="18"/>
                      <w:szCs w:val="18"/>
                    </w:rPr>
                  </w:pPr>
                </w:p>
              </w:tc>
              <w:tc>
                <w:tcPr>
                  <w:tcW w:w="305" w:type="pct"/>
                  <w:vMerge w:val="continue"/>
                  <w:tcBorders>
                    <w:tl2br w:val="nil"/>
                    <w:tr2bl w:val="nil"/>
                  </w:tcBorders>
                  <w:noWrap w:val="0"/>
                  <w:vAlign w:val="center"/>
                </w:tcPr>
                <w:p w14:paraId="355587DE">
                  <w:pPr>
                    <w:spacing w:before="60"/>
                    <w:ind w:left="-63" w:leftChars="-30" w:right="-63" w:rightChars="-30"/>
                    <w:jc w:val="center"/>
                    <w:rPr>
                      <w:rFonts w:ascii="Times New Roman" w:hAnsi="Times New Roman" w:eastAsia="宋体"/>
                      <w:b/>
                      <w:bCs/>
                      <w:color w:val="auto"/>
                      <w:sz w:val="18"/>
                      <w:szCs w:val="18"/>
                    </w:rPr>
                  </w:pPr>
                </w:p>
              </w:tc>
              <w:tc>
                <w:tcPr>
                  <w:tcW w:w="306" w:type="pct"/>
                  <w:vMerge w:val="continue"/>
                  <w:tcBorders>
                    <w:tl2br w:val="nil"/>
                    <w:tr2bl w:val="nil"/>
                  </w:tcBorders>
                  <w:noWrap w:val="0"/>
                  <w:vAlign w:val="center"/>
                </w:tcPr>
                <w:p w14:paraId="6F2A863B">
                  <w:pPr>
                    <w:spacing w:before="60"/>
                    <w:ind w:left="-63" w:leftChars="-30" w:right="-63" w:rightChars="-30"/>
                    <w:jc w:val="center"/>
                    <w:rPr>
                      <w:rFonts w:ascii="Times New Roman" w:hAnsi="Times New Roman" w:eastAsia="宋体"/>
                      <w:b/>
                      <w:bCs/>
                      <w:color w:val="auto"/>
                      <w:sz w:val="18"/>
                      <w:szCs w:val="18"/>
                    </w:rPr>
                  </w:pPr>
                </w:p>
              </w:tc>
              <w:tc>
                <w:tcPr>
                  <w:tcW w:w="350" w:type="pct"/>
                  <w:tcBorders>
                    <w:tl2br w:val="nil"/>
                    <w:tr2bl w:val="nil"/>
                  </w:tcBorders>
                  <w:noWrap w:val="0"/>
                  <w:vAlign w:val="center"/>
                </w:tcPr>
                <w:p w14:paraId="72802058">
                  <w:pPr>
                    <w:spacing w:before="60"/>
                    <w:ind w:left="-63" w:leftChars="-30" w:right="-63" w:rightChars="-30"/>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rPr>
                    <w:t>声压级dB(A)</w:t>
                  </w:r>
                </w:p>
              </w:tc>
              <w:tc>
                <w:tcPr>
                  <w:tcW w:w="265" w:type="pct"/>
                  <w:tcBorders>
                    <w:tl2br w:val="nil"/>
                    <w:tr2bl w:val="nil"/>
                  </w:tcBorders>
                  <w:noWrap w:val="0"/>
                  <w:vAlign w:val="center"/>
                </w:tcPr>
                <w:p w14:paraId="15A7946D">
                  <w:pPr>
                    <w:spacing w:before="60"/>
                    <w:ind w:left="-63" w:leftChars="-30" w:right="-63" w:rightChars="-30"/>
                    <w:jc w:val="center"/>
                    <w:rPr>
                      <w:rFonts w:ascii="Times New Roman" w:hAnsi="Times New Roman" w:eastAsia="宋体"/>
                      <w:b/>
                      <w:bCs/>
                      <w:color w:val="auto"/>
                      <w:sz w:val="18"/>
                      <w:szCs w:val="18"/>
                    </w:rPr>
                  </w:pPr>
                  <w:r>
                    <w:rPr>
                      <w:rFonts w:hint="eastAsia" w:ascii="Times New Roman" w:hAnsi="Times New Roman" w:eastAsia="宋体"/>
                      <w:b/>
                      <w:bCs/>
                      <w:color w:val="auto"/>
                      <w:sz w:val="18"/>
                      <w:szCs w:val="18"/>
                    </w:rPr>
                    <w:t>建筑物外距离m</w:t>
                  </w:r>
                </w:p>
              </w:tc>
            </w:tr>
            <w:tr w14:paraId="7B3DF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46" w:type="pct"/>
                  <w:vMerge w:val="restart"/>
                  <w:tcBorders>
                    <w:tl2br w:val="nil"/>
                    <w:tr2bl w:val="nil"/>
                  </w:tcBorders>
                  <w:noWrap/>
                  <w:vAlign w:val="center"/>
                </w:tcPr>
                <w:p w14:paraId="3649C727">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预处理车间</w:t>
                  </w:r>
                </w:p>
              </w:tc>
              <w:tc>
                <w:tcPr>
                  <w:tcW w:w="280" w:type="pct"/>
                  <w:tcBorders>
                    <w:tl2br w:val="nil"/>
                    <w:tr2bl w:val="nil"/>
                  </w:tcBorders>
                  <w:noWrap w:val="0"/>
                  <w:vAlign w:val="center"/>
                </w:tcPr>
                <w:p w14:paraId="06BB4ADA">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405AB954">
                  <w:pPr>
                    <w:widowControl/>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抽接油机</w:t>
                  </w:r>
                </w:p>
              </w:tc>
              <w:tc>
                <w:tcPr>
                  <w:tcW w:w="359" w:type="pct"/>
                  <w:tcBorders>
                    <w:tl2br w:val="nil"/>
                    <w:tr2bl w:val="nil"/>
                  </w:tcBorders>
                  <w:noWrap w:val="0"/>
                  <w:vAlign w:val="center"/>
                </w:tcPr>
                <w:p w14:paraId="6BF2C27E">
                  <w:pPr>
                    <w:widowControl/>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477" w:type="pct"/>
                  <w:tcBorders>
                    <w:tl2br w:val="nil"/>
                    <w:tr2bl w:val="nil"/>
                  </w:tcBorders>
                  <w:noWrap w:val="0"/>
                  <w:vAlign w:val="center"/>
                </w:tcPr>
                <w:p w14:paraId="63D7A35F">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80</w:t>
                  </w:r>
                </w:p>
              </w:tc>
              <w:tc>
                <w:tcPr>
                  <w:tcW w:w="241" w:type="pct"/>
                  <w:vMerge w:val="restart"/>
                  <w:tcBorders>
                    <w:tl2br w:val="nil"/>
                    <w:tr2bl w:val="nil"/>
                  </w:tcBorders>
                  <w:noWrap w:val="0"/>
                  <w:vAlign w:val="center"/>
                </w:tcPr>
                <w:p w14:paraId="76CB7B51">
                  <w:pPr>
                    <w:spacing w:before="60"/>
                    <w:ind w:left="-63" w:leftChars="-30" w:right="-63" w:rightChars="-30"/>
                    <w:jc w:val="center"/>
                    <w:rPr>
                      <w:rFonts w:ascii="Times New Roman" w:hAnsi="Times New Roman" w:eastAsia="宋体"/>
                      <w:color w:val="auto"/>
                      <w:sz w:val="18"/>
                      <w:szCs w:val="18"/>
                    </w:rPr>
                  </w:pPr>
                  <w:r>
                    <w:rPr>
                      <w:rFonts w:hint="eastAsia" w:ascii="Times New Roman" w:hAnsi="Times New Roman" w:eastAsia="宋体"/>
                      <w:color w:val="auto"/>
                      <w:sz w:val="18"/>
                      <w:szCs w:val="18"/>
                      <w:lang w:eastAsia="zh-CN"/>
                    </w:rPr>
                    <w:t>车间</w:t>
                  </w:r>
                  <w:r>
                    <w:rPr>
                      <w:rFonts w:ascii="Times New Roman" w:hAnsi="Times New Roman" w:eastAsia="宋体"/>
                      <w:color w:val="auto"/>
                      <w:sz w:val="18"/>
                      <w:szCs w:val="18"/>
                    </w:rPr>
                    <w:t>隔声，设备隔声减振</w:t>
                  </w:r>
                </w:p>
              </w:tc>
              <w:tc>
                <w:tcPr>
                  <w:tcW w:w="323" w:type="pct"/>
                  <w:tcBorders>
                    <w:tl2br w:val="nil"/>
                    <w:tr2bl w:val="nil"/>
                  </w:tcBorders>
                  <w:noWrap w:val="0"/>
                  <w:vAlign w:val="center"/>
                </w:tcPr>
                <w:p w14:paraId="235E0A9C">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80</w:t>
                  </w:r>
                </w:p>
              </w:tc>
              <w:tc>
                <w:tcPr>
                  <w:tcW w:w="303" w:type="pct"/>
                  <w:tcBorders>
                    <w:tl2br w:val="nil"/>
                    <w:tr2bl w:val="nil"/>
                  </w:tcBorders>
                  <w:noWrap w:val="0"/>
                  <w:vAlign w:val="center"/>
                </w:tcPr>
                <w:p w14:paraId="4F0CE914">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-4</w:t>
                  </w:r>
                </w:p>
              </w:tc>
              <w:tc>
                <w:tcPr>
                  <w:tcW w:w="197" w:type="pct"/>
                  <w:tcBorders>
                    <w:tl2br w:val="nil"/>
                    <w:tr2bl w:val="nil"/>
                  </w:tcBorders>
                  <w:noWrap w:val="0"/>
                  <w:vAlign w:val="center"/>
                </w:tcPr>
                <w:p w14:paraId="399B0C2C">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37397215">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w:t>
                  </w:r>
                </w:p>
              </w:tc>
              <w:tc>
                <w:tcPr>
                  <w:tcW w:w="298" w:type="pct"/>
                  <w:tcBorders>
                    <w:tl2br w:val="nil"/>
                    <w:tr2bl w:val="nil"/>
                  </w:tcBorders>
                  <w:noWrap w:val="0"/>
                  <w:vAlign w:val="center"/>
                </w:tcPr>
                <w:p w14:paraId="458EF1A3">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66.0</w:t>
                  </w:r>
                </w:p>
              </w:tc>
              <w:tc>
                <w:tcPr>
                  <w:tcW w:w="305" w:type="pct"/>
                  <w:vMerge w:val="restart"/>
                  <w:tcBorders>
                    <w:tl2br w:val="nil"/>
                    <w:tr2bl w:val="nil"/>
                  </w:tcBorders>
                  <w:noWrap w:val="0"/>
                  <w:vAlign w:val="center"/>
                </w:tcPr>
                <w:p w14:paraId="3BB21622">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3600</w:t>
                  </w:r>
                </w:p>
              </w:tc>
              <w:tc>
                <w:tcPr>
                  <w:tcW w:w="306" w:type="pct"/>
                  <w:tcBorders>
                    <w:tl2br w:val="nil"/>
                    <w:tr2bl w:val="nil"/>
                  </w:tcBorders>
                  <w:noWrap w:val="0"/>
                  <w:vAlign w:val="center"/>
                </w:tcPr>
                <w:p w14:paraId="18642F0A">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06CC845B">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56.0</w:t>
                  </w:r>
                </w:p>
              </w:tc>
              <w:tc>
                <w:tcPr>
                  <w:tcW w:w="265" w:type="pct"/>
                  <w:tcBorders>
                    <w:tl2br w:val="nil"/>
                    <w:tr2bl w:val="nil"/>
                  </w:tcBorders>
                  <w:noWrap w:val="0"/>
                  <w:vAlign w:val="center"/>
                </w:tcPr>
                <w:p w14:paraId="56A39777">
                  <w:pPr>
                    <w:spacing w:before="60"/>
                    <w:ind w:left="-63" w:leftChars="-30" w:right="-63" w:rightChars="-3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1</w:t>
                  </w:r>
                </w:p>
              </w:tc>
            </w:tr>
            <w:tr w14:paraId="1F519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46" w:type="pct"/>
                  <w:vMerge w:val="continue"/>
                  <w:tcBorders>
                    <w:tl2br w:val="nil"/>
                    <w:tr2bl w:val="nil"/>
                  </w:tcBorders>
                  <w:noWrap/>
                  <w:vAlign w:val="center"/>
                </w:tcPr>
                <w:p w14:paraId="7CCD7BBD">
                  <w:pPr>
                    <w:spacing w:before="60"/>
                    <w:ind w:left="-63" w:leftChars="-30" w:right="-63" w:rightChars="-30"/>
                    <w:jc w:val="center"/>
                    <w:rPr>
                      <w:rFonts w:hint="eastAsia" w:ascii="Times New Roman" w:hAnsi="Times New Roman" w:eastAsia="宋体"/>
                      <w:color w:val="auto"/>
                      <w:sz w:val="18"/>
                      <w:szCs w:val="18"/>
                      <w:lang w:eastAsia="zh-CN"/>
                    </w:rPr>
                  </w:pPr>
                </w:p>
              </w:tc>
              <w:tc>
                <w:tcPr>
                  <w:tcW w:w="280" w:type="pct"/>
                  <w:tcBorders>
                    <w:tl2br w:val="nil"/>
                    <w:tr2bl w:val="nil"/>
                  </w:tcBorders>
                  <w:noWrap w:val="0"/>
                  <w:vAlign w:val="center"/>
                </w:tcPr>
                <w:p w14:paraId="473C47B5">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450AEE41">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制冷剂回收机</w:t>
                  </w:r>
                </w:p>
              </w:tc>
              <w:tc>
                <w:tcPr>
                  <w:tcW w:w="359" w:type="pct"/>
                  <w:tcBorders>
                    <w:tl2br w:val="nil"/>
                    <w:tr2bl w:val="nil"/>
                  </w:tcBorders>
                  <w:noWrap w:val="0"/>
                  <w:vAlign w:val="center"/>
                </w:tcPr>
                <w:p w14:paraId="5B19743C">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1</w:t>
                  </w:r>
                </w:p>
              </w:tc>
              <w:tc>
                <w:tcPr>
                  <w:tcW w:w="477" w:type="pct"/>
                  <w:tcBorders>
                    <w:tl2br w:val="nil"/>
                    <w:tr2bl w:val="nil"/>
                  </w:tcBorders>
                  <w:noWrap w:val="0"/>
                  <w:vAlign w:val="center"/>
                </w:tcPr>
                <w:p w14:paraId="6E9C55DE">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75</w:t>
                  </w:r>
                </w:p>
              </w:tc>
              <w:tc>
                <w:tcPr>
                  <w:tcW w:w="241" w:type="pct"/>
                  <w:vMerge w:val="continue"/>
                  <w:tcBorders>
                    <w:tl2br w:val="nil"/>
                    <w:tr2bl w:val="nil"/>
                  </w:tcBorders>
                  <w:noWrap w:val="0"/>
                  <w:vAlign w:val="center"/>
                </w:tcPr>
                <w:p w14:paraId="07B406F2">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6F3DD69D">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75</w:t>
                  </w:r>
                </w:p>
              </w:tc>
              <w:tc>
                <w:tcPr>
                  <w:tcW w:w="303" w:type="pct"/>
                  <w:tcBorders>
                    <w:tl2br w:val="nil"/>
                    <w:tr2bl w:val="nil"/>
                  </w:tcBorders>
                  <w:noWrap w:val="0"/>
                  <w:vAlign w:val="center"/>
                </w:tcPr>
                <w:p w14:paraId="1DDDFAC1">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-3</w:t>
                  </w:r>
                </w:p>
              </w:tc>
              <w:tc>
                <w:tcPr>
                  <w:tcW w:w="197" w:type="pct"/>
                  <w:tcBorders>
                    <w:tl2br w:val="nil"/>
                    <w:tr2bl w:val="nil"/>
                  </w:tcBorders>
                  <w:noWrap w:val="0"/>
                  <w:vAlign w:val="center"/>
                </w:tcPr>
                <w:p w14:paraId="404E6577">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70F1B66F">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w:t>
                  </w:r>
                </w:p>
              </w:tc>
              <w:tc>
                <w:tcPr>
                  <w:tcW w:w="298" w:type="pct"/>
                  <w:tcBorders>
                    <w:tl2br w:val="nil"/>
                    <w:tr2bl w:val="nil"/>
                  </w:tcBorders>
                  <w:noWrap w:val="0"/>
                  <w:vAlign w:val="center"/>
                </w:tcPr>
                <w:p w14:paraId="3D4587DC">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59.4</w:t>
                  </w:r>
                </w:p>
              </w:tc>
              <w:tc>
                <w:tcPr>
                  <w:tcW w:w="305" w:type="pct"/>
                  <w:vMerge w:val="continue"/>
                  <w:tcBorders>
                    <w:tl2br w:val="nil"/>
                    <w:tr2bl w:val="nil"/>
                  </w:tcBorders>
                  <w:noWrap w:val="0"/>
                  <w:vAlign w:val="center"/>
                </w:tcPr>
                <w:p w14:paraId="0D4A1070">
                  <w:pPr>
                    <w:spacing w:before="60"/>
                    <w:ind w:left="-63" w:leftChars="-30" w:right="-63" w:rightChars="-30"/>
                    <w:jc w:val="center"/>
                    <w:rPr>
                      <w:rFonts w:hint="eastAsia"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39F0D369">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09D48650">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49.4</w:t>
                  </w:r>
                </w:p>
              </w:tc>
              <w:tc>
                <w:tcPr>
                  <w:tcW w:w="265" w:type="pct"/>
                  <w:tcBorders>
                    <w:tl2br w:val="nil"/>
                    <w:tr2bl w:val="nil"/>
                  </w:tcBorders>
                  <w:noWrap w:val="0"/>
                  <w:vAlign w:val="center"/>
                </w:tcPr>
                <w:p w14:paraId="3E074AE1">
                  <w:pPr>
                    <w:spacing w:before="60"/>
                    <w:ind w:left="-63" w:leftChars="-30" w:right="-63" w:rightChars="-3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1</w:t>
                  </w:r>
                </w:p>
              </w:tc>
            </w:tr>
            <w:tr w14:paraId="44C04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46" w:type="pct"/>
                  <w:vMerge w:val="continue"/>
                  <w:tcBorders>
                    <w:tl2br w:val="nil"/>
                    <w:tr2bl w:val="nil"/>
                  </w:tcBorders>
                  <w:noWrap/>
                  <w:vAlign w:val="center"/>
                </w:tcPr>
                <w:p w14:paraId="3A4DEF31">
                  <w:pPr>
                    <w:spacing w:before="60"/>
                    <w:ind w:left="-63" w:leftChars="-30" w:right="-63" w:rightChars="-30"/>
                    <w:jc w:val="center"/>
                    <w:rPr>
                      <w:rFonts w:hint="eastAsia" w:ascii="Times New Roman" w:hAnsi="Times New Roman" w:eastAsia="宋体"/>
                      <w:color w:val="auto"/>
                      <w:sz w:val="18"/>
                      <w:szCs w:val="18"/>
                      <w:lang w:eastAsia="zh-CN"/>
                    </w:rPr>
                  </w:pPr>
                </w:p>
              </w:tc>
              <w:tc>
                <w:tcPr>
                  <w:tcW w:w="280" w:type="pct"/>
                  <w:tcBorders>
                    <w:tl2br w:val="nil"/>
                    <w:tr2bl w:val="nil"/>
                  </w:tcBorders>
                  <w:noWrap w:val="0"/>
                  <w:vAlign w:val="center"/>
                </w:tcPr>
                <w:p w14:paraId="1B5A2F9E">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5EB9178B">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安全气囊引爆装置</w:t>
                  </w:r>
                </w:p>
              </w:tc>
              <w:tc>
                <w:tcPr>
                  <w:tcW w:w="359" w:type="pct"/>
                  <w:tcBorders>
                    <w:tl2br w:val="nil"/>
                    <w:tr2bl w:val="nil"/>
                  </w:tcBorders>
                  <w:noWrap w:val="0"/>
                  <w:vAlign w:val="center"/>
                </w:tcPr>
                <w:p w14:paraId="753BE86D">
                  <w:pPr>
                    <w:jc w:val="center"/>
                    <w:rPr>
                      <w:rFonts w:hint="default"/>
                      <w:color w:val="auto"/>
                      <w:sz w:val="18"/>
                      <w:szCs w:val="18"/>
                      <w:lang w:val="en-US" w:eastAsia="zh-CN"/>
                    </w:rPr>
                  </w:pPr>
                  <w:r>
                    <w:rPr>
                      <w:rFonts w:hint="eastAsia"/>
                      <w:color w:val="auto"/>
                      <w:sz w:val="18"/>
                      <w:szCs w:val="18"/>
                      <w:lang w:val="en-US" w:eastAsia="zh-CN"/>
                    </w:rPr>
                    <w:t>1</w:t>
                  </w:r>
                </w:p>
              </w:tc>
              <w:tc>
                <w:tcPr>
                  <w:tcW w:w="477" w:type="pct"/>
                  <w:tcBorders>
                    <w:tl2br w:val="nil"/>
                    <w:tr2bl w:val="nil"/>
                  </w:tcBorders>
                  <w:noWrap w:val="0"/>
                  <w:vAlign w:val="center"/>
                </w:tcPr>
                <w:p w14:paraId="69BF070A">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85</w:t>
                  </w:r>
                </w:p>
              </w:tc>
              <w:tc>
                <w:tcPr>
                  <w:tcW w:w="241" w:type="pct"/>
                  <w:vMerge w:val="continue"/>
                  <w:tcBorders>
                    <w:tl2br w:val="nil"/>
                    <w:tr2bl w:val="nil"/>
                  </w:tcBorders>
                  <w:noWrap w:val="0"/>
                  <w:vAlign w:val="center"/>
                </w:tcPr>
                <w:p w14:paraId="0CD5F781">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1306E324">
                  <w:pPr>
                    <w:jc w:val="center"/>
                    <w:rPr>
                      <w:rFonts w:hint="default"/>
                      <w:color w:val="auto"/>
                      <w:sz w:val="18"/>
                      <w:szCs w:val="18"/>
                      <w:lang w:val="en-US" w:eastAsia="zh-CN"/>
                    </w:rPr>
                  </w:pPr>
                  <w:r>
                    <w:rPr>
                      <w:rFonts w:hint="eastAsia"/>
                      <w:color w:val="auto"/>
                      <w:sz w:val="18"/>
                      <w:szCs w:val="18"/>
                      <w:lang w:val="en-US" w:eastAsia="zh-CN"/>
                    </w:rPr>
                    <w:t>70</w:t>
                  </w:r>
                </w:p>
              </w:tc>
              <w:tc>
                <w:tcPr>
                  <w:tcW w:w="303" w:type="pct"/>
                  <w:tcBorders>
                    <w:tl2br w:val="nil"/>
                    <w:tr2bl w:val="nil"/>
                  </w:tcBorders>
                  <w:noWrap w:val="0"/>
                  <w:vAlign w:val="center"/>
                </w:tcPr>
                <w:p w14:paraId="2325827C">
                  <w:pPr>
                    <w:jc w:val="center"/>
                    <w:rPr>
                      <w:rFonts w:hint="default"/>
                      <w:color w:val="auto"/>
                      <w:sz w:val="18"/>
                      <w:szCs w:val="18"/>
                      <w:lang w:val="en-US" w:eastAsia="zh-CN"/>
                    </w:rPr>
                  </w:pPr>
                  <w:r>
                    <w:rPr>
                      <w:rFonts w:hint="eastAsia"/>
                      <w:color w:val="auto"/>
                      <w:sz w:val="18"/>
                      <w:szCs w:val="18"/>
                      <w:lang w:val="en-US" w:eastAsia="zh-CN"/>
                    </w:rPr>
                    <w:t>3</w:t>
                  </w:r>
                </w:p>
              </w:tc>
              <w:tc>
                <w:tcPr>
                  <w:tcW w:w="197" w:type="pct"/>
                  <w:tcBorders>
                    <w:tl2br w:val="nil"/>
                    <w:tr2bl w:val="nil"/>
                  </w:tcBorders>
                  <w:noWrap w:val="0"/>
                  <w:vAlign w:val="center"/>
                </w:tcPr>
                <w:p w14:paraId="4098D634">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387BF762">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w:t>
                  </w:r>
                </w:p>
              </w:tc>
              <w:tc>
                <w:tcPr>
                  <w:tcW w:w="298" w:type="pct"/>
                  <w:tcBorders>
                    <w:tl2br w:val="nil"/>
                    <w:tr2bl w:val="nil"/>
                  </w:tcBorders>
                  <w:noWrap w:val="0"/>
                  <w:vAlign w:val="center"/>
                </w:tcPr>
                <w:p w14:paraId="05589CC6">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66.9</w:t>
                  </w:r>
                </w:p>
              </w:tc>
              <w:tc>
                <w:tcPr>
                  <w:tcW w:w="305" w:type="pct"/>
                  <w:vMerge w:val="continue"/>
                  <w:tcBorders>
                    <w:tl2br w:val="nil"/>
                    <w:tr2bl w:val="nil"/>
                  </w:tcBorders>
                  <w:noWrap w:val="0"/>
                  <w:vAlign w:val="center"/>
                </w:tcPr>
                <w:p w14:paraId="334ED8F4">
                  <w:pPr>
                    <w:spacing w:before="60"/>
                    <w:ind w:left="-63" w:leftChars="-30" w:right="-63" w:rightChars="-30"/>
                    <w:jc w:val="center"/>
                    <w:rPr>
                      <w:rFonts w:hint="eastAsia"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6F549109">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3D14953E">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56.9</w:t>
                  </w:r>
                </w:p>
              </w:tc>
              <w:tc>
                <w:tcPr>
                  <w:tcW w:w="265" w:type="pct"/>
                  <w:tcBorders>
                    <w:tl2br w:val="nil"/>
                    <w:tr2bl w:val="nil"/>
                  </w:tcBorders>
                  <w:noWrap w:val="0"/>
                  <w:vAlign w:val="center"/>
                </w:tcPr>
                <w:p w14:paraId="5012BAF1">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r>
            <w:tr w14:paraId="52436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46" w:type="pct"/>
                  <w:vMerge w:val="continue"/>
                  <w:tcBorders>
                    <w:tl2br w:val="nil"/>
                    <w:tr2bl w:val="nil"/>
                  </w:tcBorders>
                  <w:noWrap/>
                  <w:vAlign w:val="center"/>
                </w:tcPr>
                <w:p w14:paraId="712713F7">
                  <w:pPr>
                    <w:spacing w:before="60"/>
                    <w:ind w:left="-63" w:leftChars="-30" w:right="-63" w:rightChars="-30"/>
                    <w:jc w:val="center"/>
                    <w:rPr>
                      <w:rFonts w:hint="eastAsia" w:ascii="Times New Roman" w:hAnsi="Times New Roman" w:eastAsia="宋体"/>
                      <w:color w:val="auto"/>
                      <w:sz w:val="18"/>
                      <w:szCs w:val="18"/>
                      <w:lang w:eastAsia="zh-CN"/>
                    </w:rPr>
                  </w:pPr>
                </w:p>
              </w:tc>
              <w:tc>
                <w:tcPr>
                  <w:tcW w:w="280" w:type="pct"/>
                  <w:tcBorders>
                    <w:tl2br w:val="nil"/>
                    <w:tr2bl w:val="nil"/>
                  </w:tcBorders>
                  <w:noWrap w:val="0"/>
                  <w:vAlign w:val="center"/>
                </w:tcPr>
                <w:p w14:paraId="2372BC31">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68E10E1D">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举升机</w:t>
                  </w:r>
                </w:p>
              </w:tc>
              <w:tc>
                <w:tcPr>
                  <w:tcW w:w="359" w:type="pct"/>
                  <w:tcBorders>
                    <w:tl2br w:val="nil"/>
                    <w:tr2bl w:val="nil"/>
                  </w:tcBorders>
                  <w:noWrap w:val="0"/>
                  <w:vAlign w:val="center"/>
                </w:tcPr>
                <w:p w14:paraId="370B4617">
                  <w:pPr>
                    <w:jc w:val="center"/>
                    <w:rPr>
                      <w:rFonts w:hint="default"/>
                      <w:color w:val="auto"/>
                      <w:sz w:val="18"/>
                      <w:szCs w:val="18"/>
                      <w:lang w:val="en-US" w:eastAsia="zh-CN"/>
                    </w:rPr>
                  </w:pPr>
                  <w:r>
                    <w:rPr>
                      <w:rFonts w:hint="eastAsia"/>
                      <w:color w:val="auto"/>
                      <w:sz w:val="18"/>
                      <w:szCs w:val="18"/>
                      <w:lang w:val="en-US" w:eastAsia="zh-CN"/>
                    </w:rPr>
                    <w:t>1</w:t>
                  </w:r>
                </w:p>
              </w:tc>
              <w:tc>
                <w:tcPr>
                  <w:tcW w:w="477" w:type="pct"/>
                  <w:tcBorders>
                    <w:tl2br w:val="nil"/>
                    <w:tr2bl w:val="nil"/>
                  </w:tcBorders>
                  <w:noWrap w:val="0"/>
                  <w:vAlign w:val="center"/>
                </w:tcPr>
                <w:p w14:paraId="23A27084">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75</w:t>
                  </w:r>
                </w:p>
              </w:tc>
              <w:tc>
                <w:tcPr>
                  <w:tcW w:w="241" w:type="pct"/>
                  <w:vMerge w:val="continue"/>
                  <w:tcBorders>
                    <w:tl2br w:val="nil"/>
                    <w:tr2bl w:val="nil"/>
                  </w:tcBorders>
                  <w:noWrap w:val="0"/>
                  <w:vAlign w:val="center"/>
                </w:tcPr>
                <w:p w14:paraId="5D7DEA4E">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2782FD6F">
                  <w:pPr>
                    <w:jc w:val="center"/>
                    <w:rPr>
                      <w:rFonts w:hint="default"/>
                      <w:color w:val="auto"/>
                      <w:sz w:val="18"/>
                      <w:szCs w:val="18"/>
                      <w:lang w:val="en-US" w:eastAsia="zh-CN"/>
                    </w:rPr>
                  </w:pPr>
                  <w:r>
                    <w:rPr>
                      <w:rFonts w:hint="eastAsia"/>
                      <w:color w:val="auto"/>
                      <w:sz w:val="18"/>
                      <w:szCs w:val="18"/>
                      <w:lang w:val="en-US" w:eastAsia="zh-CN"/>
                    </w:rPr>
                    <w:t>65</w:t>
                  </w:r>
                </w:p>
              </w:tc>
              <w:tc>
                <w:tcPr>
                  <w:tcW w:w="303" w:type="pct"/>
                  <w:tcBorders>
                    <w:tl2br w:val="nil"/>
                    <w:tr2bl w:val="nil"/>
                  </w:tcBorders>
                  <w:noWrap w:val="0"/>
                  <w:vAlign w:val="center"/>
                </w:tcPr>
                <w:p w14:paraId="2B010741">
                  <w:pPr>
                    <w:jc w:val="center"/>
                    <w:rPr>
                      <w:rFonts w:hint="default"/>
                      <w:color w:val="auto"/>
                      <w:sz w:val="18"/>
                      <w:szCs w:val="18"/>
                      <w:lang w:val="en-US" w:eastAsia="zh-CN"/>
                    </w:rPr>
                  </w:pPr>
                  <w:r>
                    <w:rPr>
                      <w:rFonts w:hint="eastAsia"/>
                      <w:color w:val="auto"/>
                      <w:sz w:val="18"/>
                      <w:szCs w:val="18"/>
                      <w:lang w:val="en-US" w:eastAsia="zh-CN"/>
                    </w:rPr>
                    <w:t>1</w:t>
                  </w:r>
                </w:p>
              </w:tc>
              <w:tc>
                <w:tcPr>
                  <w:tcW w:w="197" w:type="pct"/>
                  <w:tcBorders>
                    <w:tl2br w:val="nil"/>
                    <w:tr2bl w:val="nil"/>
                  </w:tcBorders>
                  <w:noWrap w:val="0"/>
                  <w:vAlign w:val="center"/>
                </w:tcPr>
                <w:p w14:paraId="21DEDA5C">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67B336B3">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298" w:type="pct"/>
                  <w:tcBorders>
                    <w:tl2br w:val="nil"/>
                    <w:tr2bl w:val="nil"/>
                  </w:tcBorders>
                  <w:noWrap w:val="0"/>
                  <w:vAlign w:val="center"/>
                </w:tcPr>
                <w:p w14:paraId="7C96DB0F">
                  <w:pPr>
                    <w:spacing w:before="60"/>
                    <w:ind w:left="-63" w:leftChars="-30" w:right="-63" w:rightChars="-30"/>
                    <w:jc w:val="center"/>
                    <w:rPr>
                      <w:rFonts w:hint="default"/>
                      <w:color w:val="auto"/>
                      <w:lang w:val="en-US" w:eastAsia="zh-CN"/>
                    </w:rPr>
                  </w:pPr>
                  <w:r>
                    <w:rPr>
                      <w:rFonts w:hint="eastAsia"/>
                      <w:color w:val="auto"/>
                      <w:sz w:val="18"/>
                      <w:szCs w:val="18"/>
                      <w:lang w:val="en-US" w:eastAsia="zh-CN"/>
                    </w:rPr>
                    <w:t>55.0</w:t>
                  </w:r>
                </w:p>
              </w:tc>
              <w:tc>
                <w:tcPr>
                  <w:tcW w:w="305" w:type="pct"/>
                  <w:vMerge w:val="continue"/>
                  <w:tcBorders>
                    <w:tl2br w:val="nil"/>
                    <w:tr2bl w:val="nil"/>
                  </w:tcBorders>
                  <w:noWrap w:val="0"/>
                  <w:vAlign w:val="center"/>
                </w:tcPr>
                <w:p w14:paraId="786D8239">
                  <w:pPr>
                    <w:spacing w:before="60"/>
                    <w:ind w:left="-63" w:leftChars="-30" w:right="-63" w:rightChars="-30"/>
                    <w:jc w:val="center"/>
                    <w:rPr>
                      <w:rFonts w:hint="eastAsia"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184624D4">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31EB57D0">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45.0</w:t>
                  </w:r>
                </w:p>
              </w:tc>
              <w:tc>
                <w:tcPr>
                  <w:tcW w:w="265" w:type="pct"/>
                  <w:tcBorders>
                    <w:tl2br w:val="nil"/>
                    <w:tr2bl w:val="nil"/>
                  </w:tcBorders>
                  <w:noWrap w:val="0"/>
                  <w:vAlign w:val="center"/>
                </w:tcPr>
                <w:p w14:paraId="29010154">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r>
            <w:tr w14:paraId="08564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446" w:type="pct"/>
                  <w:vMerge w:val="continue"/>
                  <w:tcBorders>
                    <w:tl2br w:val="nil"/>
                    <w:tr2bl w:val="nil"/>
                  </w:tcBorders>
                  <w:noWrap/>
                  <w:vAlign w:val="center"/>
                </w:tcPr>
                <w:p w14:paraId="35D9FE7A">
                  <w:pPr>
                    <w:spacing w:before="60"/>
                    <w:ind w:left="-63" w:leftChars="-30" w:right="-63" w:rightChars="-30"/>
                    <w:jc w:val="center"/>
                    <w:rPr>
                      <w:rFonts w:hint="eastAsia" w:ascii="Times New Roman" w:hAnsi="Times New Roman" w:eastAsia="宋体"/>
                      <w:color w:val="auto"/>
                      <w:sz w:val="18"/>
                      <w:szCs w:val="18"/>
                      <w:lang w:eastAsia="zh-CN"/>
                    </w:rPr>
                  </w:pPr>
                </w:p>
              </w:tc>
              <w:tc>
                <w:tcPr>
                  <w:tcW w:w="280" w:type="pct"/>
                  <w:tcBorders>
                    <w:tl2br w:val="nil"/>
                    <w:tr2bl w:val="nil"/>
                  </w:tcBorders>
                  <w:noWrap w:val="0"/>
                  <w:vAlign w:val="center"/>
                </w:tcPr>
                <w:p w14:paraId="1E1D9CBD">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0F1098F5">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空压机</w:t>
                  </w:r>
                </w:p>
              </w:tc>
              <w:tc>
                <w:tcPr>
                  <w:tcW w:w="359" w:type="pct"/>
                  <w:tcBorders>
                    <w:tl2br w:val="nil"/>
                    <w:tr2bl w:val="nil"/>
                  </w:tcBorders>
                  <w:noWrap w:val="0"/>
                  <w:vAlign w:val="center"/>
                </w:tcPr>
                <w:p w14:paraId="2ACED277">
                  <w:pPr>
                    <w:jc w:val="center"/>
                    <w:rPr>
                      <w:rFonts w:hint="default"/>
                      <w:color w:val="auto"/>
                      <w:sz w:val="18"/>
                      <w:szCs w:val="18"/>
                      <w:lang w:val="en-US" w:eastAsia="zh-CN"/>
                    </w:rPr>
                  </w:pPr>
                  <w:r>
                    <w:rPr>
                      <w:rFonts w:hint="eastAsia"/>
                      <w:color w:val="auto"/>
                      <w:sz w:val="18"/>
                      <w:szCs w:val="18"/>
                      <w:lang w:val="en-US" w:eastAsia="zh-CN"/>
                    </w:rPr>
                    <w:t>1</w:t>
                  </w:r>
                </w:p>
              </w:tc>
              <w:tc>
                <w:tcPr>
                  <w:tcW w:w="477" w:type="pct"/>
                  <w:tcBorders>
                    <w:tl2br w:val="nil"/>
                    <w:tr2bl w:val="nil"/>
                  </w:tcBorders>
                  <w:noWrap w:val="0"/>
                  <w:vAlign w:val="center"/>
                </w:tcPr>
                <w:p w14:paraId="45557F06">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85</w:t>
                  </w:r>
                </w:p>
              </w:tc>
              <w:tc>
                <w:tcPr>
                  <w:tcW w:w="241" w:type="pct"/>
                  <w:vMerge w:val="continue"/>
                  <w:tcBorders>
                    <w:tl2br w:val="nil"/>
                    <w:tr2bl w:val="nil"/>
                  </w:tcBorders>
                  <w:noWrap w:val="0"/>
                  <w:vAlign w:val="center"/>
                </w:tcPr>
                <w:p w14:paraId="708830E6">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7DEE02E8">
                  <w:pPr>
                    <w:jc w:val="center"/>
                    <w:rPr>
                      <w:rFonts w:hint="default"/>
                      <w:color w:val="auto"/>
                      <w:sz w:val="18"/>
                      <w:szCs w:val="18"/>
                      <w:lang w:val="en-US" w:eastAsia="zh-CN"/>
                    </w:rPr>
                  </w:pPr>
                  <w:r>
                    <w:rPr>
                      <w:rFonts w:hint="eastAsia"/>
                      <w:color w:val="auto"/>
                      <w:sz w:val="18"/>
                      <w:szCs w:val="18"/>
                      <w:lang w:val="en-US" w:eastAsia="zh-CN"/>
                    </w:rPr>
                    <w:t>70</w:t>
                  </w:r>
                </w:p>
              </w:tc>
              <w:tc>
                <w:tcPr>
                  <w:tcW w:w="303" w:type="pct"/>
                  <w:tcBorders>
                    <w:tl2br w:val="nil"/>
                    <w:tr2bl w:val="nil"/>
                  </w:tcBorders>
                  <w:noWrap w:val="0"/>
                  <w:vAlign w:val="center"/>
                </w:tcPr>
                <w:p w14:paraId="57FFABFF">
                  <w:pPr>
                    <w:jc w:val="center"/>
                    <w:rPr>
                      <w:rFonts w:hint="default"/>
                      <w:color w:val="auto"/>
                      <w:sz w:val="18"/>
                      <w:szCs w:val="18"/>
                      <w:lang w:val="en-US" w:eastAsia="zh-CN"/>
                    </w:rPr>
                  </w:pPr>
                  <w:r>
                    <w:rPr>
                      <w:rFonts w:hint="eastAsia"/>
                      <w:color w:val="auto"/>
                      <w:sz w:val="18"/>
                      <w:szCs w:val="18"/>
                      <w:lang w:val="en-US" w:eastAsia="zh-CN"/>
                    </w:rPr>
                    <w:t>1</w:t>
                  </w:r>
                </w:p>
              </w:tc>
              <w:tc>
                <w:tcPr>
                  <w:tcW w:w="197" w:type="pct"/>
                  <w:tcBorders>
                    <w:tl2br w:val="nil"/>
                    <w:tr2bl w:val="nil"/>
                  </w:tcBorders>
                  <w:noWrap w:val="0"/>
                  <w:vAlign w:val="center"/>
                </w:tcPr>
                <w:p w14:paraId="58CC26EF">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0501AC2B">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298" w:type="pct"/>
                  <w:tcBorders>
                    <w:tl2br w:val="nil"/>
                    <w:tr2bl w:val="nil"/>
                  </w:tcBorders>
                  <w:noWrap w:val="0"/>
                  <w:vAlign w:val="center"/>
                </w:tcPr>
                <w:p w14:paraId="45AC56A8">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65.0</w:t>
                  </w:r>
                </w:p>
              </w:tc>
              <w:tc>
                <w:tcPr>
                  <w:tcW w:w="305" w:type="pct"/>
                  <w:vMerge w:val="continue"/>
                  <w:tcBorders>
                    <w:tl2br w:val="nil"/>
                    <w:tr2bl w:val="nil"/>
                  </w:tcBorders>
                  <w:noWrap w:val="0"/>
                  <w:vAlign w:val="center"/>
                </w:tcPr>
                <w:p w14:paraId="511027D7">
                  <w:pPr>
                    <w:spacing w:before="60"/>
                    <w:ind w:left="-63" w:leftChars="-30" w:right="-63" w:rightChars="-30"/>
                    <w:jc w:val="center"/>
                    <w:rPr>
                      <w:rFonts w:hint="eastAsia"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37A4F7C6">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744F9B06">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55.0</w:t>
                  </w:r>
                </w:p>
              </w:tc>
              <w:tc>
                <w:tcPr>
                  <w:tcW w:w="265" w:type="pct"/>
                  <w:tcBorders>
                    <w:tl2br w:val="nil"/>
                    <w:tr2bl w:val="nil"/>
                  </w:tcBorders>
                  <w:noWrap w:val="0"/>
                  <w:vAlign w:val="center"/>
                </w:tcPr>
                <w:p w14:paraId="6B1036D7">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r>
            <w:tr w14:paraId="751B4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46" w:type="pct"/>
                  <w:tcBorders>
                    <w:tl2br w:val="nil"/>
                    <w:tr2bl w:val="nil"/>
                  </w:tcBorders>
                  <w:noWrap/>
                  <w:vAlign w:val="center"/>
                </w:tcPr>
                <w:p w14:paraId="26CDB53D">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动力蓄电池拆卸车间</w:t>
                  </w:r>
                </w:p>
              </w:tc>
              <w:tc>
                <w:tcPr>
                  <w:tcW w:w="280" w:type="pct"/>
                  <w:tcBorders>
                    <w:tl2br w:val="nil"/>
                    <w:tr2bl w:val="nil"/>
                  </w:tcBorders>
                  <w:noWrap w:val="0"/>
                  <w:vAlign w:val="center"/>
                </w:tcPr>
                <w:p w14:paraId="0AE27BD7">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7492A8FC">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升降工装</w:t>
                  </w:r>
                </w:p>
              </w:tc>
              <w:tc>
                <w:tcPr>
                  <w:tcW w:w="359" w:type="pct"/>
                  <w:tcBorders>
                    <w:tl2br w:val="nil"/>
                    <w:tr2bl w:val="nil"/>
                  </w:tcBorders>
                  <w:noWrap w:val="0"/>
                  <w:vAlign w:val="center"/>
                </w:tcPr>
                <w:p w14:paraId="7E997230">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c>
                <w:tcPr>
                  <w:tcW w:w="477" w:type="pct"/>
                  <w:tcBorders>
                    <w:tl2br w:val="nil"/>
                    <w:tr2bl w:val="nil"/>
                  </w:tcBorders>
                  <w:noWrap w:val="0"/>
                  <w:vAlign w:val="center"/>
                </w:tcPr>
                <w:p w14:paraId="4AB4F23F">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75</w:t>
                  </w:r>
                </w:p>
              </w:tc>
              <w:tc>
                <w:tcPr>
                  <w:tcW w:w="241" w:type="pct"/>
                  <w:vMerge w:val="continue"/>
                  <w:tcBorders>
                    <w:tl2br w:val="nil"/>
                    <w:tr2bl w:val="nil"/>
                  </w:tcBorders>
                  <w:noWrap w:val="0"/>
                  <w:vAlign w:val="center"/>
                </w:tcPr>
                <w:p w14:paraId="386151D0">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11C9065F">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90</w:t>
                  </w:r>
                </w:p>
              </w:tc>
              <w:tc>
                <w:tcPr>
                  <w:tcW w:w="303" w:type="pct"/>
                  <w:tcBorders>
                    <w:tl2br w:val="nil"/>
                    <w:tr2bl w:val="nil"/>
                  </w:tcBorders>
                  <w:noWrap w:val="0"/>
                  <w:vAlign w:val="center"/>
                </w:tcPr>
                <w:p w14:paraId="6A3ABCAE">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3</w:t>
                  </w:r>
                </w:p>
              </w:tc>
              <w:tc>
                <w:tcPr>
                  <w:tcW w:w="197" w:type="pct"/>
                  <w:tcBorders>
                    <w:tl2br w:val="nil"/>
                    <w:tr2bl w:val="nil"/>
                  </w:tcBorders>
                  <w:noWrap w:val="0"/>
                  <w:vAlign w:val="center"/>
                </w:tcPr>
                <w:p w14:paraId="7A8BA978">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27C1B176">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4</w:t>
                  </w:r>
                </w:p>
              </w:tc>
              <w:tc>
                <w:tcPr>
                  <w:tcW w:w="298" w:type="pct"/>
                  <w:tcBorders>
                    <w:tl2br w:val="nil"/>
                    <w:tr2bl w:val="nil"/>
                  </w:tcBorders>
                  <w:noWrap w:val="0"/>
                  <w:vAlign w:val="center"/>
                </w:tcPr>
                <w:p w14:paraId="2D4212B2">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62.9</w:t>
                  </w:r>
                </w:p>
              </w:tc>
              <w:tc>
                <w:tcPr>
                  <w:tcW w:w="305" w:type="pct"/>
                  <w:vMerge w:val="continue"/>
                  <w:tcBorders>
                    <w:tl2br w:val="nil"/>
                    <w:tr2bl w:val="nil"/>
                  </w:tcBorders>
                  <w:noWrap w:val="0"/>
                  <w:vAlign w:val="center"/>
                </w:tcPr>
                <w:p w14:paraId="1D14BA93">
                  <w:pPr>
                    <w:spacing w:before="60"/>
                    <w:ind w:left="-63" w:leftChars="-30" w:right="-63" w:rightChars="-30"/>
                    <w:jc w:val="center"/>
                    <w:rPr>
                      <w:rFonts w:hint="eastAsia"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0E7FC453">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10</w:t>
                  </w:r>
                </w:p>
              </w:tc>
              <w:tc>
                <w:tcPr>
                  <w:tcW w:w="350" w:type="pct"/>
                  <w:tcBorders>
                    <w:tl2br w:val="nil"/>
                    <w:tr2bl w:val="nil"/>
                  </w:tcBorders>
                  <w:noWrap w:val="0"/>
                  <w:vAlign w:val="center"/>
                </w:tcPr>
                <w:p w14:paraId="2D6F70FB">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52.9</w:t>
                  </w:r>
                </w:p>
              </w:tc>
              <w:tc>
                <w:tcPr>
                  <w:tcW w:w="265" w:type="pct"/>
                  <w:tcBorders>
                    <w:tl2br w:val="nil"/>
                    <w:tr2bl w:val="nil"/>
                  </w:tcBorders>
                  <w:noWrap w:val="0"/>
                  <w:vAlign w:val="center"/>
                </w:tcPr>
                <w:p w14:paraId="50DE3C9B">
                  <w:pPr>
                    <w:spacing w:before="60"/>
                    <w:ind w:left="-63" w:leftChars="-30" w:right="-63" w:rightChars="-3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1</w:t>
                  </w:r>
                </w:p>
              </w:tc>
            </w:tr>
            <w:tr w14:paraId="71324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446" w:type="pct"/>
                  <w:vMerge w:val="restart"/>
                  <w:tcBorders>
                    <w:tl2br w:val="nil"/>
                    <w:tr2bl w:val="nil"/>
                  </w:tcBorders>
                  <w:noWrap/>
                  <w:vAlign w:val="center"/>
                </w:tcPr>
                <w:p w14:paraId="5F1404CD">
                  <w:pPr>
                    <w:spacing w:before="60"/>
                    <w:ind w:left="-63" w:leftChars="-30" w:right="-63" w:rightChars="-30"/>
                    <w:jc w:val="center"/>
                    <w:rPr>
                      <w:rFonts w:hint="default" w:ascii="Times New Roman" w:hAnsi="Times New Roman" w:eastAsia="宋体"/>
                      <w:color w:val="auto"/>
                      <w:kern w:val="2"/>
                      <w:sz w:val="18"/>
                      <w:szCs w:val="18"/>
                      <w:lang w:val="en-US" w:eastAsia="zh-CN" w:bidi="ar-SA"/>
                    </w:rPr>
                  </w:pPr>
                  <w:r>
                    <w:rPr>
                      <w:rFonts w:hint="eastAsia" w:ascii="Times New Roman" w:hAnsi="Times New Roman" w:eastAsia="宋体"/>
                      <w:color w:val="auto"/>
                      <w:kern w:val="2"/>
                      <w:sz w:val="18"/>
                      <w:szCs w:val="18"/>
                      <w:lang w:val="en-US" w:eastAsia="zh-CN" w:bidi="ar-SA"/>
                    </w:rPr>
                    <w:t>大小车拆解车间</w:t>
                  </w:r>
                </w:p>
              </w:tc>
              <w:tc>
                <w:tcPr>
                  <w:tcW w:w="280" w:type="pct"/>
                  <w:tcBorders>
                    <w:tl2br w:val="nil"/>
                    <w:tr2bl w:val="nil"/>
                  </w:tcBorders>
                  <w:noWrap w:val="0"/>
                  <w:vAlign w:val="center"/>
                </w:tcPr>
                <w:p w14:paraId="4EF52FDC">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1C2BEFE9">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等离子切割机</w:t>
                  </w:r>
                </w:p>
              </w:tc>
              <w:tc>
                <w:tcPr>
                  <w:tcW w:w="359" w:type="pct"/>
                  <w:tcBorders>
                    <w:tl2br w:val="nil"/>
                    <w:tr2bl w:val="nil"/>
                  </w:tcBorders>
                  <w:noWrap w:val="0"/>
                  <w:vAlign w:val="center"/>
                </w:tcPr>
                <w:p w14:paraId="56C77190">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c>
                <w:tcPr>
                  <w:tcW w:w="477" w:type="pct"/>
                  <w:tcBorders>
                    <w:tl2br w:val="nil"/>
                    <w:tr2bl w:val="nil"/>
                  </w:tcBorders>
                  <w:noWrap w:val="0"/>
                  <w:vAlign w:val="center"/>
                </w:tcPr>
                <w:p w14:paraId="03A1FCCF">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85</w:t>
                  </w:r>
                </w:p>
              </w:tc>
              <w:tc>
                <w:tcPr>
                  <w:tcW w:w="241" w:type="pct"/>
                  <w:vMerge w:val="continue"/>
                  <w:tcBorders>
                    <w:tl2br w:val="nil"/>
                    <w:tr2bl w:val="nil"/>
                  </w:tcBorders>
                  <w:noWrap w:val="0"/>
                  <w:vAlign w:val="center"/>
                </w:tcPr>
                <w:p w14:paraId="6FADA98A">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1812D5A8">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83</w:t>
                  </w:r>
                </w:p>
              </w:tc>
              <w:tc>
                <w:tcPr>
                  <w:tcW w:w="303" w:type="pct"/>
                  <w:tcBorders>
                    <w:tl2br w:val="nil"/>
                    <w:tr2bl w:val="nil"/>
                  </w:tcBorders>
                  <w:noWrap w:val="0"/>
                  <w:vAlign w:val="center"/>
                </w:tcPr>
                <w:p w14:paraId="613D3E42">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63</w:t>
                  </w:r>
                </w:p>
              </w:tc>
              <w:tc>
                <w:tcPr>
                  <w:tcW w:w="197" w:type="pct"/>
                  <w:tcBorders>
                    <w:tl2br w:val="nil"/>
                    <w:tr2bl w:val="nil"/>
                  </w:tcBorders>
                  <w:noWrap w:val="0"/>
                  <w:vAlign w:val="center"/>
                </w:tcPr>
                <w:p w14:paraId="59A3A1AF">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3F6AA73A">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w:t>
                  </w:r>
                </w:p>
              </w:tc>
              <w:tc>
                <w:tcPr>
                  <w:tcW w:w="298" w:type="pct"/>
                  <w:tcBorders>
                    <w:tl2br w:val="nil"/>
                    <w:tr2bl w:val="nil"/>
                  </w:tcBorders>
                  <w:noWrap w:val="0"/>
                  <w:vAlign w:val="center"/>
                </w:tcPr>
                <w:p w14:paraId="37AC0A72">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68.1</w:t>
                  </w:r>
                </w:p>
              </w:tc>
              <w:tc>
                <w:tcPr>
                  <w:tcW w:w="305" w:type="pct"/>
                  <w:vMerge w:val="continue"/>
                  <w:tcBorders>
                    <w:tl2br w:val="nil"/>
                    <w:tr2bl w:val="nil"/>
                  </w:tcBorders>
                  <w:noWrap w:val="0"/>
                  <w:vAlign w:val="center"/>
                </w:tcPr>
                <w:p w14:paraId="4BBBA780">
                  <w:pPr>
                    <w:spacing w:before="60"/>
                    <w:ind w:left="-63" w:leftChars="-30" w:right="-63" w:rightChars="-30"/>
                    <w:jc w:val="center"/>
                    <w:rPr>
                      <w:rFonts w:hint="eastAsia"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427EC5EE">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2008A8BC">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58.1</w:t>
                  </w:r>
                </w:p>
              </w:tc>
              <w:tc>
                <w:tcPr>
                  <w:tcW w:w="265" w:type="pct"/>
                  <w:tcBorders>
                    <w:tl2br w:val="nil"/>
                    <w:tr2bl w:val="nil"/>
                  </w:tcBorders>
                  <w:noWrap w:val="0"/>
                  <w:vAlign w:val="center"/>
                </w:tcPr>
                <w:p w14:paraId="575957EB">
                  <w:pPr>
                    <w:spacing w:before="60"/>
                    <w:ind w:left="-63" w:leftChars="-30" w:right="-63" w:rightChars="-3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1</w:t>
                  </w:r>
                </w:p>
              </w:tc>
            </w:tr>
            <w:tr w14:paraId="4AC58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446" w:type="pct"/>
                  <w:vMerge w:val="continue"/>
                  <w:tcBorders>
                    <w:tl2br w:val="nil"/>
                    <w:tr2bl w:val="nil"/>
                  </w:tcBorders>
                  <w:noWrap/>
                  <w:vAlign w:val="center"/>
                </w:tcPr>
                <w:p w14:paraId="22454F8E">
                  <w:pPr>
                    <w:spacing w:before="60"/>
                    <w:ind w:left="-63" w:leftChars="-30" w:right="-63" w:rightChars="-30"/>
                    <w:jc w:val="center"/>
                    <w:rPr>
                      <w:rFonts w:hint="eastAsia" w:ascii="Times New Roman" w:hAnsi="Times New Roman" w:eastAsia="宋体"/>
                      <w:color w:val="auto"/>
                      <w:kern w:val="2"/>
                      <w:sz w:val="18"/>
                      <w:szCs w:val="18"/>
                      <w:lang w:val="en-US" w:eastAsia="zh-CN" w:bidi="ar-SA"/>
                    </w:rPr>
                  </w:pPr>
                </w:p>
              </w:tc>
              <w:tc>
                <w:tcPr>
                  <w:tcW w:w="280" w:type="pct"/>
                  <w:tcBorders>
                    <w:tl2br w:val="nil"/>
                    <w:tr2bl w:val="nil"/>
                  </w:tcBorders>
                  <w:noWrap w:val="0"/>
                  <w:vAlign w:val="center"/>
                </w:tcPr>
                <w:p w14:paraId="4431D6D8">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05D4B830">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乙炔切割机</w:t>
                  </w:r>
                </w:p>
              </w:tc>
              <w:tc>
                <w:tcPr>
                  <w:tcW w:w="576" w:type="dxa"/>
                  <w:tcBorders>
                    <w:tl2br w:val="nil"/>
                    <w:tr2bl w:val="nil"/>
                  </w:tcBorders>
                  <w:noWrap w:val="0"/>
                  <w:vAlign w:val="center"/>
                </w:tcPr>
                <w:p w14:paraId="483135C0">
                  <w:pPr>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c>
                <w:tcPr>
                  <w:tcW w:w="766" w:type="dxa"/>
                  <w:tcBorders>
                    <w:tl2br w:val="nil"/>
                    <w:tr2bl w:val="nil"/>
                  </w:tcBorders>
                  <w:noWrap w:val="0"/>
                  <w:vAlign w:val="center"/>
                </w:tcPr>
                <w:p w14:paraId="30ADF42E">
                  <w:pPr>
                    <w:widowControl/>
                    <w:jc w:val="center"/>
                    <w:textAlignment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85</w:t>
                  </w:r>
                </w:p>
              </w:tc>
              <w:tc>
                <w:tcPr>
                  <w:tcW w:w="241" w:type="pct"/>
                  <w:vMerge w:val="continue"/>
                  <w:tcBorders>
                    <w:tl2br w:val="nil"/>
                    <w:tr2bl w:val="nil"/>
                  </w:tcBorders>
                  <w:noWrap w:val="0"/>
                  <w:vAlign w:val="center"/>
                </w:tcPr>
                <w:p w14:paraId="45CA28FA">
                  <w:pPr>
                    <w:spacing w:before="60"/>
                    <w:ind w:left="-63" w:leftChars="-30" w:right="-63" w:rightChars="-30"/>
                    <w:jc w:val="center"/>
                    <w:rPr>
                      <w:rFonts w:ascii="Times New Roman" w:hAnsi="Times New Roman" w:eastAsia="宋体"/>
                      <w:color w:val="auto"/>
                      <w:sz w:val="18"/>
                      <w:szCs w:val="18"/>
                    </w:rPr>
                  </w:pPr>
                </w:p>
              </w:tc>
              <w:tc>
                <w:tcPr>
                  <w:tcW w:w="518" w:type="dxa"/>
                  <w:tcBorders>
                    <w:tl2br w:val="nil"/>
                    <w:tr2bl w:val="nil"/>
                  </w:tcBorders>
                  <w:noWrap w:val="0"/>
                  <w:vAlign w:val="center"/>
                </w:tcPr>
                <w:p w14:paraId="6F41386C">
                  <w:pPr>
                    <w:jc w:val="center"/>
                    <w:rPr>
                      <w:rFonts w:hint="default"/>
                      <w:color w:val="auto"/>
                      <w:sz w:val="18"/>
                      <w:szCs w:val="18"/>
                      <w:lang w:val="en-US" w:eastAsia="zh-CN"/>
                    </w:rPr>
                  </w:pPr>
                  <w:r>
                    <w:rPr>
                      <w:rFonts w:hint="eastAsia"/>
                      <w:color w:val="auto"/>
                      <w:sz w:val="18"/>
                      <w:szCs w:val="18"/>
                      <w:lang w:val="en-US" w:eastAsia="zh-CN"/>
                    </w:rPr>
                    <w:t>82</w:t>
                  </w:r>
                </w:p>
              </w:tc>
              <w:tc>
                <w:tcPr>
                  <w:tcW w:w="486" w:type="dxa"/>
                  <w:tcBorders>
                    <w:tl2br w:val="nil"/>
                    <w:tr2bl w:val="nil"/>
                  </w:tcBorders>
                  <w:noWrap w:val="0"/>
                  <w:vAlign w:val="center"/>
                </w:tcPr>
                <w:p w14:paraId="6BC45E86">
                  <w:pPr>
                    <w:jc w:val="center"/>
                    <w:rPr>
                      <w:rFonts w:hint="default"/>
                      <w:color w:val="auto"/>
                      <w:sz w:val="18"/>
                      <w:szCs w:val="18"/>
                      <w:lang w:val="en-US" w:eastAsia="zh-CN"/>
                    </w:rPr>
                  </w:pPr>
                  <w:r>
                    <w:rPr>
                      <w:rFonts w:hint="eastAsia"/>
                      <w:color w:val="auto"/>
                      <w:sz w:val="18"/>
                      <w:szCs w:val="18"/>
                      <w:lang w:val="en-US" w:eastAsia="zh-CN"/>
                    </w:rPr>
                    <w:t>61</w:t>
                  </w:r>
                </w:p>
              </w:tc>
              <w:tc>
                <w:tcPr>
                  <w:tcW w:w="316" w:type="dxa"/>
                  <w:tcBorders>
                    <w:tl2br w:val="nil"/>
                    <w:tr2bl w:val="nil"/>
                  </w:tcBorders>
                  <w:noWrap w:val="0"/>
                  <w:vAlign w:val="center"/>
                </w:tcPr>
                <w:p w14:paraId="4DC4287A">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323" w:type="dxa"/>
                  <w:tcBorders>
                    <w:tl2br w:val="nil"/>
                    <w:tr2bl w:val="nil"/>
                  </w:tcBorders>
                  <w:noWrap w:val="0"/>
                  <w:vAlign w:val="center"/>
                </w:tcPr>
                <w:p w14:paraId="3DFF8227">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w:t>
                  </w:r>
                </w:p>
              </w:tc>
              <w:tc>
                <w:tcPr>
                  <w:tcW w:w="478" w:type="dxa"/>
                  <w:tcBorders>
                    <w:tl2br w:val="nil"/>
                    <w:tr2bl w:val="nil"/>
                  </w:tcBorders>
                  <w:noWrap w:val="0"/>
                  <w:vAlign w:val="center"/>
                </w:tcPr>
                <w:p w14:paraId="721FF6DD">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68.1</w:t>
                  </w:r>
                </w:p>
              </w:tc>
              <w:tc>
                <w:tcPr>
                  <w:tcW w:w="305" w:type="pct"/>
                  <w:vMerge w:val="continue"/>
                  <w:tcBorders>
                    <w:tl2br w:val="nil"/>
                    <w:tr2bl w:val="nil"/>
                  </w:tcBorders>
                  <w:noWrap w:val="0"/>
                  <w:vAlign w:val="center"/>
                </w:tcPr>
                <w:p w14:paraId="088C3D91">
                  <w:pPr>
                    <w:spacing w:before="60"/>
                    <w:ind w:left="-63" w:leftChars="-30" w:right="-63" w:rightChars="-30"/>
                    <w:jc w:val="center"/>
                    <w:rPr>
                      <w:rFonts w:hint="eastAsia" w:ascii="Times New Roman" w:hAnsi="Times New Roman" w:eastAsia="宋体"/>
                      <w:color w:val="auto"/>
                      <w:sz w:val="18"/>
                      <w:szCs w:val="18"/>
                      <w:lang w:val="en-US" w:eastAsia="zh-CN"/>
                    </w:rPr>
                  </w:pPr>
                </w:p>
              </w:tc>
              <w:tc>
                <w:tcPr>
                  <w:tcW w:w="491" w:type="dxa"/>
                  <w:tcBorders>
                    <w:tl2br w:val="nil"/>
                    <w:tr2bl w:val="nil"/>
                  </w:tcBorders>
                  <w:noWrap w:val="0"/>
                  <w:vAlign w:val="center"/>
                </w:tcPr>
                <w:p w14:paraId="750BB8F6">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562" w:type="dxa"/>
                  <w:tcBorders>
                    <w:tl2br w:val="nil"/>
                    <w:tr2bl w:val="nil"/>
                  </w:tcBorders>
                  <w:noWrap w:val="0"/>
                  <w:vAlign w:val="center"/>
                </w:tcPr>
                <w:p w14:paraId="6F2CC573">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58.1</w:t>
                  </w:r>
                </w:p>
              </w:tc>
              <w:tc>
                <w:tcPr>
                  <w:tcW w:w="425" w:type="dxa"/>
                  <w:tcBorders>
                    <w:tl2br w:val="nil"/>
                    <w:tr2bl w:val="nil"/>
                  </w:tcBorders>
                  <w:noWrap w:val="0"/>
                  <w:vAlign w:val="center"/>
                </w:tcPr>
                <w:p w14:paraId="3B09462B">
                  <w:pPr>
                    <w:spacing w:before="60"/>
                    <w:ind w:left="-63" w:leftChars="-30" w:right="-63" w:rightChars="-3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1</w:t>
                  </w:r>
                </w:p>
              </w:tc>
            </w:tr>
            <w:tr w14:paraId="3D49A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46" w:type="pct"/>
                  <w:vMerge w:val="continue"/>
                  <w:tcBorders>
                    <w:tl2br w:val="nil"/>
                    <w:tr2bl w:val="nil"/>
                  </w:tcBorders>
                  <w:noWrap/>
                  <w:vAlign w:val="center"/>
                </w:tcPr>
                <w:p w14:paraId="1438D4A1">
                  <w:pPr>
                    <w:spacing w:before="60"/>
                    <w:ind w:left="-63" w:leftChars="-30" w:right="-63" w:rightChars="-30"/>
                    <w:jc w:val="center"/>
                    <w:rPr>
                      <w:rFonts w:hint="eastAsia" w:ascii="Times New Roman" w:hAnsi="Times New Roman" w:eastAsia="宋体"/>
                      <w:color w:val="auto"/>
                      <w:sz w:val="18"/>
                      <w:szCs w:val="18"/>
                      <w:lang w:eastAsia="zh-CN"/>
                    </w:rPr>
                  </w:pPr>
                </w:p>
              </w:tc>
              <w:tc>
                <w:tcPr>
                  <w:tcW w:w="280" w:type="pct"/>
                  <w:tcBorders>
                    <w:tl2br w:val="nil"/>
                    <w:tr2bl w:val="nil"/>
                  </w:tcBorders>
                  <w:noWrap w:val="0"/>
                  <w:vAlign w:val="center"/>
                </w:tcPr>
                <w:p w14:paraId="5847AFC7">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03CC219F">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液压金属剪切机</w:t>
                  </w:r>
                </w:p>
              </w:tc>
              <w:tc>
                <w:tcPr>
                  <w:tcW w:w="359" w:type="pct"/>
                  <w:tcBorders>
                    <w:tl2br w:val="nil"/>
                    <w:tr2bl w:val="nil"/>
                  </w:tcBorders>
                  <w:noWrap w:val="0"/>
                  <w:vAlign w:val="center"/>
                </w:tcPr>
                <w:p w14:paraId="2612DF01">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c>
                <w:tcPr>
                  <w:tcW w:w="477" w:type="pct"/>
                  <w:tcBorders>
                    <w:tl2br w:val="nil"/>
                    <w:tr2bl w:val="nil"/>
                  </w:tcBorders>
                  <w:noWrap w:val="0"/>
                  <w:vAlign w:val="center"/>
                </w:tcPr>
                <w:p w14:paraId="3FA67919">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85</w:t>
                  </w:r>
                </w:p>
              </w:tc>
              <w:tc>
                <w:tcPr>
                  <w:tcW w:w="241" w:type="pct"/>
                  <w:vMerge w:val="continue"/>
                  <w:tcBorders>
                    <w:tl2br w:val="nil"/>
                    <w:tr2bl w:val="nil"/>
                  </w:tcBorders>
                  <w:noWrap w:val="0"/>
                  <w:vAlign w:val="center"/>
                </w:tcPr>
                <w:p w14:paraId="2E45DFF3">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02E483F8">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80</w:t>
                  </w:r>
                </w:p>
              </w:tc>
              <w:tc>
                <w:tcPr>
                  <w:tcW w:w="303" w:type="pct"/>
                  <w:tcBorders>
                    <w:tl2br w:val="nil"/>
                    <w:tr2bl w:val="nil"/>
                  </w:tcBorders>
                  <w:noWrap w:val="0"/>
                  <w:vAlign w:val="center"/>
                </w:tcPr>
                <w:p w14:paraId="1D81F2A8">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67</w:t>
                  </w:r>
                </w:p>
              </w:tc>
              <w:tc>
                <w:tcPr>
                  <w:tcW w:w="197" w:type="pct"/>
                  <w:tcBorders>
                    <w:tl2br w:val="nil"/>
                    <w:tr2bl w:val="nil"/>
                  </w:tcBorders>
                  <w:noWrap w:val="0"/>
                  <w:vAlign w:val="center"/>
                </w:tcPr>
                <w:p w14:paraId="24EF27F4">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14F72FD9">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298" w:type="pct"/>
                  <w:tcBorders>
                    <w:tl2br w:val="nil"/>
                    <w:tr2bl w:val="nil"/>
                  </w:tcBorders>
                  <w:noWrap w:val="0"/>
                  <w:vAlign w:val="center"/>
                </w:tcPr>
                <w:p w14:paraId="22A777B7">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65.0</w:t>
                  </w:r>
                </w:p>
              </w:tc>
              <w:tc>
                <w:tcPr>
                  <w:tcW w:w="305" w:type="pct"/>
                  <w:vMerge w:val="continue"/>
                  <w:tcBorders>
                    <w:tl2br w:val="nil"/>
                    <w:tr2bl w:val="nil"/>
                  </w:tcBorders>
                  <w:noWrap w:val="0"/>
                  <w:vAlign w:val="center"/>
                </w:tcPr>
                <w:p w14:paraId="4B8619C4">
                  <w:pPr>
                    <w:spacing w:before="60"/>
                    <w:ind w:left="-63" w:leftChars="-30" w:right="-63" w:rightChars="-30"/>
                    <w:jc w:val="center"/>
                    <w:rPr>
                      <w:rFonts w:hint="default"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05AFB29B">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7C35B2B6">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55.0</w:t>
                  </w:r>
                </w:p>
              </w:tc>
              <w:tc>
                <w:tcPr>
                  <w:tcW w:w="265" w:type="pct"/>
                  <w:tcBorders>
                    <w:tl2br w:val="nil"/>
                    <w:tr2bl w:val="nil"/>
                  </w:tcBorders>
                  <w:noWrap w:val="0"/>
                  <w:vAlign w:val="center"/>
                </w:tcPr>
                <w:p w14:paraId="4DEA22E5">
                  <w:pPr>
                    <w:spacing w:before="60"/>
                    <w:ind w:left="-63" w:leftChars="-30" w:right="-63" w:rightChars="-3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1</w:t>
                  </w:r>
                </w:p>
              </w:tc>
            </w:tr>
            <w:tr w14:paraId="2376C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6" w:type="pct"/>
                  <w:vMerge w:val="continue"/>
                  <w:tcBorders>
                    <w:tl2br w:val="nil"/>
                    <w:tr2bl w:val="nil"/>
                  </w:tcBorders>
                  <w:noWrap/>
                  <w:vAlign w:val="center"/>
                </w:tcPr>
                <w:p w14:paraId="234873B5">
                  <w:pPr>
                    <w:spacing w:before="60"/>
                    <w:ind w:left="-63" w:leftChars="-30" w:right="-63" w:rightChars="-30"/>
                    <w:jc w:val="center"/>
                    <w:rPr>
                      <w:rFonts w:hint="eastAsia" w:ascii="Times New Roman" w:hAnsi="Times New Roman" w:eastAsia="宋体"/>
                      <w:color w:val="auto"/>
                      <w:sz w:val="18"/>
                      <w:szCs w:val="18"/>
                      <w:lang w:eastAsia="zh-CN"/>
                    </w:rPr>
                  </w:pPr>
                </w:p>
              </w:tc>
              <w:tc>
                <w:tcPr>
                  <w:tcW w:w="280" w:type="pct"/>
                  <w:tcBorders>
                    <w:tl2br w:val="nil"/>
                    <w:tr2bl w:val="nil"/>
                  </w:tcBorders>
                  <w:noWrap w:val="0"/>
                  <w:vAlign w:val="center"/>
                </w:tcPr>
                <w:p w14:paraId="209F7432">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2560E3D1">
                  <w:pPr>
                    <w:widowControl/>
                    <w:jc w:val="center"/>
                    <w:textAlignment w:val="center"/>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lang w:eastAsia="zh-CN"/>
                    </w:rPr>
                    <w:t>鳄鱼式</w:t>
                  </w:r>
                </w:p>
                <w:p w14:paraId="791FBAEA">
                  <w:pPr>
                    <w:widowControl/>
                    <w:jc w:val="center"/>
                    <w:textAlignment w:val="center"/>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lang w:eastAsia="zh-CN"/>
                    </w:rPr>
                    <w:t>金属剪切机</w:t>
                  </w:r>
                </w:p>
              </w:tc>
              <w:tc>
                <w:tcPr>
                  <w:tcW w:w="359" w:type="pct"/>
                  <w:tcBorders>
                    <w:tl2br w:val="nil"/>
                    <w:tr2bl w:val="nil"/>
                  </w:tcBorders>
                  <w:noWrap w:val="0"/>
                  <w:vAlign w:val="center"/>
                </w:tcPr>
                <w:p w14:paraId="0227061D">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1</w:t>
                  </w:r>
                </w:p>
              </w:tc>
              <w:tc>
                <w:tcPr>
                  <w:tcW w:w="477" w:type="pct"/>
                  <w:tcBorders>
                    <w:tl2br w:val="nil"/>
                    <w:tr2bl w:val="nil"/>
                  </w:tcBorders>
                  <w:noWrap w:val="0"/>
                  <w:vAlign w:val="center"/>
                </w:tcPr>
                <w:p w14:paraId="21653901">
                  <w:pPr>
                    <w:widowControl/>
                    <w:jc w:val="center"/>
                    <w:textAlignment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85</w:t>
                  </w:r>
                </w:p>
              </w:tc>
              <w:tc>
                <w:tcPr>
                  <w:tcW w:w="241" w:type="pct"/>
                  <w:vMerge w:val="continue"/>
                  <w:tcBorders>
                    <w:tl2br w:val="nil"/>
                    <w:tr2bl w:val="nil"/>
                  </w:tcBorders>
                  <w:noWrap w:val="0"/>
                  <w:vAlign w:val="center"/>
                </w:tcPr>
                <w:p w14:paraId="098E67ED">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6F5D433C">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81</w:t>
                  </w:r>
                </w:p>
              </w:tc>
              <w:tc>
                <w:tcPr>
                  <w:tcW w:w="303" w:type="pct"/>
                  <w:tcBorders>
                    <w:tl2br w:val="nil"/>
                    <w:tr2bl w:val="nil"/>
                  </w:tcBorders>
                  <w:noWrap w:val="0"/>
                  <w:vAlign w:val="center"/>
                </w:tcPr>
                <w:p w14:paraId="58107703">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70</w:t>
                  </w:r>
                </w:p>
              </w:tc>
              <w:tc>
                <w:tcPr>
                  <w:tcW w:w="197" w:type="pct"/>
                  <w:tcBorders>
                    <w:tl2br w:val="nil"/>
                    <w:tr2bl w:val="nil"/>
                  </w:tcBorders>
                  <w:noWrap w:val="0"/>
                  <w:vAlign w:val="center"/>
                </w:tcPr>
                <w:p w14:paraId="0EAC3FDF">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4145DC2E">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9</w:t>
                  </w:r>
                </w:p>
              </w:tc>
              <w:tc>
                <w:tcPr>
                  <w:tcW w:w="298" w:type="pct"/>
                  <w:tcBorders>
                    <w:tl2br w:val="nil"/>
                    <w:tr2bl w:val="nil"/>
                  </w:tcBorders>
                  <w:noWrap w:val="0"/>
                  <w:vAlign w:val="center"/>
                </w:tcPr>
                <w:p w14:paraId="3E542444">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65.9</w:t>
                  </w:r>
                </w:p>
              </w:tc>
              <w:tc>
                <w:tcPr>
                  <w:tcW w:w="305" w:type="pct"/>
                  <w:vMerge w:val="continue"/>
                  <w:tcBorders>
                    <w:tl2br w:val="nil"/>
                    <w:tr2bl w:val="nil"/>
                  </w:tcBorders>
                  <w:noWrap w:val="0"/>
                  <w:vAlign w:val="center"/>
                </w:tcPr>
                <w:p w14:paraId="4D9AE1AD">
                  <w:pPr>
                    <w:spacing w:before="60"/>
                    <w:ind w:left="-63" w:leftChars="-30" w:right="-63" w:rightChars="-30"/>
                    <w:jc w:val="center"/>
                    <w:rPr>
                      <w:rFonts w:hint="default"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067427AB">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10</w:t>
                  </w:r>
                </w:p>
              </w:tc>
              <w:tc>
                <w:tcPr>
                  <w:tcW w:w="350" w:type="pct"/>
                  <w:tcBorders>
                    <w:tl2br w:val="nil"/>
                    <w:tr2bl w:val="nil"/>
                  </w:tcBorders>
                  <w:noWrap w:val="0"/>
                  <w:vAlign w:val="center"/>
                </w:tcPr>
                <w:p w14:paraId="18AFEE3E">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55.9</w:t>
                  </w:r>
                </w:p>
              </w:tc>
              <w:tc>
                <w:tcPr>
                  <w:tcW w:w="265" w:type="pct"/>
                  <w:tcBorders>
                    <w:tl2br w:val="nil"/>
                    <w:tr2bl w:val="nil"/>
                  </w:tcBorders>
                  <w:noWrap w:val="0"/>
                  <w:vAlign w:val="center"/>
                </w:tcPr>
                <w:p w14:paraId="32260A28">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1</w:t>
                  </w:r>
                </w:p>
              </w:tc>
            </w:tr>
            <w:tr w14:paraId="4ED2C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6" w:type="pct"/>
                  <w:vMerge w:val="continue"/>
                  <w:tcBorders>
                    <w:tl2br w:val="nil"/>
                    <w:tr2bl w:val="nil"/>
                  </w:tcBorders>
                  <w:noWrap/>
                  <w:vAlign w:val="center"/>
                </w:tcPr>
                <w:p w14:paraId="029F78D3">
                  <w:pPr>
                    <w:spacing w:before="60"/>
                    <w:ind w:left="-63" w:leftChars="-30" w:right="-63" w:rightChars="-30"/>
                    <w:jc w:val="center"/>
                    <w:rPr>
                      <w:rFonts w:hint="eastAsia" w:ascii="Times New Roman" w:hAnsi="Times New Roman" w:eastAsia="宋体"/>
                      <w:color w:val="auto"/>
                      <w:sz w:val="18"/>
                      <w:szCs w:val="18"/>
                      <w:lang w:eastAsia="zh-CN"/>
                    </w:rPr>
                  </w:pPr>
                </w:p>
              </w:tc>
              <w:tc>
                <w:tcPr>
                  <w:tcW w:w="280" w:type="pct"/>
                  <w:tcBorders>
                    <w:tl2br w:val="nil"/>
                    <w:tr2bl w:val="nil"/>
                  </w:tcBorders>
                  <w:noWrap w:val="0"/>
                  <w:vAlign w:val="center"/>
                </w:tcPr>
                <w:p w14:paraId="517AC976">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78A7BA61">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扒胎机</w:t>
                  </w:r>
                </w:p>
              </w:tc>
              <w:tc>
                <w:tcPr>
                  <w:tcW w:w="359" w:type="pct"/>
                  <w:tcBorders>
                    <w:tl2br w:val="nil"/>
                    <w:tr2bl w:val="nil"/>
                  </w:tcBorders>
                  <w:noWrap w:val="0"/>
                  <w:vAlign w:val="center"/>
                </w:tcPr>
                <w:p w14:paraId="66A0E970">
                  <w:pPr>
                    <w:jc w:val="center"/>
                    <w:rPr>
                      <w:rFonts w:hint="default"/>
                      <w:color w:val="auto"/>
                      <w:sz w:val="18"/>
                      <w:szCs w:val="18"/>
                      <w:lang w:val="en-US" w:eastAsia="zh-CN"/>
                    </w:rPr>
                  </w:pPr>
                  <w:r>
                    <w:rPr>
                      <w:rFonts w:hint="eastAsia"/>
                      <w:color w:val="auto"/>
                      <w:sz w:val="18"/>
                      <w:szCs w:val="18"/>
                      <w:lang w:val="en-US" w:eastAsia="zh-CN"/>
                    </w:rPr>
                    <w:t>1</w:t>
                  </w:r>
                </w:p>
              </w:tc>
              <w:tc>
                <w:tcPr>
                  <w:tcW w:w="477" w:type="pct"/>
                  <w:tcBorders>
                    <w:tl2br w:val="nil"/>
                    <w:tr2bl w:val="nil"/>
                  </w:tcBorders>
                  <w:noWrap w:val="0"/>
                  <w:vAlign w:val="center"/>
                </w:tcPr>
                <w:p w14:paraId="44BF2AEC">
                  <w:pPr>
                    <w:widowControl/>
                    <w:jc w:val="center"/>
                    <w:textAlignment w:val="center"/>
                    <w:rPr>
                      <w:rFonts w:hint="default"/>
                      <w:color w:val="auto"/>
                      <w:sz w:val="18"/>
                      <w:szCs w:val="18"/>
                      <w:lang w:val="en-US" w:eastAsia="zh-CN"/>
                    </w:rPr>
                  </w:pPr>
                  <w:r>
                    <w:rPr>
                      <w:rFonts w:hint="eastAsia"/>
                      <w:color w:val="auto"/>
                      <w:sz w:val="18"/>
                      <w:szCs w:val="18"/>
                      <w:lang w:val="en-US" w:eastAsia="zh-CN"/>
                    </w:rPr>
                    <w:t>80</w:t>
                  </w:r>
                </w:p>
              </w:tc>
              <w:tc>
                <w:tcPr>
                  <w:tcW w:w="241" w:type="pct"/>
                  <w:vMerge w:val="continue"/>
                  <w:tcBorders>
                    <w:tl2br w:val="nil"/>
                    <w:tr2bl w:val="nil"/>
                  </w:tcBorders>
                  <w:noWrap w:val="0"/>
                  <w:vAlign w:val="center"/>
                </w:tcPr>
                <w:p w14:paraId="5340AB0C">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1DF361CE">
                  <w:pPr>
                    <w:jc w:val="center"/>
                    <w:rPr>
                      <w:rFonts w:hint="default"/>
                      <w:color w:val="auto"/>
                      <w:sz w:val="18"/>
                      <w:szCs w:val="18"/>
                      <w:lang w:val="en-US" w:eastAsia="zh-CN"/>
                    </w:rPr>
                  </w:pPr>
                  <w:r>
                    <w:rPr>
                      <w:rFonts w:hint="eastAsia"/>
                      <w:color w:val="auto"/>
                      <w:sz w:val="18"/>
                      <w:szCs w:val="18"/>
                      <w:lang w:val="en-US" w:eastAsia="zh-CN"/>
                    </w:rPr>
                    <w:t>90</w:t>
                  </w:r>
                </w:p>
              </w:tc>
              <w:tc>
                <w:tcPr>
                  <w:tcW w:w="303" w:type="pct"/>
                  <w:tcBorders>
                    <w:tl2br w:val="nil"/>
                    <w:tr2bl w:val="nil"/>
                  </w:tcBorders>
                  <w:noWrap w:val="0"/>
                  <w:vAlign w:val="center"/>
                </w:tcPr>
                <w:p w14:paraId="3D35DEF4">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78</w:t>
                  </w:r>
                </w:p>
              </w:tc>
              <w:tc>
                <w:tcPr>
                  <w:tcW w:w="197" w:type="pct"/>
                  <w:tcBorders>
                    <w:tl2br w:val="nil"/>
                    <w:tr2bl w:val="nil"/>
                  </w:tcBorders>
                  <w:noWrap w:val="0"/>
                  <w:vAlign w:val="center"/>
                </w:tcPr>
                <w:p w14:paraId="3737015F">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59425175">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4</w:t>
                  </w:r>
                </w:p>
              </w:tc>
              <w:tc>
                <w:tcPr>
                  <w:tcW w:w="298" w:type="pct"/>
                  <w:tcBorders>
                    <w:tl2br w:val="nil"/>
                    <w:tr2bl w:val="nil"/>
                  </w:tcBorders>
                  <w:noWrap w:val="0"/>
                  <w:vAlign w:val="center"/>
                </w:tcPr>
                <w:p w14:paraId="079EA7CB">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67.9</w:t>
                  </w:r>
                </w:p>
              </w:tc>
              <w:tc>
                <w:tcPr>
                  <w:tcW w:w="305" w:type="pct"/>
                  <w:vMerge w:val="continue"/>
                  <w:tcBorders>
                    <w:tl2br w:val="nil"/>
                    <w:tr2bl w:val="nil"/>
                  </w:tcBorders>
                  <w:noWrap w:val="0"/>
                  <w:vAlign w:val="center"/>
                </w:tcPr>
                <w:p w14:paraId="63C73762">
                  <w:pPr>
                    <w:spacing w:before="60"/>
                    <w:ind w:left="-63" w:leftChars="-30" w:right="-63" w:rightChars="-30"/>
                    <w:jc w:val="center"/>
                    <w:rPr>
                      <w:rFonts w:hint="default"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7E3D1A95">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10</w:t>
                  </w:r>
                </w:p>
              </w:tc>
              <w:tc>
                <w:tcPr>
                  <w:tcW w:w="350" w:type="pct"/>
                  <w:tcBorders>
                    <w:tl2br w:val="nil"/>
                    <w:tr2bl w:val="nil"/>
                  </w:tcBorders>
                  <w:noWrap w:val="0"/>
                  <w:vAlign w:val="center"/>
                </w:tcPr>
                <w:p w14:paraId="1D5D4254">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66.9</w:t>
                  </w:r>
                </w:p>
              </w:tc>
              <w:tc>
                <w:tcPr>
                  <w:tcW w:w="265" w:type="pct"/>
                  <w:tcBorders>
                    <w:tl2br w:val="nil"/>
                    <w:tr2bl w:val="nil"/>
                  </w:tcBorders>
                  <w:noWrap w:val="0"/>
                  <w:vAlign w:val="center"/>
                </w:tcPr>
                <w:p w14:paraId="485EBDD7">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1</w:t>
                  </w:r>
                </w:p>
              </w:tc>
            </w:tr>
            <w:tr w14:paraId="603D9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6" w:type="pct"/>
                  <w:vMerge w:val="continue"/>
                  <w:tcBorders>
                    <w:tl2br w:val="nil"/>
                    <w:tr2bl w:val="nil"/>
                  </w:tcBorders>
                  <w:noWrap/>
                  <w:vAlign w:val="center"/>
                </w:tcPr>
                <w:p w14:paraId="1D452B81">
                  <w:pPr>
                    <w:spacing w:before="60"/>
                    <w:ind w:left="-63" w:leftChars="-30" w:right="-63" w:rightChars="-30"/>
                    <w:jc w:val="center"/>
                    <w:rPr>
                      <w:rFonts w:hint="eastAsia" w:ascii="Times New Roman" w:hAnsi="Times New Roman" w:eastAsia="宋体"/>
                      <w:color w:val="auto"/>
                      <w:sz w:val="18"/>
                      <w:szCs w:val="18"/>
                      <w:lang w:eastAsia="zh-CN"/>
                    </w:rPr>
                  </w:pPr>
                </w:p>
              </w:tc>
              <w:tc>
                <w:tcPr>
                  <w:tcW w:w="280" w:type="pct"/>
                  <w:tcBorders>
                    <w:tl2br w:val="nil"/>
                    <w:tr2bl w:val="nil"/>
                  </w:tcBorders>
                  <w:noWrap w:val="0"/>
                  <w:vAlign w:val="center"/>
                </w:tcPr>
                <w:p w14:paraId="7C4DD330">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489B7553">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行车</w:t>
                  </w:r>
                </w:p>
              </w:tc>
              <w:tc>
                <w:tcPr>
                  <w:tcW w:w="359" w:type="pct"/>
                  <w:tcBorders>
                    <w:tl2br w:val="nil"/>
                    <w:tr2bl w:val="nil"/>
                  </w:tcBorders>
                  <w:noWrap w:val="0"/>
                  <w:vAlign w:val="center"/>
                </w:tcPr>
                <w:p w14:paraId="14AFBBCD">
                  <w:pPr>
                    <w:jc w:val="center"/>
                    <w:rPr>
                      <w:rFonts w:hint="default"/>
                      <w:color w:val="auto"/>
                      <w:sz w:val="18"/>
                      <w:szCs w:val="18"/>
                      <w:lang w:val="en-US" w:eastAsia="zh-CN"/>
                    </w:rPr>
                  </w:pPr>
                  <w:r>
                    <w:rPr>
                      <w:rFonts w:hint="eastAsia"/>
                      <w:color w:val="auto"/>
                      <w:sz w:val="18"/>
                      <w:szCs w:val="18"/>
                      <w:lang w:val="en-US" w:eastAsia="zh-CN"/>
                    </w:rPr>
                    <w:t>1</w:t>
                  </w:r>
                </w:p>
              </w:tc>
              <w:tc>
                <w:tcPr>
                  <w:tcW w:w="477" w:type="pct"/>
                  <w:tcBorders>
                    <w:tl2br w:val="nil"/>
                    <w:tr2bl w:val="nil"/>
                  </w:tcBorders>
                  <w:noWrap w:val="0"/>
                  <w:vAlign w:val="center"/>
                </w:tcPr>
                <w:p w14:paraId="582BFAF8">
                  <w:pPr>
                    <w:widowControl/>
                    <w:jc w:val="center"/>
                    <w:textAlignment w:val="center"/>
                    <w:rPr>
                      <w:rFonts w:hint="default"/>
                      <w:color w:val="auto"/>
                      <w:sz w:val="18"/>
                      <w:szCs w:val="18"/>
                      <w:lang w:val="en-US" w:eastAsia="zh-CN"/>
                    </w:rPr>
                  </w:pPr>
                  <w:r>
                    <w:rPr>
                      <w:rFonts w:hint="eastAsia"/>
                      <w:color w:val="auto"/>
                      <w:sz w:val="18"/>
                      <w:szCs w:val="18"/>
                      <w:lang w:val="en-US" w:eastAsia="zh-CN"/>
                    </w:rPr>
                    <w:t>80</w:t>
                  </w:r>
                </w:p>
              </w:tc>
              <w:tc>
                <w:tcPr>
                  <w:tcW w:w="241" w:type="pct"/>
                  <w:vMerge w:val="continue"/>
                  <w:tcBorders>
                    <w:tl2br w:val="nil"/>
                    <w:tr2bl w:val="nil"/>
                  </w:tcBorders>
                  <w:noWrap w:val="0"/>
                  <w:vAlign w:val="center"/>
                </w:tcPr>
                <w:p w14:paraId="1BC53455">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686809B9">
                  <w:pPr>
                    <w:jc w:val="center"/>
                    <w:rPr>
                      <w:rFonts w:hint="default"/>
                      <w:color w:val="auto"/>
                      <w:sz w:val="18"/>
                      <w:szCs w:val="18"/>
                      <w:lang w:val="en-US" w:eastAsia="zh-CN"/>
                    </w:rPr>
                  </w:pPr>
                  <w:r>
                    <w:rPr>
                      <w:rFonts w:hint="eastAsia"/>
                      <w:color w:val="auto"/>
                      <w:sz w:val="18"/>
                      <w:szCs w:val="18"/>
                      <w:lang w:val="en-US" w:eastAsia="zh-CN"/>
                    </w:rPr>
                    <w:t>83</w:t>
                  </w:r>
                </w:p>
              </w:tc>
              <w:tc>
                <w:tcPr>
                  <w:tcW w:w="303" w:type="pct"/>
                  <w:tcBorders>
                    <w:tl2br w:val="nil"/>
                    <w:tr2bl w:val="nil"/>
                  </w:tcBorders>
                  <w:noWrap w:val="0"/>
                  <w:vAlign w:val="center"/>
                </w:tcPr>
                <w:p w14:paraId="06C15891">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75</w:t>
                  </w:r>
                </w:p>
              </w:tc>
              <w:tc>
                <w:tcPr>
                  <w:tcW w:w="197" w:type="pct"/>
                  <w:tcBorders>
                    <w:tl2br w:val="nil"/>
                    <w:tr2bl w:val="nil"/>
                  </w:tcBorders>
                  <w:noWrap w:val="0"/>
                  <w:vAlign w:val="center"/>
                </w:tcPr>
                <w:p w14:paraId="64A037D4">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6101B21A">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6</w:t>
                  </w:r>
                </w:p>
              </w:tc>
              <w:tc>
                <w:tcPr>
                  <w:tcW w:w="298" w:type="pct"/>
                  <w:tcBorders>
                    <w:tl2br w:val="nil"/>
                    <w:tr2bl w:val="nil"/>
                  </w:tcBorders>
                  <w:noWrap w:val="0"/>
                  <w:vAlign w:val="center"/>
                </w:tcPr>
                <w:p w14:paraId="0DB2048F">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64.4</w:t>
                  </w:r>
                </w:p>
              </w:tc>
              <w:tc>
                <w:tcPr>
                  <w:tcW w:w="305" w:type="pct"/>
                  <w:vMerge w:val="continue"/>
                  <w:tcBorders>
                    <w:tl2br w:val="nil"/>
                    <w:tr2bl w:val="nil"/>
                  </w:tcBorders>
                  <w:noWrap w:val="0"/>
                  <w:vAlign w:val="center"/>
                </w:tcPr>
                <w:p w14:paraId="324A2209">
                  <w:pPr>
                    <w:spacing w:before="60"/>
                    <w:ind w:left="-63" w:leftChars="-30" w:right="-63" w:rightChars="-30"/>
                    <w:jc w:val="center"/>
                    <w:rPr>
                      <w:rFonts w:hint="default"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1E7D599E">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10</w:t>
                  </w:r>
                </w:p>
              </w:tc>
              <w:tc>
                <w:tcPr>
                  <w:tcW w:w="350" w:type="pct"/>
                  <w:tcBorders>
                    <w:tl2br w:val="nil"/>
                    <w:tr2bl w:val="nil"/>
                  </w:tcBorders>
                  <w:noWrap w:val="0"/>
                  <w:vAlign w:val="center"/>
                </w:tcPr>
                <w:p w14:paraId="33839DB3">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54.4</w:t>
                  </w:r>
                </w:p>
              </w:tc>
              <w:tc>
                <w:tcPr>
                  <w:tcW w:w="265" w:type="pct"/>
                  <w:tcBorders>
                    <w:tl2br w:val="nil"/>
                    <w:tr2bl w:val="nil"/>
                  </w:tcBorders>
                  <w:noWrap w:val="0"/>
                  <w:vAlign w:val="center"/>
                </w:tcPr>
                <w:p w14:paraId="078C5268">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1</w:t>
                  </w:r>
                </w:p>
              </w:tc>
            </w:tr>
            <w:tr w14:paraId="01113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6" w:type="pct"/>
                  <w:vMerge w:val="continue"/>
                  <w:tcBorders>
                    <w:tl2br w:val="nil"/>
                    <w:tr2bl w:val="nil"/>
                  </w:tcBorders>
                  <w:noWrap/>
                  <w:vAlign w:val="center"/>
                </w:tcPr>
                <w:p w14:paraId="60AA3078">
                  <w:pPr>
                    <w:spacing w:before="60"/>
                    <w:ind w:left="-63" w:leftChars="-30" w:right="-63" w:rightChars="-30"/>
                    <w:jc w:val="center"/>
                    <w:rPr>
                      <w:rFonts w:hint="eastAsia" w:ascii="Times New Roman" w:hAnsi="Times New Roman" w:eastAsia="宋体"/>
                      <w:color w:val="auto"/>
                      <w:sz w:val="18"/>
                      <w:szCs w:val="18"/>
                      <w:lang w:eastAsia="zh-CN"/>
                    </w:rPr>
                  </w:pPr>
                </w:p>
              </w:tc>
              <w:tc>
                <w:tcPr>
                  <w:tcW w:w="280" w:type="pct"/>
                  <w:tcBorders>
                    <w:tl2br w:val="nil"/>
                    <w:tr2bl w:val="nil"/>
                  </w:tcBorders>
                  <w:noWrap w:val="0"/>
                  <w:vAlign w:val="center"/>
                </w:tcPr>
                <w:p w14:paraId="51A81EF0">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2EA77D31">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压块机</w:t>
                  </w:r>
                </w:p>
              </w:tc>
              <w:tc>
                <w:tcPr>
                  <w:tcW w:w="359" w:type="pct"/>
                  <w:tcBorders>
                    <w:tl2br w:val="nil"/>
                    <w:tr2bl w:val="nil"/>
                  </w:tcBorders>
                  <w:noWrap w:val="0"/>
                  <w:vAlign w:val="center"/>
                </w:tcPr>
                <w:p w14:paraId="55515DFB">
                  <w:pPr>
                    <w:jc w:val="center"/>
                    <w:rPr>
                      <w:rFonts w:hint="default"/>
                      <w:color w:val="auto"/>
                      <w:sz w:val="18"/>
                      <w:szCs w:val="18"/>
                      <w:lang w:val="en-US" w:eastAsia="zh-CN"/>
                    </w:rPr>
                  </w:pPr>
                  <w:r>
                    <w:rPr>
                      <w:rFonts w:hint="eastAsia"/>
                      <w:color w:val="auto"/>
                      <w:sz w:val="18"/>
                      <w:szCs w:val="18"/>
                      <w:lang w:val="en-US" w:eastAsia="zh-CN"/>
                    </w:rPr>
                    <w:t>2</w:t>
                  </w:r>
                </w:p>
              </w:tc>
              <w:tc>
                <w:tcPr>
                  <w:tcW w:w="477" w:type="pct"/>
                  <w:tcBorders>
                    <w:tl2br w:val="nil"/>
                    <w:tr2bl w:val="nil"/>
                  </w:tcBorders>
                  <w:noWrap w:val="0"/>
                  <w:vAlign w:val="center"/>
                </w:tcPr>
                <w:p w14:paraId="463A1FDB">
                  <w:pPr>
                    <w:widowControl/>
                    <w:jc w:val="center"/>
                    <w:textAlignment w:val="center"/>
                    <w:rPr>
                      <w:rFonts w:hint="default"/>
                      <w:color w:val="auto"/>
                      <w:sz w:val="18"/>
                      <w:szCs w:val="18"/>
                      <w:lang w:val="en-US" w:eastAsia="zh-CN"/>
                    </w:rPr>
                  </w:pPr>
                  <w:r>
                    <w:rPr>
                      <w:rFonts w:hint="eastAsia"/>
                      <w:color w:val="auto"/>
                      <w:sz w:val="18"/>
                      <w:szCs w:val="18"/>
                      <w:lang w:val="en-US" w:eastAsia="zh-CN"/>
                    </w:rPr>
                    <w:t>83</w:t>
                  </w:r>
                </w:p>
              </w:tc>
              <w:tc>
                <w:tcPr>
                  <w:tcW w:w="241" w:type="pct"/>
                  <w:vMerge w:val="continue"/>
                  <w:tcBorders>
                    <w:tl2br w:val="nil"/>
                    <w:tr2bl w:val="nil"/>
                  </w:tcBorders>
                  <w:noWrap w:val="0"/>
                  <w:vAlign w:val="center"/>
                </w:tcPr>
                <w:p w14:paraId="3AC5EC5C">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1F352E75">
                  <w:pPr>
                    <w:jc w:val="center"/>
                    <w:rPr>
                      <w:rFonts w:hint="default"/>
                      <w:color w:val="auto"/>
                      <w:sz w:val="18"/>
                      <w:szCs w:val="18"/>
                      <w:lang w:val="en-US" w:eastAsia="zh-CN"/>
                    </w:rPr>
                  </w:pPr>
                  <w:r>
                    <w:rPr>
                      <w:rFonts w:hint="eastAsia"/>
                      <w:color w:val="auto"/>
                      <w:sz w:val="18"/>
                      <w:szCs w:val="18"/>
                      <w:lang w:val="en-US" w:eastAsia="zh-CN"/>
                    </w:rPr>
                    <w:t>85</w:t>
                  </w:r>
                </w:p>
              </w:tc>
              <w:tc>
                <w:tcPr>
                  <w:tcW w:w="303" w:type="pct"/>
                  <w:tcBorders>
                    <w:tl2br w:val="nil"/>
                    <w:tr2bl w:val="nil"/>
                  </w:tcBorders>
                  <w:noWrap w:val="0"/>
                  <w:vAlign w:val="center"/>
                </w:tcPr>
                <w:p w14:paraId="24624528">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82</w:t>
                  </w:r>
                </w:p>
              </w:tc>
              <w:tc>
                <w:tcPr>
                  <w:tcW w:w="197" w:type="pct"/>
                  <w:tcBorders>
                    <w:tl2br w:val="nil"/>
                    <w:tr2bl w:val="nil"/>
                  </w:tcBorders>
                  <w:noWrap w:val="0"/>
                  <w:vAlign w:val="center"/>
                </w:tcPr>
                <w:p w14:paraId="04916ED9">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3C49EB34">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7</w:t>
                  </w:r>
                </w:p>
              </w:tc>
              <w:tc>
                <w:tcPr>
                  <w:tcW w:w="298" w:type="pct"/>
                  <w:tcBorders>
                    <w:tl2br w:val="nil"/>
                    <w:tr2bl w:val="nil"/>
                  </w:tcBorders>
                  <w:noWrap w:val="0"/>
                  <w:vAlign w:val="center"/>
                </w:tcPr>
                <w:p w14:paraId="58DB4BC8">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66.1</w:t>
                  </w:r>
                </w:p>
              </w:tc>
              <w:tc>
                <w:tcPr>
                  <w:tcW w:w="305" w:type="pct"/>
                  <w:vMerge w:val="continue"/>
                  <w:tcBorders>
                    <w:tl2br w:val="nil"/>
                    <w:tr2bl w:val="nil"/>
                  </w:tcBorders>
                  <w:noWrap w:val="0"/>
                  <w:vAlign w:val="center"/>
                </w:tcPr>
                <w:p w14:paraId="2C757DB4">
                  <w:pPr>
                    <w:spacing w:before="60"/>
                    <w:ind w:left="-63" w:leftChars="-30" w:right="-63" w:rightChars="-30"/>
                    <w:jc w:val="center"/>
                    <w:rPr>
                      <w:rFonts w:hint="default"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14E91AED">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10</w:t>
                  </w:r>
                </w:p>
              </w:tc>
              <w:tc>
                <w:tcPr>
                  <w:tcW w:w="350" w:type="pct"/>
                  <w:tcBorders>
                    <w:tl2br w:val="nil"/>
                    <w:tr2bl w:val="nil"/>
                  </w:tcBorders>
                  <w:noWrap w:val="0"/>
                  <w:vAlign w:val="center"/>
                </w:tcPr>
                <w:p w14:paraId="7623A7CD">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56.1</w:t>
                  </w:r>
                </w:p>
              </w:tc>
              <w:tc>
                <w:tcPr>
                  <w:tcW w:w="265" w:type="pct"/>
                  <w:tcBorders>
                    <w:tl2br w:val="nil"/>
                    <w:tr2bl w:val="nil"/>
                  </w:tcBorders>
                  <w:noWrap w:val="0"/>
                  <w:vAlign w:val="center"/>
                </w:tcPr>
                <w:p w14:paraId="13766D10">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1</w:t>
                  </w:r>
                </w:p>
              </w:tc>
            </w:tr>
            <w:tr w14:paraId="2056E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46" w:type="pct"/>
                  <w:vMerge w:val="continue"/>
                  <w:tcBorders>
                    <w:tl2br w:val="nil"/>
                    <w:tr2bl w:val="nil"/>
                  </w:tcBorders>
                  <w:noWrap/>
                  <w:vAlign w:val="center"/>
                </w:tcPr>
                <w:p w14:paraId="5A21DB09">
                  <w:pPr>
                    <w:spacing w:before="60"/>
                    <w:ind w:left="-63" w:leftChars="-30" w:right="-63" w:rightChars="-30"/>
                    <w:jc w:val="center"/>
                    <w:rPr>
                      <w:rFonts w:hint="eastAsia" w:ascii="Times New Roman" w:hAnsi="Times New Roman" w:eastAsia="宋体"/>
                      <w:color w:val="auto"/>
                      <w:sz w:val="18"/>
                      <w:szCs w:val="18"/>
                      <w:lang w:eastAsia="zh-CN"/>
                    </w:rPr>
                  </w:pPr>
                </w:p>
              </w:tc>
              <w:tc>
                <w:tcPr>
                  <w:tcW w:w="280" w:type="pct"/>
                  <w:tcBorders>
                    <w:tl2br w:val="nil"/>
                    <w:tr2bl w:val="nil"/>
                  </w:tcBorders>
                  <w:noWrap w:val="0"/>
                  <w:vAlign w:val="center"/>
                </w:tcPr>
                <w:p w14:paraId="1CFFB703">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74B3A859">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液压金属打包机</w:t>
                  </w:r>
                </w:p>
              </w:tc>
              <w:tc>
                <w:tcPr>
                  <w:tcW w:w="359" w:type="pct"/>
                  <w:tcBorders>
                    <w:tl2br w:val="nil"/>
                    <w:tr2bl w:val="nil"/>
                  </w:tcBorders>
                  <w:noWrap w:val="0"/>
                  <w:vAlign w:val="center"/>
                </w:tcPr>
                <w:p w14:paraId="730BC1ED">
                  <w:pPr>
                    <w:jc w:val="center"/>
                    <w:rPr>
                      <w:rFonts w:hint="default"/>
                      <w:color w:val="auto"/>
                      <w:sz w:val="18"/>
                      <w:szCs w:val="18"/>
                      <w:lang w:val="en-US" w:eastAsia="zh-CN"/>
                    </w:rPr>
                  </w:pPr>
                  <w:r>
                    <w:rPr>
                      <w:rFonts w:hint="eastAsia"/>
                      <w:color w:val="auto"/>
                      <w:sz w:val="18"/>
                      <w:szCs w:val="18"/>
                      <w:lang w:val="en-US" w:eastAsia="zh-CN"/>
                    </w:rPr>
                    <w:t>1</w:t>
                  </w:r>
                </w:p>
              </w:tc>
              <w:tc>
                <w:tcPr>
                  <w:tcW w:w="477" w:type="pct"/>
                  <w:tcBorders>
                    <w:tl2br w:val="nil"/>
                    <w:tr2bl w:val="nil"/>
                  </w:tcBorders>
                  <w:noWrap w:val="0"/>
                  <w:vAlign w:val="center"/>
                </w:tcPr>
                <w:p w14:paraId="4060BEC9">
                  <w:pPr>
                    <w:widowControl/>
                    <w:jc w:val="center"/>
                    <w:textAlignment w:val="center"/>
                    <w:rPr>
                      <w:rFonts w:hint="default"/>
                      <w:color w:val="auto"/>
                      <w:sz w:val="18"/>
                      <w:szCs w:val="18"/>
                      <w:lang w:val="en-US" w:eastAsia="zh-CN"/>
                    </w:rPr>
                  </w:pPr>
                  <w:r>
                    <w:rPr>
                      <w:rFonts w:hint="eastAsia"/>
                      <w:color w:val="auto"/>
                      <w:sz w:val="18"/>
                      <w:szCs w:val="18"/>
                      <w:lang w:val="en-US" w:eastAsia="zh-CN"/>
                    </w:rPr>
                    <w:t>80</w:t>
                  </w:r>
                </w:p>
              </w:tc>
              <w:tc>
                <w:tcPr>
                  <w:tcW w:w="241" w:type="pct"/>
                  <w:vMerge w:val="continue"/>
                  <w:tcBorders>
                    <w:tl2br w:val="nil"/>
                    <w:tr2bl w:val="nil"/>
                  </w:tcBorders>
                  <w:noWrap w:val="0"/>
                  <w:vAlign w:val="center"/>
                </w:tcPr>
                <w:p w14:paraId="71DE4545">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42ED5DD3">
                  <w:pPr>
                    <w:jc w:val="center"/>
                    <w:rPr>
                      <w:rFonts w:hint="default"/>
                      <w:color w:val="auto"/>
                      <w:sz w:val="18"/>
                      <w:szCs w:val="18"/>
                      <w:lang w:val="en-US" w:eastAsia="zh-CN"/>
                    </w:rPr>
                  </w:pPr>
                  <w:r>
                    <w:rPr>
                      <w:rFonts w:hint="eastAsia"/>
                      <w:color w:val="auto"/>
                      <w:sz w:val="18"/>
                      <w:szCs w:val="18"/>
                      <w:lang w:val="en-US" w:eastAsia="zh-CN"/>
                    </w:rPr>
                    <w:t>88</w:t>
                  </w:r>
                </w:p>
              </w:tc>
              <w:tc>
                <w:tcPr>
                  <w:tcW w:w="303" w:type="pct"/>
                  <w:tcBorders>
                    <w:tl2br w:val="nil"/>
                    <w:tr2bl w:val="nil"/>
                  </w:tcBorders>
                  <w:noWrap w:val="0"/>
                  <w:vAlign w:val="center"/>
                </w:tcPr>
                <w:p w14:paraId="50BB185C">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85</w:t>
                  </w:r>
                </w:p>
              </w:tc>
              <w:tc>
                <w:tcPr>
                  <w:tcW w:w="197" w:type="pct"/>
                  <w:tcBorders>
                    <w:tl2br w:val="nil"/>
                    <w:tr2bl w:val="nil"/>
                  </w:tcBorders>
                  <w:noWrap w:val="0"/>
                  <w:vAlign w:val="center"/>
                </w:tcPr>
                <w:p w14:paraId="25266D2F">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1B0D0438">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5</w:t>
                  </w:r>
                </w:p>
              </w:tc>
              <w:tc>
                <w:tcPr>
                  <w:tcW w:w="298" w:type="pct"/>
                  <w:tcBorders>
                    <w:tl2br w:val="nil"/>
                    <w:tr2bl w:val="nil"/>
                  </w:tcBorders>
                  <w:noWrap w:val="0"/>
                  <w:vAlign w:val="center"/>
                </w:tcPr>
                <w:p w14:paraId="4EF72E6C">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66.0</w:t>
                  </w:r>
                </w:p>
              </w:tc>
              <w:tc>
                <w:tcPr>
                  <w:tcW w:w="305" w:type="pct"/>
                  <w:vMerge w:val="continue"/>
                  <w:tcBorders>
                    <w:tl2br w:val="nil"/>
                    <w:tr2bl w:val="nil"/>
                  </w:tcBorders>
                  <w:noWrap w:val="0"/>
                  <w:vAlign w:val="center"/>
                </w:tcPr>
                <w:p w14:paraId="6DB799ED">
                  <w:pPr>
                    <w:spacing w:before="60"/>
                    <w:ind w:left="-63" w:leftChars="-30" w:right="-63" w:rightChars="-30"/>
                    <w:jc w:val="center"/>
                    <w:rPr>
                      <w:rFonts w:hint="default"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12303E08">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10</w:t>
                  </w:r>
                </w:p>
              </w:tc>
              <w:tc>
                <w:tcPr>
                  <w:tcW w:w="350" w:type="pct"/>
                  <w:tcBorders>
                    <w:tl2br w:val="nil"/>
                    <w:tr2bl w:val="nil"/>
                  </w:tcBorders>
                  <w:noWrap w:val="0"/>
                  <w:vAlign w:val="center"/>
                </w:tcPr>
                <w:p w14:paraId="7747BEF6">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56.0</w:t>
                  </w:r>
                </w:p>
              </w:tc>
              <w:tc>
                <w:tcPr>
                  <w:tcW w:w="265" w:type="pct"/>
                  <w:tcBorders>
                    <w:tl2br w:val="nil"/>
                    <w:tr2bl w:val="nil"/>
                  </w:tcBorders>
                  <w:noWrap w:val="0"/>
                  <w:vAlign w:val="center"/>
                </w:tcPr>
                <w:p w14:paraId="3DC5F66F">
                  <w:pPr>
                    <w:spacing w:before="60"/>
                    <w:ind w:left="-63" w:leftChars="-30" w:right="-63" w:rightChars="-30"/>
                    <w:jc w:val="center"/>
                    <w:rPr>
                      <w:rFonts w:hint="default"/>
                      <w:color w:val="auto"/>
                      <w:sz w:val="18"/>
                      <w:szCs w:val="18"/>
                      <w:lang w:val="en-US" w:eastAsia="zh-CN"/>
                    </w:rPr>
                  </w:pPr>
                  <w:r>
                    <w:rPr>
                      <w:rFonts w:hint="eastAsia"/>
                      <w:color w:val="auto"/>
                      <w:sz w:val="18"/>
                      <w:szCs w:val="18"/>
                      <w:lang w:val="en-US" w:eastAsia="zh-CN"/>
                    </w:rPr>
                    <w:t>1</w:t>
                  </w:r>
                </w:p>
              </w:tc>
            </w:tr>
            <w:tr w14:paraId="350A2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46" w:type="pct"/>
                  <w:vMerge w:val="restart"/>
                  <w:tcBorders>
                    <w:tl2br w:val="nil"/>
                    <w:tr2bl w:val="nil"/>
                  </w:tcBorders>
                  <w:noWrap/>
                  <w:vAlign w:val="center"/>
                </w:tcPr>
                <w:p w14:paraId="356AE005">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废电机拆解车间</w:t>
                  </w:r>
                </w:p>
              </w:tc>
              <w:tc>
                <w:tcPr>
                  <w:tcW w:w="280" w:type="pct"/>
                  <w:tcBorders>
                    <w:tl2br w:val="nil"/>
                    <w:tr2bl w:val="nil"/>
                  </w:tcBorders>
                  <w:noWrap w:val="0"/>
                  <w:vAlign w:val="center"/>
                </w:tcPr>
                <w:p w14:paraId="782448C6">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2924829C">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等离子切割机</w:t>
                  </w:r>
                </w:p>
              </w:tc>
              <w:tc>
                <w:tcPr>
                  <w:tcW w:w="359" w:type="pct"/>
                  <w:tcBorders>
                    <w:tl2br w:val="nil"/>
                    <w:tr2bl w:val="nil"/>
                  </w:tcBorders>
                  <w:noWrap w:val="0"/>
                  <w:vAlign w:val="center"/>
                </w:tcPr>
                <w:p w14:paraId="637F03E7">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c>
                <w:tcPr>
                  <w:tcW w:w="477" w:type="pct"/>
                  <w:tcBorders>
                    <w:tl2br w:val="nil"/>
                    <w:tr2bl w:val="nil"/>
                  </w:tcBorders>
                  <w:noWrap w:val="0"/>
                  <w:vAlign w:val="center"/>
                </w:tcPr>
                <w:p w14:paraId="2ED1E4B2">
                  <w:pPr>
                    <w:widowControl/>
                    <w:jc w:val="center"/>
                    <w:textAlignment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85</w:t>
                  </w:r>
                </w:p>
              </w:tc>
              <w:tc>
                <w:tcPr>
                  <w:tcW w:w="241" w:type="pct"/>
                  <w:vMerge w:val="continue"/>
                  <w:tcBorders>
                    <w:tl2br w:val="nil"/>
                    <w:tr2bl w:val="nil"/>
                  </w:tcBorders>
                  <w:noWrap w:val="0"/>
                  <w:vAlign w:val="center"/>
                </w:tcPr>
                <w:p w14:paraId="25632252">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1CB91DB3">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46</w:t>
                  </w:r>
                </w:p>
              </w:tc>
              <w:tc>
                <w:tcPr>
                  <w:tcW w:w="303" w:type="pct"/>
                  <w:tcBorders>
                    <w:tl2br w:val="nil"/>
                    <w:tr2bl w:val="nil"/>
                  </w:tcBorders>
                  <w:noWrap w:val="0"/>
                  <w:vAlign w:val="center"/>
                </w:tcPr>
                <w:p w14:paraId="7D8F20F2">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85</w:t>
                  </w:r>
                </w:p>
              </w:tc>
              <w:tc>
                <w:tcPr>
                  <w:tcW w:w="197" w:type="pct"/>
                  <w:tcBorders>
                    <w:tl2br w:val="nil"/>
                    <w:tr2bl w:val="nil"/>
                  </w:tcBorders>
                  <w:noWrap w:val="0"/>
                  <w:vAlign w:val="center"/>
                </w:tcPr>
                <w:p w14:paraId="1755ABA2">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rPr>
                    <w:t>1.2</w:t>
                  </w:r>
                </w:p>
              </w:tc>
              <w:tc>
                <w:tcPr>
                  <w:tcW w:w="201" w:type="pct"/>
                  <w:tcBorders>
                    <w:tl2br w:val="nil"/>
                    <w:tr2bl w:val="nil"/>
                  </w:tcBorders>
                  <w:noWrap w:val="0"/>
                  <w:vAlign w:val="center"/>
                </w:tcPr>
                <w:p w14:paraId="70F54E72">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w:t>
                  </w:r>
                </w:p>
              </w:tc>
              <w:tc>
                <w:tcPr>
                  <w:tcW w:w="298" w:type="pct"/>
                  <w:tcBorders>
                    <w:tl2br w:val="nil"/>
                    <w:tr2bl w:val="nil"/>
                  </w:tcBorders>
                  <w:noWrap w:val="0"/>
                  <w:vAlign w:val="center"/>
                </w:tcPr>
                <w:p w14:paraId="4D1057FA">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66.9</w:t>
                  </w:r>
                </w:p>
              </w:tc>
              <w:tc>
                <w:tcPr>
                  <w:tcW w:w="305" w:type="pct"/>
                  <w:vMerge w:val="continue"/>
                  <w:tcBorders>
                    <w:tl2br w:val="nil"/>
                    <w:tr2bl w:val="nil"/>
                  </w:tcBorders>
                  <w:noWrap w:val="0"/>
                  <w:vAlign w:val="center"/>
                </w:tcPr>
                <w:p w14:paraId="66944AE8">
                  <w:pPr>
                    <w:spacing w:before="60"/>
                    <w:ind w:left="-63" w:leftChars="-30" w:right="-63" w:rightChars="-30"/>
                    <w:jc w:val="center"/>
                    <w:rPr>
                      <w:rFonts w:hint="default" w:ascii="Times New Roman" w:hAnsi="Times New Roman" w:eastAsia="宋体"/>
                      <w:color w:val="auto"/>
                      <w:sz w:val="18"/>
                      <w:szCs w:val="18"/>
                      <w:lang w:val="en-US" w:eastAsia="zh-CN"/>
                    </w:rPr>
                  </w:pPr>
                </w:p>
              </w:tc>
              <w:tc>
                <w:tcPr>
                  <w:tcW w:w="306" w:type="pct"/>
                  <w:tcBorders>
                    <w:tl2br w:val="nil"/>
                    <w:tr2bl w:val="nil"/>
                  </w:tcBorders>
                  <w:noWrap w:val="0"/>
                  <w:vAlign w:val="center"/>
                </w:tcPr>
                <w:p w14:paraId="2068943B">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519E12FA">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56.9</w:t>
                  </w:r>
                </w:p>
              </w:tc>
              <w:tc>
                <w:tcPr>
                  <w:tcW w:w="265" w:type="pct"/>
                  <w:tcBorders>
                    <w:tl2br w:val="nil"/>
                    <w:tr2bl w:val="nil"/>
                  </w:tcBorders>
                  <w:noWrap w:val="0"/>
                  <w:vAlign w:val="center"/>
                </w:tcPr>
                <w:p w14:paraId="745E39DF">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r>
            <w:tr w14:paraId="20146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46" w:type="pct"/>
                  <w:vMerge w:val="continue"/>
                  <w:tcBorders>
                    <w:tl2br w:val="nil"/>
                    <w:tr2bl w:val="nil"/>
                  </w:tcBorders>
                  <w:noWrap/>
                  <w:vAlign w:val="center"/>
                </w:tcPr>
                <w:p w14:paraId="0B00B80F">
                  <w:pPr>
                    <w:spacing w:before="60"/>
                    <w:ind w:left="-63" w:leftChars="-30" w:right="-63" w:rightChars="-30"/>
                    <w:jc w:val="center"/>
                    <w:rPr>
                      <w:rFonts w:ascii="Times New Roman" w:hAnsi="Times New Roman" w:eastAsia="宋体"/>
                      <w:color w:val="auto"/>
                      <w:sz w:val="18"/>
                      <w:szCs w:val="18"/>
                    </w:rPr>
                  </w:pPr>
                </w:p>
              </w:tc>
              <w:tc>
                <w:tcPr>
                  <w:tcW w:w="280" w:type="pct"/>
                  <w:tcBorders>
                    <w:tl2br w:val="nil"/>
                    <w:tr2bl w:val="nil"/>
                  </w:tcBorders>
                  <w:noWrap w:val="0"/>
                  <w:vAlign w:val="center"/>
                </w:tcPr>
                <w:p w14:paraId="69E59B06">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3E410306">
                  <w:pPr>
                    <w:widowControl/>
                    <w:jc w:val="center"/>
                    <w:textAlignment w:val="center"/>
                    <w:rPr>
                      <w:rFonts w:hint="default" w:ascii="Times New Roman" w:hAnsi="Times New Roman" w:eastAsia="宋体"/>
                      <w:bCs/>
                      <w:color w:val="auto"/>
                      <w:sz w:val="18"/>
                      <w:szCs w:val="18"/>
                      <w:lang w:val="en-US" w:eastAsia="zh-CN"/>
                    </w:rPr>
                  </w:pPr>
                  <w:r>
                    <w:rPr>
                      <w:rFonts w:hint="eastAsia" w:ascii="Times New Roman" w:hAnsi="Times New Roman" w:eastAsia="宋体"/>
                      <w:bCs/>
                      <w:color w:val="auto"/>
                      <w:sz w:val="18"/>
                      <w:szCs w:val="18"/>
                      <w:lang w:val="en-US" w:eastAsia="zh-CN"/>
                    </w:rPr>
                    <w:t>电镐</w:t>
                  </w:r>
                </w:p>
              </w:tc>
              <w:tc>
                <w:tcPr>
                  <w:tcW w:w="359" w:type="pct"/>
                  <w:tcBorders>
                    <w:tl2br w:val="nil"/>
                    <w:tr2bl w:val="nil"/>
                  </w:tcBorders>
                  <w:noWrap w:val="0"/>
                  <w:vAlign w:val="center"/>
                </w:tcPr>
                <w:p w14:paraId="2284ADDE">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2</w:t>
                  </w:r>
                </w:p>
              </w:tc>
              <w:tc>
                <w:tcPr>
                  <w:tcW w:w="477" w:type="pct"/>
                  <w:tcBorders>
                    <w:tl2br w:val="nil"/>
                    <w:tr2bl w:val="nil"/>
                  </w:tcBorders>
                  <w:noWrap w:val="0"/>
                  <w:vAlign w:val="center"/>
                </w:tcPr>
                <w:p w14:paraId="0C530565">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83</w:t>
                  </w:r>
                </w:p>
              </w:tc>
              <w:tc>
                <w:tcPr>
                  <w:tcW w:w="241" w:type="pct"/>
                  <w:vMerge w:val="continue"/>
                  <w:tcBorders>
                    <w:tl2br w:val="nil"/>
                    <w:tr2bl w:val="nil"/>
                  </w:tcBorders>
                  <w:noWrap w:val="0"/>
                  <w:vAlign w:val="center"/>
                </w:tcPr>
                <w:p w14:paraId="336B978B">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399476FC">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48</w:t>
                  </w:r>
                </w:p>
              </w:tc>
              <w:tc>
                <w:tcPr>
                  <w:tcW w:w="303" w:type="pct"/>
                  <w:tcBorders>
                    <w:tl2br w:val="nil"/>
                    <w:tr2bl w:val="nil"/>
                  </w:tcBorders>
                  <w:noWrap w:val="0"/>
                  <w:vAlign w:val="center"/>
                </w:tcPr>
                <w:p w14:paraId="7080FF11">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80</w:t>
                  </w:r>
                </w:p>
              </w:tc>
              <w:tc>
                <w:tcPr>
                  <w:tcW w:w="197" w:type="pct"/>
                  <w:tcBorders>
                    <w:tl2br w:val="nil"/>
                    <w:tr2bl w:val="nil"/>
                  </w:tcBorders>
                  <w:noWrap w:val="0"/>
                  <w:vAlign w:val="center"/>
                </w:tcPr>
                <w:p w14:paraId="5D55BE27">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10</w:t>
                  </w:r>
                </w:p>
              </w:tc>
              <w:tc>
                <w:tcPr>
                  <w:tcW w:w="201" w:type="pct"/>
                  <w:tcBorders>
                    <w:tl2br w:val="nil"/>
                    <w:tr2bl w:val="nil"/>
                  </w:tcBorders>
                  <w:noWrap w:val="0"/>
                  <w:vAlign w:val="center"/>
                </w:tcPr>
                <w:p w14:paraId="58201C08">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w:t>
                  </w:r>
                </w:p>
              </w:tc>
              <w:tc>
                <w:tcPr>
                  <w:tcW w:w="298" w:type="pct"/>
                  <w:tcBorders>
                    <w:tl2br w:val="nil"/>
                    <w:tr2bl w:val="nil"/>
                  </w:tcBorders>
                  <w:noWrap w:val="0"/>
                  <w:vAlign w:val="center"/>
                </w:tcPr>
                <w:p w14:paraId="4C516890">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66.1</w:t>
                  </w:r>
                </w:p>
              </w:tc>
              <w:tc>
                <w:tcPr>
                  <w:tcW w:w="305" w:type="pct"/>
                  <w:vMerge w:val="continue"/>
                  <w:tcBorders>
                    <w:tl2br w:val="nil"/>
                    <w:tr2bl w:val="nil"/>
                  </w:tcBorders>
                  <w:noWrap w:val="0"/>
                  <w:vAlign w:val="center"/>
                </w:tcPr>
                <w:p w14:paraId="7AAB4BA4">
                  <w:pPr>
                    <w:spacing w:before="60"/>
                    <w:ind w:left="-63" w:leftChars="-30" w:right="-63" w:rightChars="-30"/>
                    <w:jc w:val="center"/>
                    <w:rPr>
                      <w:rFonts w:hint="default" w:ascii="Times New Roman" w:hAnsi="Times New Roman" w:eastAsia="宋体"/>
                      <w:color w:val="auto"/>
                      <w:sz w:val="18"/>
                      <w:szCs w:val="18"/>
                      <w:lang w:val="en-US"/>
                    </w:rPr>
                  </w:pPr>
                </w:p>
              </w:tc>
              <w:tc>
                <w:tcPr>
                  <w:tcW w:w="306" w:type="pct"/>
                  <w:tcBorders>
                    <w:tl2br w:val="nil"/>
                    <w:tr2bl w:val="nil"/>
                  </w:tcBorders>
                  <w:noWrap w:val="0"/>
                  <w:vAlign w:val="center"/>
                </w:tcPr>
                <w:p w14:paraId="496232A0">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1260B60F">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56.1</w:t>
                  </w:r>
                </w:p>
              </w:tc>
              <w:tc>
                <w:tcPr>
                  <w:tcW w:w="265" w:type="pct"/>
                  <w:tcBorders>
                    <w:tl2br w:val="nil"/>
                    <w:tr2bl w:val="nil"/>
                  </w:tcBorders>
                  <w:noWrap w:val="0"/>
                  <w:vAlign w:val="center"/>
                </w:tcPr>
                <w:p w14:paraId="3DD7E16D">
                  <w:pPr>
                    <w:spacing w:before="60"/>
                    <w:ind w:left="-63" w:leftChars="-30" w:right="-63" w:rightChars="-30"/>
                    <w:jc w:val="center"/>
                    <w:rPr>
                      <w:rFonts w:ascii="Times New Roman" w:hAnsi="Times New Roman" w:eastAsia="宋体"/>
                      <w:color w:val="auto"/>
                      <w:sz w:val="18"/>
                      <w:szCs w:val="18"/>
                    </w:rPr>
                  </w:pPr>
                  <w:r>
                    <w:rPr>
                      <w:rFonts w:hint="eastAsia" w:ascii="Times New Roman" w:hAnsi="Times New Roman" w:eastAsia="宋体"/>
                      <w:color w:val="auto"/>
                      <w:sz w:val="18"/>
                      <w:szCs w:val="18"/>
                    </w:rPr>
                    <w:t>1</w:t>
                  </w:r>
                </w:p>
              </w:tc>
            </w:tr>
            <w:tr w14:paraId="3CB09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46" w:type="pct"/>
                  <w:vMerge w:val="restart"/>
                  <w:tcBorders>
                    <w:tl2br w:val="nil"/>
                    <w:tr2bl w:val="nil"/>
                  </w:tcBorders>
                  <w:noWrap/>
                  <w:vAlign w:val="center"/>
                </w:tcPr>
                <w:p w14:paraId="030C284D">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废变压器拆解车间</w:t>
                  </w:r>
                </w:p>
              </w:tc>
              <w:tc>
                <w:tcPr>
                  <w:tcW w:w="280" w:type="pct"/>
                  <w:tcBorders>
                    <w:tl2br w:val="nil"/>
                    <w:tr2bl w:val="nil"/>
                  </w:tcBorders>
                  <w:noWrap w:val="0"/>
                  <w:vAlign w:val="center"/>
                </w:tcPr>
                <w:p w14:paraId="7114757E">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1183A145">
                  <w:pPr>
                    <w:widowControl/>
                    <w:jc w:val="center"/>
                    <w:textAlignment w:val="center"/>
                    <w:rPr>
                      <w:rFonts w:hint="default" w:ascii="Times New Roman" w:hAnsi="Times New Roman" w:eastAsia="宋体"/>
                      <w:bCs/>
                      <w:color w:val="auto"/>
                      <w:sz w:val="18"/>
                      <w:szCs w:val="18"/>
                      <w:lang w:val="en-US" w:eastAsia="zh-CN"/>
                    </w:rPr>
                  </w:pPr>
                  <w:r>
                    <w:rPr>
                      <w:rFonts w:hint="eastAsia" w:ascii="Times New Roman" w:hAnsi="Times New Roman" w:eastAsia="宋体"/>
                      <w:bCs/>
                      <w:color w:val="auto"/>
                      <w:sz w:val="18"/>
                      <w:szCs w:val="18"/>
                      <w:lang w:val="en-US" w:eastAsia="zh-CN"/>
                    </w:rPr>
                    <w:t>等离子切割机</w:t>
                  </w:r>
                </w:p>
              </w:tc>
              <w:tc>
                <w:tcPr>
                  <w:tcW w:w="359" w:type="pct"/>
                  <w:tcBorders>
                    <w:tl2br w:val="nil"/>
                    <w:tr2bl w:val="nil"/>
                  </w:tcBorders>
                  <w:noWrap w:val="0"/>
                  <w:vAlign w:val="center"/>
                </w:tcPr>
                <w:p w14:paraId="1DC325B2">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c>
                <w:tcPr>
                  <w:tcW w:w="477" w:type="pct"/>
                  <w:tcBorders>
                    <w:tl2br w:val="nil"/>
                    <w:tr2bl w:val="nil"/>
                  </w:tcBorders>
                  <w:noWrap w:val="0"/>
                  <w:vAlign w:val="center"/>
                </w:tcPr>
                <w:p w14:paraId="6FDA1C5D">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85</w:t>
                  </w:r>
                </w:p>
              </w:tc>
              <w:tc>
                <w:tcPr>
                  <w:tcW w:w="241" w:type="pct"/>
                  <w:vMerge w:val="continue"/>
                  <w:tcBorders>
                    <w:tl2br w:val="nil"/>
                    <w:tr2bl w:val="nil"/>
                  </w:tcBorders>
                  <w:noWrap w:val="0"/>
                  <w:vAlign w:val="center"/>
                </w:tcPr>
                <w:p w14:paraId="5912B638">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7B80D210">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119</w:t>
                  </w:r>
                </w:p>
              </w:tc>
              <w:tc>
                <w:tcPr>
                  <w:tcW w:w="303" w:type="pct"/>
                  <w:tcBorders>
                    <w:tl2br w:val="nil"/>
                    <w:tr2bl w:val="nil"/>
                  </w:tcBorders>
                  <w:noWrap w:val="0"/>
                  <w:vAlign w:val="center"/>
                </w:tcPr>
                <w:p w14:paraId="621B259E">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110</w:t>
                  </w:r>
                </w:p>
              </w:tc>
              <w:tc>
                <w:tcPr>
                  <w:tcW w:w="197" w:type="pct"/>
                  <w:tcBorders>
                    <w:tl2br w:val="nil"/>
                    <w:tr2bl w:val="nil"/>
                  </w:tcBorders>
                  <w:noWrap w:val="0"/>
                  <w:vAlign w:val="center"/>
                </w:tcPr>
                <w:p w14:paraId="55E8075E">
                  <w:pPr>
                    <w:spacing w:before="60"/>
                    <w:ind w:left="-63" w:leftChars="-30" w:right="-63" w:rightChars="-30"/>
                    <w:jc w:val="center"/>
                    <w:rPr>
                      <w:rFonts w:ascii="Times New Roman" w:hAnsi="Times New Roman" w:eastAsia="宋体"/>
                      <w:color w:val="auto"/>
                      <w:sz w:val="18"/>
                      <w:szCs w:val="18"/>
                    </w:rPr>
                  </w:pPr>
                  <w:r>
                    <w:rPr>
                      <w:rFonts w:hint="eastAsia" w:ascii="Times New Roman" w:hAnsi="Times New Roman" w:eastAsia="宋体"/>
                      <w:color w:val="auto"/>
                      <w:sz w:val="18"/>
                      <w:szCs w:val="18"/>
                    </w:rPr>
                    <w:t>1.2</w:t>
                  </w:r>
                </w:p>
              </w:tc>
              <w:tc>
                <w:tcPr>
                  <w:tcW w:w="201" w:type="pct"/>
                  <w:tcBorders>
                    <w:tl2br w:val="nil"/>
                    <w:tr2bl w:val="nil"/>
                  </w:tcBorders>
                  <w:noWrap w:val="0"/>
                  <w:vAlign w:val="center"/>
                </w:tcPr>
                <w:p w14:paraId="68F8A08C">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w:t>
                  </w:r>
                </w:p>
              </w:tc>
              <w:tc>
                <w:tcPr>
                  <w:tcW w:w="298" w:type="pct"/>
                  <w:tcBorders>
                    <w:tl2br w:val="nil"/>
                    <w:tr2bl w:val="nil"/>
                  </w:tcBorders>
                  <w:noWrap w:val="0"/>
                  <w:vAlign w:val="center"/>
                </w:tcPr>
                <w:p w14:paraId="386EB0F9">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68.1</w:t>
                  </w:r>
                </w:p>
              </w:tc>
              <w:tc>
                <w:tcPr>
                  <w:tcW w:w="305" w:type="pct"/>
                  <w:vMerge w:val="continue"/>
                  <w:tcBorders>
                    <w:tl2br w:val="nil"/>
                    <w:tr2bl w:val="nil"/>
                  </w:tcBorders>
                  <w:noWrap w:val="0"/>
                  <w:vAlign w:val="center"/>
                </w:tcPr>
                <w:p w14:paraId="7743DE12">
                  <w:pPr>
                    <w:spacing w:before="60"/>
                    <w:ind w:left="-63" w:leftChars="-30" w:right="-63" w:rightChars="-30"/>
                    <w:jc w:val="center"/>
                    <w:rPr>
                      <w:rFonts w:hint="default" w:ascii="Times New Roman" w:hAnsi="Times New Roman" w:eastAsia="宋体"/>
                      <w:color w:val="auto"/>
                      <w:sz w:val="18"/>
                      <w:szCs w:val="18"/>
                      <w:lang w:val="en-US"/>
                    </w:rPr>
                  </w:pPr>
                </w:p>
              </w:tc>
              <w:tc>
                <w:tcPr>
                  <w:tcW w:w="306" w:type="pct"/>
                  <w:tcBorders>
                    <w:tl2br w:val="nil"/>
                    <w:tr2bl w:val="nil"/>
                  </w:tcBorders>
                  <w:noWrap w:val="0"/>
                  <w:vAlign w:val="center"/>
                </w:tcPr>
                <w:p w14:paraId="68BBBC87">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13506E8A">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58.1</w:t>
                  </w:r>
                </w:p>
              </w:tc>
              <w:tc>
                <w:tcPr>
                  <w:tcW w:w="265" w:type="pct"/>
                  <w:tcBorders>
                    <w:tl2br w:val="nil"/>
                    <w:tr2bl w:val="nil"/>
                  </w:tcBorders>
                  <w:noWrap w:val="0"/>
                  <w:vAlign w:val="center"/>
                </w:tcPr>
                <w:p w14:paraId="6CFF1571">
                  <w:pPr>
                    <w:spacing w:before="60"/>
                    <w:ind w:left="-63" w:leftChars="-30" w:right="-63" w:rightChars="-30"/>
                    <w:jc w:val="center"/>
                    <w:rPr>
                      <w:rFonts w:ascii="Times New Roman" w:hAnsi="Times New Roman" w:eastAsia="宋体"/>
                      <w:color w:val="auto"/>
                      <w:sz w:val="18"/>
                      <w:szCs w:val="18"/>
                    </w:rPr>
                  </w:pPr>
                  <w:r>
                    <w:rPr>
                      <w:rFonts w:hint="eastAsia" w:ascii="Times New Roman" w:hAnsi="Times New Roman" w:eastAsia="宋体"/>
                      <w:color w:val="auto"/>
                      <w:sz w:val="18"/>
                      <w:szCs w:val="18"/>
                    </w:rPr>
                    <w:t>1</w:t>
                  </w:r>
                </w:p>
              </w:tc>
            </w:tr>
            <w:tr w14:paraId="3D998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46" w:type="pct"/>
                  <w:vMerge w:val="continue"/>
                  <w:tcBorders>
                    <w:tl2br w:val="nil"/>
                    <w:tr2bl w:val="nil"/>
                  </w:tcBorders>
                  <w:noWrap/>
                  <w:vAlign w:val="center"/>
                </w:tcPr>
                <w:p w14:paraId="4BA6C636">
                  <w:pPr>
                    <w:spacing w:before="60"/>
                    <w:ind w:left="-63" w:leftChars="-30" w:right="-63" w:rightChars="-30"/>
                    <w:jc w:val="center"/>
                    <w:rPr>
                      <w:rFonts w:hint="eastAsia" w:ascii="Times New Roman" w:hAnsi="Times New Roman" w:eastAsia="宋体"/>
                      <w:color w:val="auto"/>
                      <w:sz w:val="18"/>
                      <w:szCs w:val="18"/>
                      <w:lang w:val="en-US" w:eastAsia="zh-CN"/>
                    </w:rPr>
                  </w:pPr>
                </w:p>
              </w:tc>
              <w:tc>
                <w:tcPr>
                  <w:tcW w:w="280" w:type="pct"/>
                  <w:tcBorders>
                    <w:tl2br w:val="nil"/>
                    <w:tr2bl w:val="nil"/>
                  </w:tcBorders>
                  <w:noWrap w:val="0"/>
                  <w:vAlign w:val="center"/>
                </w:tcPr>
                <w:p w14:paraId="7205FE61">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490F66A8">
                  <w:pPr>
                    <w:widowControl/>
                    <w:jc w:val="center"/>
                    <w:textAlignment w:val="center"/>
                    <w:rPr>
                      <w:rFonts w:hint="default" w:ascii="Times New Roman" w:hAnsi="Times New Roman" w:eastAsia="宋体"/>
                      <w:bCs/>
                      <w:color w:val="auto"/>
                      <w:sz w:val="18"/>
                      <w:szCs w:val="18"/>
                      <w:lang w:val="en-US" w:eastAsia="zh-CN"/>
                    </w:rPr>
                  </w:pPr>
                  <w:r>
                    <w:rPr>
                      <w:rFonts w:hint="eastAsia" w:ascii="Times New Roman" w:hAnsi="Times New Roman" w:eastAsia="宋体"/>
                      <w:bCs/>
                      <w:color w:val="auto"/>
                      <w:sz w:val="18"/>
                      <w:szCs w:val="18"/>
                      <w:lang w:val="en-US" w:eastAsia="zh-CN"/>
                    </w:rPr>
                    <w:t>抽接油机</w:t>
                  </w:r>
                </w:p>
              </w:tc>
              <w:tc>
                <w:tcPr>
                  <w:tcW w:w="359" w:type="pct"/>
                  <w:tcBorders>
                    <w:tl2br w:val="nil"/>
                    <w:tr2bl w:val="nil"/>
                  </w:tcBorders>
                  <w:noWrap w:val="0"/>
                  <w:vAlign w:val="center"/>
                </w:tcPr>
                <w:p w14:paraId="50AFFAA1">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c>
                <w:tcPr>
                  <w:tcW w:w="477" w:type="pct"/>
                  <w:tcBorders>
                    <w:tl2br w:val="nil"/>
                    <w:tr2bl w:val="nil"/>
                  </w:tcBorders>
                  <w:noWrap w:val="0"/>
                  <w:vAlign w:val="center"/>
                </w:tcPr>
                <w:p w14:paraId="64893E38">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80</w:t>
                  </w:r>
                </w:p>
              </w:tc>
              <w:tc>
                <w:tcPr>
                  <w:tcW w:w="241" w:type="pct"/>
                  <w:vMerge w:val="continue"/>
                  <w:tcBorders>
                    <w:tl2br w:val="nil"/>
                    <w:tr2bl w:val="nil"/>
                  </w:tcBorders>
                  <w:noWrap w:val="0"/>
                  <w:vAlign w:val="center"/>
                </w:tcPr>
                <w:p w14:paraId="51096028">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52D7CB1D">
                  <w:pPr>
                    <w:jc w:val="center"/>
                    <w:rPr>
                      <w:rFonts w:hint="default"/>
                      <w:color w:val="auto"/>
                      <w:sz w:val="18"/>
                      <w:szCs w:val="18"/>
                      <w:lang w:val="en-US" w:eastAsia="zh-CN"/>
                    </w:rPr>
                  </w:pPr>
                  <w:r>
                    <w:rPr>
                      <w:rFonts w:hint="eastAsia"/>
                      <w:color w:val="auto"/>
                      <w:sz w:val="18"/>
                      <w:szCs w:val="18"/>
                      <w:lang w:val="en-US" w:eastAsia="zh-CN"/>
                    </w:rPr>
                    <w:t>140</w:t>
                  </w:r>
                </w:p>
              </w:tc>
              <w:tc>
                <w:tcPr>
                  <w:tcW w:w="303" w:type="pct"/>
                  <w:tcBorders>
                    <w:tl2br w:val="nil"/>
                    <w:tr2bl w:val="nil"/>
                  </w:tcBorders>
                  <w:noWrap w:val="0"/>
                  <w:vAlign w:val="center"/>
                </w:tcPr>
                <w:p w14:paraId="4D25BEED">
                  <w:pPr>
                    <w:jc w:val="center"/>
                    <w:rPr>
                      <w:rFonts w:hint="default"/>
                      <w:color w:val="auto"/>
                      <w:sz w:val="18"/>
                      <w:szCs w:val="18"/>
                      <w:lang w:val="en-US" w:eastAsia="zh-CN"/>
                    </w:rPr>
                  </w:pPr>
                  <w:r>
                    <w:rPr>
                      <w:rFonts w:hint="eastAsia"/>
                      <w:color w:val="auto"/>
                      <w:sz w:val="18"/>
                      <w:szCs w:val="18"/>
                      <w:lang w:val="en-US" w:eastAsia="zh-CN"/>
                    </w:rPr>
                    <w:t>96</w:t>
                  </w:r>
                </w:p>
              </w:tc>
              <w:tc>
                <w:tcPr>
                  <w:tcW w:w="197" w:type="pct"/>
                  <w:tcBorders>
                    <w:tl2br w:val="nil"/>
                    <w:tr2bl w:val="nil"/>
                  </w:tcBorders>
                  <w:noWrap w:val="0"/>
                  <w:vAlign w:val="center"/>
                </w:tcPr>
                <w:p w14:paraId="417628BB">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1C0085F4">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w:t>
                  </w:r>
                </w:p>
              </w:tc>
              <w:tc>
                <w:tcPr>
                  <w:tcW w:w="298" w:type="pct"/>
                  <w:tcBorders>
                    <w:tl2br w:val="nil"/>
                    <w:tr2bl w:val="nil"/>
                  </w:tcBorders>
                  <w:noWrap w:val="0"/>
                  <w:vAlign w:val="center"/>
                </w:tcPr>
                <w:p w14:paraId="4CBB51E0">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66.0</w:t>
                  </w:r>
                </w:p>
              </w:tc>
              <w:tc>
                <w:tcPr>
                  <w:tcW w:w="305" w:type="pct"/>
                  <w:vMerge w:val="continue"/>
                  <w:tcBorders>
                    <w:tl2br w:val="nil"/>
                    <w:tr2bl w:val="nil"/>
                  </w:tcBorders>
                  <w:noWrap w:val="0"/>
                  <w:vAlign w:val="center"/>
                </w:tcPr>
                <w:p w14:paraId="02AC17D3">
                  <w:pPr>
                    <w:spacing w:before="60"/>
                    <w:ind w:left="-63" w:leftChars="-30" w:right="-63" w:rightChars="-30"/>
                    <w:jc w:val="center"/>
                    <w:rPr>
                      <w:rFonts w:hint="default" w:ascii="Times New Roman" w:hAnsi="Times New Roman" w:eastAsia="宋体"/>
                      <w:color w:val="auto"/>
                      <w:sz w:val="18"/>
                      <w:szCs w:val="18"/>
                      <w:lang w:val="en-US"/>
                    </w:rPr>
                  </w:pPr>
                </w:p>
              </w:tc>
              <w:tc>
                <w:tcPr>
                  <w:tcW w:w="306" w:type="pct"/>
                  <w:tcBorders>
                    <w:tl2br w:val="nil"/>
                    <w:tr2bl w:val="nil"/>
                  </w:tcBorders>
                  <w:noWrap w:val="0"/>
                  <w:vAlign w:val="center"/>
                </w:tcPr>
                <w:p w14:paraId="038C4F25">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6FC90315">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56.0</w:t>
                  </w:r>
                </w:p>
              </w:tc>
              <w:tc>
                <w:tcPr>
                  <w:tcW w:w="265" w:type="pct"/>
                  <w:tcBorders>
                    <w:tl2br w:val="nil"/>
                    <w:tr2bl w:val="nil"/>
                  </w:tcBorders>
                  <w:noWrap w:val="0"/>
                  <w:vAlign w:val="center"/>
                </w:tcPr>
                <w:p w14:paraId="43E2347F">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r>
            <w:tr w14:paraId="6E443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46" w:type="pct"/>
                  <w:vMerge w:val="continue"/>
                  <w:tcBorders>
                    <w:tl2br w:val="nil"/>
                    <w:tr2bl w:val="nil"/>
                  </w:tcBorders>
                  <w:noWrap/>
                  <w:vAlign w:val="center"/>
                </w:tcPr>
                <w:p w14:paraId="1103E1F7">
                  <w:pPr>
                    <w:spacing w:before="60"/>
                    <w:ind w:left="-63" w:leftChars="-30" w:right="-63" w:rightChars="-30"/>
                    <w:jc w:val="center"/>
                    <w:rPr>
                      <w:rFonts w:hint="eastAsia" w:ascii="Times New Roman" w:hAnsi="Times New Roman" w:eastAsia="宋体"/>
                      <w:color w:val="auto"/>
                      <w:sz w:val="18"/>
                      <w:szCs w:val="18"/>
                      <w:lang w:val="en-US" w:eastAsia="zh-CN"/>
                    </w:rPr>
                  </w:pPr>
                </w:p>
              </w:tc>
              <w:tc>
                <w:tcPr>
                  <w:tcW w:w="280" w:type="pct"/>
                  <w:tcBorders>
                    <w:tl2br w:val="nil"/>
                    <w:tr2bl w:val="nil"/>
                  </w:tcBorders>
                  <w:noWrap w:val="0"/>
                  <w:vAlign w:val="center"/>
                </w:tcPr>
                <w:p w14:paraId="76A106B4">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387BDA40">
                  <w:pPr>
                    <w:widowControl/>
                    <w:jc w:val="center"/>
                    <w:textAlignment w:val="center"/>
                    <w:rPr>
                      <w:rFonts w:hint="default" w:ascii="Times New Roman" w:hAnsi="Times New Roman" w:eastAsia="宋体"/>
                      <w:bCs/>
                      <w:color w:val="auto"/>
                      <w:sz w:val="18"/>
                      <w:szCs w:val="18"/>
                      <w:lang w:val="en-US" w:eastAsia="zh-CN"/>
                    </w:rPr>
                  </w:pPr>
                  <w:r>
                    <w:rPr>
                      <w:rFonts w:hint="eastAsia" w:ascii="Times New Roman" w:hAnsi="Times New Roman" w:eastAsia="宋体"/>
                      <w:bCs/>
                      <w:color w:val="auto"/>
                      <w:sz w:val="18"/>
                      <w:szCs w:val="18"/>
                      <w:lang w:val="en-US" w:eastAsia="zh-CN"/>
                    </w:rPr>
                    <w:t>电镐</w:t>
                  </w:r>
                </w:p>
              </w:tc>
              <w:tc>
                <w:tcPr>
                  <w:tcW w:w="359" w:type="pct"/>
                  <w:tcBorders>
                    <w:tl2br w:val="nil"/>
                    <w:tr2bl w:val="nil"/>
                  </w:tcBorders>
                  <w:noWrap w:val="0"/>
                  <w:vAlign w:val="center"/>
                </w:tcPr>
                <w:p w14:paraId="2AEFF999">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c>
                <w:tcPr>
                  <w:tcW w:w="477" w:type="pct"/>
                  <w:tcBorders>
                    <w:tl2br w:val="nil"/>
                    <w:tr2bl w:val="nil"/>
                  </w:tcBorders>
                  <w:noWrap w:val="0"/>
                  <w:vAlign w:val="center"/>
                </w:tcPr>
                <w:p w14:paraId="30407378">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80</w:t>
                  </w:r>
                </w:p>
              </w:tc>
              <w:tc>
                <w:tcPr>
                  <w:tcW w:w="241" w:type="pct"/>
                  <w:vMerge w:val="continue"/>
                  <w:tcBorders>
                    <w:tl2br w:val="nil"/>
                    <w:tr2bl w:val="nil"/>
                  </w:tcBorders>
                  <w:noWrap w:val="0"/>
                  <w:vAlign w:val="center"/>
                </w:tcPr>
                <w:p w14:paraId="4E3C3D81">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4AB5C207">
                  <w:pPr>
                    <w:jc w:val="center"/>
                    <w:rPr>
                      <w:rFonts w:hint="default"/>
                      <w:color w:val="auto"/>
                      <w:sz w:val="18"/>
                      <w:szCs w:val="18"/>
                      <w:lang w:val="en-US" w:eastAsia="zh-CN"/>
                    </w:rPr>
                  </w:pPr>
                  <w:r>
                    <w:rPr>
                      <w:rFonts w:hint="eastAsia"/>
                      <w:color w:val="auto"/>
                      <w:sz w:val="18"/>
                      <w:szCs w:val="18"/>
                      <w:lang w:val="en-US" w:eastAsia="zh-CN"/>
                    </w:rPr>
                    <w:t>122</w:t>
                  </w:r>
                </w:p>
              </w:tc>
              <w:tc>
                <w:tcPr>
                  <w:tcW w:w="303" w:type="pct"/>
                  <w:tcBorders>
                    <w:tl2br w:val="nil"/>
                    <w:tr2bl w:val="nil"/>
                  </w:tcBorders>
                  <w:noWrap w:val="0"/>
                  <w:vAlign w:val="center"/>
                </w:tcPr>
                <w:p w14:paraId="0654D38D">
                  <w:pPr>
                    <w:jc w:val="center"/>
                    <w:rPr>
                      <w:rFonts w:hint="default"/>
                      <w:color w:val="auto"/>
                      <w:sz w:val="18"/>
                      <w:szCs w:val="18"/>
                      <w:lang w:val="en-US" w:eastAsia="zh-CN"/>
                    </w:rPr>
                  </w:pPr>
                  <w:r>
                    <w:rPr>
                      <w:rFonts w:hint="eastAsia"/>
                      <w:color w:val="auto"/>
                      <w:sz w:val="18"/>
                      <w:szCs w:val="18"/>
                      <w:lang w:val="en-US" w:eastAsia="zh-CN"/>
                    </w:rPr>
                    <w:t>105</w:t>
                  </w:r>
                </w:p>
              </w:tc>
              <w:tc>
                <w:tcPr>
                  <w:tcW w:w="197" w:type="pct"/>
                  <w:tcBorders>
                    <w:tl2br w:val="nil"/>
                    <w:tr2bl w:val="nil"/>
                  </w:tcBorders>
                  <w:noWrap w:val="0"/>
                  <w:vAlign w:val="center"/>
                </w:tcPr>
                <w:p w14:paraId="250DA31A">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22BFA499">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298" w:type="pct"/>
                  <w:tcBorders>
                    <w:tl2br w:val="nil"/>
                    <w:tr2bl w:val="nil"/>
                  </w:tcBorders>
                  <w:noWrap w:val="0"/>
                  <w:vAlign w:val="center"/>
                </w:tcPr>
                <w:p w14:paraId="1AF948EC">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60.0</w:t>
                  </w:r>
                </w:p>
              </w:tc>
              <w:tc>
                <w:tcPr>
                  <w:tcW w:w="305" w:type="pct"/>
                  <w:vMerge w:val="continue"/>
                  <w:tcBorders>
                    <w:tl2br w:val="nil"/>
                    <w:tr2bl w:val="nil"/>
                  </w:tcBorders>
                  <w:noWrap w:val="0"/>
                  <w:vAlign w:val="center"/>
                </w:tcPr>
                <w:p w14:paraId="1C8A48B2">
                  <w:pPr>
                    <w:spacing w:before="60"/>
                    <w:ind w:left="-63" w:leftChars="-30" w:right="-63" w:rightChars="-30"/>
                    <w:jc w:val="center"/>
                    <w:rPr>
                      <w:rFonts w:hint="default" w:ascii="Times New Roman" w:hAnsi="Times New Roman" w:eastAsia="宋体"/>
                      <w:color w:val="auto"/>
                      <w:sz w:val="18"/>
                      <w:szCs w:val="18"/>
                      <w:lang w:val="en-US"/>
                    </w:rPr>
                  </w:pPr>
                </w:p>
              </w:tc>
              <w:tc>
                <w:tcPr>
                  <w:tcW w:w="306" w:type="pct"/>
                  <w:tcBorders>
                    <w:tl2br w:val="nil"/>
                    <w:tr2bl w:val="nil"/>
                  </w:tcBorders>
                  <w:noWrap w:val="0"/>
                  <w:vAlign w:val="center"/>
                </w:tcPr>
                <w:p w14:paraId="4A7CA4CD">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56F59DAE">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50.0</w:t>
                  </w:r>
                </w:p>
              </w:tc>
              <w:tc>
                <w:tcPr>
                  <w:tcW w:w="265" w:type="pct"/>
                  <w:tcBorders>
                    <w:tl2br w:val="nil"/>
                    <w:tr2bl w:val="nil"/>
                  </w:tcBorders>
                  <w:noWrap w:val="0"/>
                  <w:vAlign w:val="center"/>
                </w:tcPr>
                <w:p w14:paraId="730A986B">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r>
            <w:tr w14:paraId="01FEB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46" w:type="pct"/>
                  <w:vMerge w:val="continue"/>
                  <w:tcBorders>
                    <w:tl2br w:val="nil"/>
                    <w:tr2bl w:val="nil"/>
                  </w:tcBorders>
                  <w:noWrap/>
                  <w:vAlign w:val="center"/>
                </w:tcPr>
                <w:p w14:paraId="117AAEB1">
                  <w:pPr>
                    <w:spacing w:before="60"/>
                    <w:ind w:left="-63" w:leftChars="-30" w:right="-63" w:rightChars="-30"/>
                    <w:jc w:val="center"/>
                    <w:rPr>
                      <w:rFonts w:hint="eastAsia" w:ascii="Times New Roman" w:hAnsi="Times New Roman" w:eastAsia="宋体"/>
                      <w:color w:val="auto"/>
                      <w:sz w:val="18"/>
                      <w:szCs w:val="18"/>
                      <w:lang w:val="en-US" w:eastAsia="zh-CN"/>
                    </w:rPr>
                  </w:pPr>
                </w:p>
              </w:tc>
              <w:tc>
                <w:tcPr>
                  <w:tcW w:w="280" w:type="pct"/>
                  <w:tcBorders>
                    <w:tl2br w:val="nil"/>
                    <w:tr2bl w:val="nil"/>
                  </w:tcBorders>
                  <w:noWrap w:val="0"/>
                  <w:vAlign w:val="center"/>
                </w:tcPr>
                <w:p w14:paraId="6502A195">
                  <w:pPr>
                    <w:pStyle w:val="62"/>
                    <w:numPr>
                      <w:ilvl w:val="0"/>
                      <w:numId w:val="14"/>
                    </w:numPr>
                    <w:spacing w:before="60" w:line="240" w:lineRule="auto"/>
                    <w:ind w:right="-63" w:rightChars="-30" w:firstLineChars="0"/>
                    <w:jc w:val="center"/>
                    <w:textAlignment w:val="auto"/>
                    <w:rPr>
                      <w:rFonts w:ascii="Times New Roman" w:hAnsi="Times New Roman" w:eastAsia="宋体"/>
                      <w:color w:val="auto"/>
                      <w:sz w:val="18"/>
                      <w:szCs w:val="18"/>
                    </w:rPr>
                  </w:pPr>
                </w:p>
              </w:tc>
              <w:tc>
                <w:tcPr>
                  <w:tcW w:w="643" w:type="pct"/>
                  <w:tcBorders>
                    <w:tl2br w:val="nil"/>
                    <w:tr2bl w:val="nil"/>
                  </w:tcBorders>
                  <w:noWrap w:val="0"/>
                  <w:vAlign w:val="center"/>
                </w:tcPr>
                <w:p w14:paraId="691E7B3A">
                  <w:pPr>
                    <w:widowControl/>
                    <w:jc w:val="center"/>
                    <w:textAlignment w:val="center"/>
                    <w:rPr>
                      <w:rFonts w:hint="default" w:ascii="Times New Roman" w:hAnsi="Times New Roman" w:eastAsia="宋体"/>
                      <w:bCs/>
                      <w:color w:val="auto"/>
                      <w:sz w:val="18"/>
                      <w:szCs w:val="18"/>
                      <w:lang w:val="en-US" w:eastAsia="zh-CN"/>
                    </w:rPr>
                  </w:pPr>
                  <w:r>
                    <w:rPr>
                      <w:rFonts w:hint="eastAsia" w:ascii="Times New Roman" w:hAnsi="Times New Roman" w:eastAsia="宋体"/>
                      <w:bCs/>
                      <w:color w:val="auto"/>
                      <w:sz w:val="18"/>
                      <w:szCs w:val="18"/>
                      <w:lang w:val="en-US" w:eastAsia="zh-CN"/>
                    </w:rPr>
                    <w:t>空压机</w:t>
                  </w:r>
                </w:p>
              </w:tc>
              <w:tc>
                <w:tcPr>
                  <w:tcW w:w="359" w:type="pct"/>
                  <w:tcBorders>
                    <w:tl2br w:val="nil"/>
                    <w:tr2bl w:val="nil"/>
                  </w:tcBorders>
                  <w:noWrap w:val="0"/>
                  <w:vAlign w:val="center"/>
                </w:tcPr>
                <w:p w14:paraId="7EF456FC">
                  <w:pPr>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c>
                <w:tcPr>
                  <w:tcW w:w="477" w:type="pct"/>
                  <w:tcBorders>
                    <w:tl2br w:val="nil"/>
                    <w:tr2bl w:val="nil"/>
                  </w:tcBorders>
                  <w:noWrap w:val="0"/>
                  <w:vAlign w:val="center"/>
                </w:tcPr>
                <w:p w14:paraId="1146243A">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85</w:t>
                  </w:r>
                </w:p>
              </w:tc>
              <w:tc>
                <w:tcPr>
                  <w:tcW w:w="241" w:type="pct"/>
                  <w:vMerge w:val="continue"/>
                  <w:tcBorders>
                    <w:tl2br w:val="nil"/>
                    <w:tr2bl w:val="nil"/>
                  </w:tcBorders>
                  <w:noWrap w:val="0"/>
                  <w:vAlign w:val="center"/>
                </w:tcPr>
                <w:p w14:paraId="4CBABA7F">
                  <w:pPr>
                    <w:spacing w:before="60"/>
                    <w:ind w:left="-63" w:leftChars="-30" w:right="-63" w:rightChars="-30"/>
                    <w:jc w:val="center"/>
                    <w:rPr>
                      <w:rFonts w:ascii="Times New Roman" w:hAnsi="Times New Roman" w:eastAsia="宋体"/>
                      <w:color w:val="auto"/>
                      <w:sz w:val="18"/>
                      <w:szCs w:val="18"/>
                    </w:rPr>
                  </w:pPr>
                </w:p>
              </w:tc>
              <w:tc>
                <w:tcPr>
                  <w:tcW w:w="323" w:type="pct"/>
                  <w:tcBorders>
                    <w:tl2br w:val="nil"/>
                    <w:tr2bl w:val="nil"/>
                  </w:tcBorders>
                  <w:noWrap w:val="0"/>
                  <w:vAlign w:val="center"/>
                </w:tcPr>
                <w:p w14:paraId="27C4641D">
                  <w:pPr>
                    <w:jc w:val="center"/>
                    <w:rPr>
                      <w:rFonts w:hint="default"/>
                      <w:color w:val="auto"/>
                      <w:sz w:val="18"/>
                      <w:szCs w:val="18"/>
                      <w:lang w:val="en-US" w:eastAsia="zh-CN"/>
                    </w:rPr>
                  </w:pPr>
                  <w:r>
                    <w:rPr>
                      <w:rFonts w:hint="eastAsia"/>
                      <w:color w:val="auto"/>
                      <w:sz w:val="18"/>
                      <w:szCs w:val="18"/>
                      <w:lang w:val="en-US" w:eastAsia="zh-CN"/>
                    </w:rPr>
                    <w:t>135</w:t>
                  </w:r>
                </w:p>
              </w:tc>
              <w:tc>
                <w:tcPr>
                  <w:tcW w:w="303" w:type="pct"/>
                  <w:tcBorders>
                    <w:tl2br w:val="nil"/>
                    <w:tr2bl w:val="nil"/>
                  </w:tcBorders>
                  <w:noWrap w:val="0"/>
                  <w:vAlign w:val="center"/>
                </w:tcPr>
                <w:p w14:paraId="39DD66ED">
                  <w:pPr>
                    <w:jc w:val="center"/>
                    <w:rPr>
                      <w:rFonts w:hint="default"/>
                      <w:color w:val="auto"/>
                      <w:sz w:val="18"/>
                      <w:szCs w:val="18"/>
                      <w:lang w:val="en-US" w:eastAsia="zh-CN"/>
                    </w:rPr>
                  </w:pPr>
                  <w:r>
                    <w:rPr>
                      <w:rFonts w:hint="eastAsia"/>
                      <w:color w:val="auto"/>
                      <w:sz w:val="18"/>
                      <w:szCs w:val="18"/>
                      <w:lang w:val="en-US" w:eastAsia="zh-CN"/>
                    </w:rPr>
                    <w:t>101</w:t>
                  </w:r>
                </w:p>
              </w:tc>
              <w:tc>
                <w:tcPr>
                  <w:tcW w:w="197" w:type="pct"/>
                  <w:tcBorders>
                    <w:tl2br w:val="nil"/>
                    <w:tr2bl w:val="nil"/>
                  </w:tcBorders>
                  <w:noWrap w:val="0"/>
                  <w:vAlign w:val="center"/>
                </w:tcPr>
                <w:p w14:paraId="4B444E3C">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201" w:type="pct"/>
                  <w:tcBorders>
                    <w:tl2br w:val="nil"/>
                    <w:tr2bl w:val="nil"/>
                  </w:tcBorders>
                  <w:noWrap w:val="0"/>
                  <w:vAlign w:val="center"/>
                </w:tcPr>
                <w:p w14:paraId="3A8906B0">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7</w:t>
                  </w:r>
                </w:p>
              </w:tc>
              <w:tc>
                <w:tcPr>
                  <w:tcW w:w="298" w:type="pct"/>
                  <w:tcBorders>
                    <w:tl2br w:val="nil"/>
                    <w:tr2bl w:val="nil"/>
                  </w:tcBorders>
                  <w:noWrap w:val="0"/>
                  <w:vAlign w:val="center"/>
                </w:tcPr>
                <w:p w14:paraId="7D513078">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68.1</w:t>
                  </w:r>
                </w:p>
              </w:tc>
              <w:tc>
                <w:tcPr>
                  <w:tcW w:w="305" w:type="pct"/>
                  <w:vMerge w:val="continue"/>
                  <w:tcBorders>
                    <w:tl2br w:val="nil"/>
                    <w:tr2bl w:val="nil"/>
                  </w:tcBorders>
                  <w:noWrap w:val="0"/>
                  <w:vAlign w:val="center"/>
                </w:tcPr>
                <w:p w14:paraId="1809F6A7">
                  <w:pPr>
                    <w:spacing w:before="60"/>
                    <w:ind w:left="-63" w:leftChars="-30" w:right="-63" w:rightChars="-30"/>
                    <w:jc w:val="center"/>
                    <w:rPr>
                      <w:rFonts w:hint="default" w:ascii="Times New Roman" w:hAnsi="Times New Roman" w:eastAsia="宋体"/>
                      <w:color w:val="auto"/>
                      <w:sz w:val="18"/>
                      <w:szCs w:val="18"/>
                      <w:lang w:val="en-US"/>
                    </w:rPr>
                  </w:pPr>
                </w:p>
              </w:tc>
              <w:tc>
                <w:tcPr>
                  <w:tcW w:w="306" w:type="pct"/>
                  <w:tcBorders>
                    <w:tl2br w:val="nil"/>
                    <w:tr2bl w:val="nil"/>
                  </w:tcBorders>
                  <w:noWrap w:val="0"/>
                  <w:vAlign w:val="center"/>
                </w:tcPr>
                <w:p w14:paraId="0D7BA44F">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350" w:type="pct"/>
                  <w:tcBorders>
                    <w:tl2br w:val="nil"/>
                    <w:tr2bl w:val="nil"/>
                  </w:tcBorders>
                  <w:noWrap w:val="0"/>
                  <w:vAlign w:val="center"/>
                </w:tcPr>
                <w:p w14:paraId="5DBD2BC6">
                  <w:pPr>
                    <w:spacing w:before="60"/>
                    <w:ind w:left="-63" w:leftChars="-30" w:right="-63" w:rightChars="-3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58.1</w:t>
                  </w:r>
                </w:p>
              </w:tc>
              <w:tc>
                <w:tcPr>
                  <w:tcW w:w="265" w:type="pct"/>
                  <w:tcBorders>
                    <w:tl2br w:val="nil"/>
                    <w:tr2bl w:val="nil"/>
                  </w:tcBorders>
                  <w:noWrap w:val="0"/>
                  <w:vAlign w:val="center"/>
                </w:tcPr>
                <w:p w14:paraId="32F54EFE">
                  <w:pPr>
                    <w:spacing w:before="60"/>
                    <w:ind w:left="-63" w:leftChars="-30" w:right="-63" w:rightChars="-3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r>
          </w:tbl>
          <w:p w14:paraId="248B0CA5">
            <w:pPr>
              <w:pStyle w:val="1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textAlignment w:val="auto"/>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eastAsia="zh-CN"/>
              </w:rPr>
              <w:t>注：项目</w:t>
            </w:r>
            <w:r>
              <w:rPr>
                <w:rFonts w:hint="eastAsia" w:ascii="Times New Roman" w:hAnsi="Times New Roman" w:eastAsia="宋体"/>
                <w:b w:val="0"/>
                <w:bCs w:val="0"/>
                <w:color w:val="auto"/>
                <w:lang w:val="en-US" w:eastAsia="zh-CN"/>
              </w:rPr>
              <w:t>西</w:t>
            </w:r>
            <w:r>
              <w:rPr>
                <w:rFonts w:hint="eastAsia"/>
                <w:b w:val="0"/>
                <w:bCs w:val="0"/>
                <w:color w:val="auto"/>
                <w:lang w:eastAsia="zh-CN"/>
              </w:rPr>
              <w:t>南</w:t>
            </w:r>
            <w:r>
              <w:rPr>
                <w:rFonts w:hint="eastAsia" w:ascii="Times New Roman" w:hAnsi="Times New Roman" w:eastAsia="宋体"/>
                <w:b w:val="0"/>
                <w:bCs w:val="0"/>
                <w:color w:val="auto"/>
                <w:lang w:eastAsia="zh-CN"/>
              </w:rPr>
              <w:t>角为原点（</w:t>
            </w:r>
            <w:r>
              <w:rPr>
                <w:rFonts w:hint="eastAsia" w:ascii="Times New Roman" w:hAnsi="Times New Roman" w:eastAsia="宋体"/>
                <w:b w:val="0"/>
                <w:bCs w:val="0"/>
                <w:color w:val="auto"/>
                <w:lang w:val="en-US" w:eastAsia="zh-CN"/>
              </w:rPr>
              <w:t>0,0,0</w:t>
            </w:r>
            <w:r>
              <w:rPr>
                <w:rFonts w:hint="eastAsia" w:ascii="Times New Roman" w:hAnsi="Times New Roman" w:eastAsia="宋体"/>
                <w:b w:val="0"/>
                <w:bCs w:val="0"/>
                <w:color w:val="auto"/>
                <w:lang w:eastAsia="zh-CN"/>
              </w:rPr>
              <w:t>），正东方向为</w:t>
            </w:r>
            <w:r>
              <w:rPr>
                <w:rFonts w:hint="eastAsia" w:ascii="Times New Roman" w:hAnsi="Times New Roman" w:eastAsia="宋体"/>
                <w:b w:val="0"/>
                <w:bCs w:val="0"/>
                <w:color w:val="auto"/>
                <w:lang w:val="en-US" w:eastAsia="zh-CN"/>
              </w:rPr>
              <w:t>X轴正方向，正北方向为Y轴正方向。</w:t>
            </w:r>
          </w:p>
          <w:p w14:paraId="3BF4ED0F">
            <w:pPr>
              <w:pStyle w:val="18"/>
              <w:keepNext w:val="0"/>
              <w:keepLines w:val="0"/>
              <w:pageBreakBefore w:val="0"/>
              <w:widowControl/>
              <w:kinsoku/>
              <w:wordWrap/>
              <w:overflowPunct/>
              <w:topLinePunct w:val="0"/>
              <w:autoSpaceDE/>
              <w:autoSpaceDN/>
              <w:bidi w:val="0"/>
              <w:adjustRightInd/>
              <w:snapToGrid w:val="0"/>
              <w:spacing w:before="0" w:after="0" w:line="240" w:lineRule="auto"/>
              <w:ind w:right="0" w:firstLine="360" w:firstLineChars="200"/>
              <w:textAlignment w:val="auto"/>
              <w:rPr>
                <w:rFonts w:hint="eastAsia" w:ascii="Times New Roman" w:hAnsi="Times New Roman" w:eastAsia="宋体"/>
                <w:b w:val="0"/>
                <w:bCs w:val="0"/>
                <w:color w:val="auto"/>
              </w:rPr>
            </w:pPr>
            <w:r>
              <w:rPr>
                <w:rFonts w:hint="eastAsia" w:ascii="Times New Roman" w:hAnsi="Times New Roman" w:eastAsia="宋体"/>
                <w:b w:val="0"/>
                <w:bCs w:val="0"/>
                <w:color w:val="auto"/>
              </w:rPr>
              <w:t>因本项目将同类型设备位置相对集中，单独列出表格较累赘，且意义不大，故视为一个点源分析，其声功率级为叠加声压级。</w:t>
            </w:r>
          </w:p>
          <w:p w14:paraId="0BBD40D4">
            <w:pPr>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 xml:space="preserve"> </w:t>
            </w:r>
          </w:p>
          <w:p w14:paraId="4D7E00B2">
            <w:pPr>
              <w:jc w:val="center"/>
              <w:rPr>
                <w:rFonts w:ascii="Times New Roman" w:hAnsi="Times New Roman" w:eastAsia="宋体" w:cs="Times New Roman"/>
                <w:b/>
                <w:bCs/>
                <w:color w:val="auto"/>
                <w:spacing w:val="0"/>
                <w:sz w:val="24"/>
              </w:rPr>
            </w:pPr>
            <w:r>
              <w:rPr>
                <w:rFonts w:ascii="Times New Roman" w:hAnsi="Times New Roman" w:eastAsia="宋体" w:cs="Times New Roman"/>
                <w:b/>
                <w:bCs/>
                <w:color w:val="auto"/>
                <w:spacing w:val="0"/>
                <w:sz w:val="24"/>
              </w:rPr>
              <w:t>表4.</w:t>
            </w:r>
            <w:r>
              <w:rPr>
                <w:rFonts w:hint="eastAsia" w:ascii="Times New Roman" w:hAnsi="Times New Roman" w:eastAsia="宋体" w:cs="Times New Roman"/>
                <w:b/>
                <w:bCs/>
                <w:color w:val="auto"/>
                <w:spacing w:val="0"/>
                <w:sz w:val="24"/>
                <w:lang w:val="en-US" w:eastAsia="zh-CN"/>
              </w:rPr>
              <w:t>4</w:t>
            </w:r>
            <w:r>
              <w:rPr>
                <w:rFonts w:ascii="Times New Roman" w:hAnsi="Times New Roman" w:eastAsia="宋体" w:cs="Times New Roman"/>
                <w:b/>
                <w:bCs/>
                <w:color w:val="auto"/>
                <w:spacing w:val="0"/>
                <w:sz w:val="24"/>
              </w:rPr>
              <w:t>-</w:t>
            </w:r>
            <w:r>
              <w:rPr>
                <w:rFonts w:hint="eastAsia" w:ascii="Times New Roman" w:hAnsi="Times New Roman" w:eastAsia="宋体" w:cs="Times New Roman"/>
                <w:b/>
                <w:bCs/>
                <w:color w:val="auto"/>
                <w:spacing w:val="0"/>
                <w:sz w:val="24"/>
                <w:lang w:val="en-US" w:eastAsia="zh-CN"/>
              </w:rPr>
              <w:t>2</w:t>
            </w:r>
            <w:r>
              <w:rPr>
                <w:rFonts w:ascii="Times New Roman" w:hAnsi="Times New Roman" w:eastAsia="宋体" w:cs="Times New Roman"/>
                <w:b/>
                <w:bCs/>
                <w:color w:val="auto"/>
                <w:spacing w:val="0"/>
                <w:sz w:val="24"/>
              </w:rPr>
              <w:t xml:space="preserve"> </w:t>
            </w:r>
            <w:r>
              <w:rPr>
                <w:rFonts w:hint="eastAsia" w:ascii="Times New Roman" w:hAnsi="Times New Roman" w:eastAsia="宋体" w:cs="Times New Roman"/>
                <w:b/>
                <w:bCs/>
                <w:color w:val="auto"/>
                <w:spacing w:val="0"/>
                <w:sz w:val="24"/>
                <w:lang w:val="en-US" w:eastAsia="zh-CN"/>
              </w:rPr>
              <w:t xml:space="preserve"> </w:t>
            </w:r>
            <w:r>
              <w:rPr>
                <w:rFonts w:hint="eastAsia" w:ascii="Times New Roman" w:hAnsi="Times New Roman" w:eastAsia="宋体"/>
                <w:b/>
                <w:bCs/>
                <w:color w:val="auto"/>
                <w:lang w:val="en-US" w:eastAsia="zh-CN"/>
              </w:rPr>
              <w:t>项目噪声源强调查清单（室外声源）</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55"/>
              <w:gridCol w:w="1673"/>
              <w:gridCol w:w="504"/>
              <w:gridCol w:w="745"/>
              <w:gridCol w:w="830"/>
              <w:gridCol w:w="731"/>
              <w:gridCol w:w="1270"/>
              <w:gridCol w:w="1169"/>
              <w:gridCol w:w="746"/>
            </w:tblGrid>
            <w:tr w14:paraId="2B464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trPr>
              <w:tc>
                <w:tcPr>
                  <w:tcW w:w="221" w:type="pct"/>
                  <w:vMerge w:val="restart"/>
                  <w:tcBorders>
                    <w:tl2br w:val="nil"/>
                    <w:tr2bl w:val="nil"/>
                  </w:tcBorders>
                  <w:noWrap w:val="0"/>
                  <w:vAlign w:val="center"/>
                </w:tcPr>
                <w:p w14:paraId="4F73E662">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r>
                    <w:rPr>
                      <w:rFonts w:ascii="Times New Roman" w:hAnsi="Times New Roman" w:eastAsia="宋体"/>
                      <w:b/>
                      <w:bCs/>
                      <w:color w:val="auto"/>
                    </w:rPr>
                    <w:t>序号</w:t>
                  </w:r>
                </w:p>
              </w:tc>
              <w:tc>
                <w:tcPr>
                  <w:tcW w:w="1042" w:type="pct"/>
                  <w:vMerge w:val="restart"/>
                  <w:tcBorders>
                    <w:tl2br w:val="nil"/>
                    <w:tr2bl w:val="nil"/>
                  </w:tcBorders>
                  <w:noWrap w:val="0"/>
                  <w:vAlign w:val="center"/>
                </w:tcPr>
                <w:p w14:paraId="5203FC1B">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r>
                    <w:rPr>
                      <w:rFonts w:ascii="Times New Roman" w:hAnsi="Times New Roman" w:eastAsia="宋体"/>
                      <w:b/>
                      <w:bCs/>
                      <w:color w:val="auto"/>
                    </w:rPr>
                    <w:t>声源</w:t>
                  </w:r>
                </w:p>
                <w:p w14:paraId="621FE655">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r>
                    <w:rPr>
                      <w:rFonts w:ascii="Times New Roman" w:hAnsi="Times New Roman" w:eastAsia="宋体"/>
                      <w:b/>
                      <w:bCs/>
                      <w:color w:val="auto"/>
                    </w:rPr>
                    <w:t>名称</w:t>
                  </w:r>
                </w:p>
              </w:tc>
              <w:tc>
                <w:tcPr>
                  <w:tcW w:w="314" w:type="pct"/>
                  <w:vMerge w:val="restart"/>
                  <w:tcBorders>
                    <w:tl2br w:val="nil"/>
                    <w:tr2bl w:val="nil"/>
                  </w:tcBorders>
                  <w:noWrap w:val="0"/>
                  <w:vAlign w:val="center"/>
                </w:tcPr>
                <w:p w14:paraId="493B24CC">
                  <w:pPr>
                    <w:pStyle w:val="64"/>
                    <w:keepNext w:val="0"/>
                    <w:keepLines w:val="0"/>
                    <w:pageBreakBefore w:val="0"/>
                    <w:kinsoku/>
                    <w:wordWrap/>
                    <w:overflowPunct/>
                    <w:topLinePunct w:val="0"/>
                    <w:autoSpaceDE/>
                    <w:autoSpaceDN/>
                    <w:bidi w:val="0"/>
                    <w:adjustRightInd w:val="0"/>
                    <w:snapToGrid w:val="0"/>
                    <w:spacing w:line="340" w:lineRule="exact"/>
                    <w:jc w:val="center"/>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数量</w:t>
                  </w:r>
                </w:p>
              </w:tc>
              <w:tc>
                <w:tcPr>
                  <w:tcW w:w="1436" w:type="pct"/>
                  <w:gridSpan w:val="3"/>
                  <w:tcBorders>
                    <w:tl2br w:val="nil"/>
                    <w:tr2bl w:val="nil"/>
                  </w:tcBorders>
                  <w:noWrap w:val="0"/>
                  <w:vAlign w:val="center"/>
                </w:tcPr>
                <w:p w14:paraId="15C1187A">
                  <w:pPr>
                    <w:pStyle w:val="64"/>
                    <w:keepNext w:val="0"/>
                    <w:keepLines w:val="0"/>
                    <w:pageBreakBefore w:val="0"/>
                    <w:kinsoku/>
                    <w:wordWrap/>
                    <w:overflowPunct/>
                    <w:topLinePunct w:val="0"/>
                    <w:autoSpaceDE/>
                    <w:autoSpaceDN/>
                    <w:bidi w:val="0"/>
                    <w:adjustRightInd w:val="0"/>
                    <w:snapToGrid w:val="0"/>
                    <w:spacing w:line="340" w:lineRule="exact"/>
                    <w:jc w:val="center"/>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空间相对位置/m</w:t>
                  </w:r>
                </w:p>
              </w:tc>
              <w:tc>
                <w:tcPr>
                  <w:tcW w:w="791" w:type="pct"/>
                  <w:vMerge w:val="restart"/>
                  <w:tcBorders>
                    <w:tl2br w:val="nil"/>
                    <w:tr2bl w:val="nil"/>
                  </w:tcBorders>
                  <w:noWrap w:val="0"/>
                  <w:vAlign w:val="center"/>
                </w:tcPr>
                <w:p w14:paraId="66C8E533">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r>
                    <w:rPr>
                      <w:rFonts w:ascii="Times New Roman" w:hAnsi="Times New Roman" w:eastAsia="宋体"/>
                      <w:b/>
                      <w:bCs/>
                      <w:color w:val="auto"/>
                    </w:rPr>
                    <w:t>声源声功率级/dB(A)</w:t>
                  </w:r>
                </w:p>
              </w:tc>
              <w:tc>
                <w:tcPr>
                  <w:tcW w:w="728" w:type="pct"/>
                  <w:vMerge w:val="restart"/>
                  <w:tcBorders>
                    <w:tl2br w:val="nil"/>
                    <w:tr2bl w:val="nil"/>
                  </w:tcBorders>
                  <w:noWrap w:val="0"/>
                  <w:vAlign w:val="center"/>
                </w:tcPr>
                <w:p w14:paraId="41C3FCEE">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r>
                    <w:rPr>
                      <w:rFonts w:ascii="Times New Roman" w:hAnsi="Times New Roman" w:eastAsia="宋体"/>
                      <w:b/>
                      <w:bCs/>
                      <w:color w:val="auto"/>
                    </w:rPr>
                    <w:t>声源控制措施</w:t>
                  </w:r>
                </w:p>
              </w:tc>
              <w:tc>
                <w:tcPr>
                  <w:tcW w:w="464" w:type="pct"/>
                  <w:vMerge w:val="restart"/>
                  <w:tcBorders>
                    <w:tl2br w:val="nil"/>
                    <w:tr2bl w:val="nil"/>
                  </w:tcBorders>
                  <w:noWrap w:val="0"/>
                  <w:vAlign w:val="center"/>
                </w:tcPr>
                <w:p w14:paraId="273D343B">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r>
                    <w:rPr>
                      <w:rFonts w:ascii="Times New Roman" w:hAnsi="Times New Roman" w:eastAsia="宋体"/>
                      <w:b/>
                      <w:bCs/>
                      <w:color w:val="auto"/>
                    </w:rPr>
                    <w:t>运行</w:t>
                  </w:r>
                </w:p>
                <w:p w14:paraId="37E7A8BF">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r>
                    <w:rPr>
                      <w:rFonts w:ascii="Times New Roman" w:hAnsi="Times New Roman" w:eastAsia="宋体"/>
                      <w:b/>
                      <w:bCs/>
                      <w:color w:val="auto"/>
                    </w:rPr>
                    <w:t>时段</w:t>
                  </w:r>
                  <w:r>
                    <w:rPr>
                      <w:rFonts w:hint="eastAsia" w:ascii="Times New Roman" w:hAnsi="Times New Roman" w:eastAsia="宋体"/>
                      <w:b/>
                      <w:bCs/>
                      <w:color w:val="auto"/>
                    </w:rPr>
                    <w:t>h/a</w:t>
                  </w:r>
                </w:p>
              </w:tc>
            </w:tr>
            <w:tr w14:paraId="03857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trPr>
              <w:tc>
                <w:tcPr>
                  <w:tcW w:w="221" w:type="pct"/>
                  <w:vMerge w:val="continue"/>
                  <w:tcBorders>
                    <w:tl2br w:val="nil"/>
                    <w:tr2bl w:val="nil"/>
                  </w:tcBorders>
                  <w:noWrap w:val="0"/>
                  <w:vAlign w:val="center"/>
                </w:tcPr>
                <w:p w14:paraId="7984E8B2">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p>
              </w:tc>
              <w:tc>
                <w:tcPr>
                  <w:tcW w:w="1042" w:type="pct"/>
                  <w:vMerge w:val="continue"/>
                  <w:tcBorders>
                    <w:tl2br w:val="nil"/>
                    <w:tr2bl w:val="nil"/>
                  </w:tcBorders>
                  <w:noWrap w:val="0"/>
                  <w:vAlign w:val="center"/>
                </w:tcPr>
                <w:p w14:paraId="048732DF">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p>
              </w:tc>
              <w:tc>
                <w:tcPr>
                  <w:tcW w:w="314" w:type="pct"/>
                  <w:vMerge w:val="continue"/>
                  <w:tcBorders>
                    <w:tl2br w:val="nil"/>
                    <w:tr2bl w:val="nil"/>
                  </w:tcBorders>
                  <w:noWrap w:val="0"/>
                  <w:vAlign w:val="center"/>
                </w:tcPr>
                <w:p w14:paraId="48FD59D3">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p>
              </w:tc>
              <w:tc>
                <w:tcPr>
                  <w:tcW w:w="464" w:type="pct"/>
                  <w:tcBorders>
                    <w:tl2br w:val="nil"/>
                    <w:tr2bl w:val="nil"/>
                  </w:tcBorders>
                  <w:noWrap w:val="0"/>
                  <w:vAlign w:val="center"/>
                </w:tcPr>
                <w:p w14:paraId="68F892B2">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X</w:t>
                  </w:r>
                </w:p>
              </w:tc>
              <w:tc>
                <w:tcPr>
                  <w:tcW w:w="517" w:type="pct"/>
                  <w:tcBorders>
                    <w:tl2br w:val="nil"/>
                    <w:tr2bl w:val="nil"/>
                  </w:tcBorders>
                  <w:noWrap w:val="0"/>
                  <w:vAlign w:val="center"/>
                </w:tcPr>
                <w:p w14:paraId="106ADCC7">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Y</w:t>
                  </w:r>
                </w:p>
              </w:tc>
              <w:tc>
                <w:tcPr>
                  <w:tcW w:w="453" w:type="pct"/>
                  <w:tcBorders>
                    <w:tl2br w:val="nil"/>
                    <w:tr2bl w:val="nil"/>
                  </w:tcBorders>
                  <w:noWrap w:val="0"/>
                  <w:vAlign w:val="center"/>
                </w:tcPr>
                <w:p w14:paraId="1D14B283">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Z</w:t>
                  </w:r>
                </w:p>
              </w:tc>
              <w:tc>
                <w:tcPr>
                  <w:tcW w:w="791" w:type="pct"/>
                  <w:vMerge w:val="continue"/>
                  <w:tcBorders>
                    <w:tl2br w:val="nil"/>
                    <w:tr2bl w:val="nil"/>
                  </w:tcBorders>
                  <w:noWrap w:val="0"/>
                  <w:vAlign w:val="center"/>
                </w:tcPr>
                <w:p w14:paraId="7272ECDA">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p>
              </w:tc>
              <w:tc>
                <w:tcPr>
                  <w:tcW w:w="728" w:type="pct"/>
                  <w:vMerge w:val="continue"/>
                  <w:tcBorders>
                    <w:tl2br w:val="nil"/>
                    <w:tr2bl w:val="nil"/>
                  </w:tcBorders>
                  <w:noWrap w:val="0"/>
                  <w:vAlign w:val="center"/>
                </w:tcPr>
                <w:p w14:paraId="2595439C">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p>
              </w:tc>
              <w:tc>
                <w:tcPr>
                  <w:tcW w:w="464" w:type="pct"/>
                  <w:vMerge w:val="continue"/>
                  <w:tcBorders>
                    <w:tl2br w:val="nil"/>
                    <w:tr2bl w:val="nil"/>
                  </w:tcBorders>
                  <w:noWrap w:val="0"/>
                  <w:vAlign w:val="center"/>
                </w:tcPr>
                <w:p w14:paraId="6F287B23">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b/>
                      <w:bCs/>
                      <w:color w:val="auto"/>
                    </w:rPr>
                  </w:pPr>
                </w:p>
              </w:tc>
            </w:tr>
            <w:tr w14:paraId="2C7C2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trPr>
              <w:tc>
                <w:tcPr>
                  <w:tcW w:w="221" w:type="pct"/>
                  <w:tcBorders>
                    <w:tl2br w:val="nil"/>
                    <w:tr2bl w:val="nil"/>
                  </w:tcBorders>
                  <w:noWrap w:val="0"/>
                  <w:vAlign w:val="center"/>
                </w:tcPr>
                <w:p w14:paraId="71C5633A">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1042" w:type="pct"/>
                  <w:tcBorders>
                    <w:tl2br w:val="nil"/>
                    <w:tr2bl w:val="nil"/>
                  </w:tcBorders>
                  <w:noWrap w:val="0"/>
                  <w:vAlign w:val="center"/>
                </w:tcPr>
                <w:p w14:paraId="2C0F0D06">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DA001风机</w:t>
                  </w:r>
                </w:p>
              </w:tc>
              <w:tc>
                <w:tcPr>
                  <w:tcW w:w="314" w:type="pct"/>
                  <w:tcBorders>
                    <w:tl2br w:val="nil"/>
                    <w:tr2bl w:val="nil"/>
                  </w:tcBorders>
                  <w:noWrap w:val="0"/>
                  <w:vAlign w:val="center"/>
                </w:tcPr>
                <w:p w14:paraId="21A00F5C">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464" w:type="pct"/>
                  <w:tcBorders>
                    <w:tl2br w:val="nil"/>
                    <w:tr2bl w:val="nil"/>
                  </w:tcBorders>
                  <w:noWrap w:val="0"/>
                  <w:vAlign w:val="center"/>
                </w:tcPr>
                <w:p w14:paraId="551390D8">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color w:val="auto"/>
                      <w:lang w:val="en-US" w:eastAsia="zh-CN"/>
                    </w:rPr>
                    <w:t>83</w:t>
                  </w:r>
                </w:p>
              </w:tc>
              <w:tc>
                <w:tcPr>
                  <w:tcW w:w="517" w:type="pct"/>
                  <w:tcBorders>
                    <w:tl2br w:val="nil"/>
                    <w:tr2bl w:val="nil"/>
                  </w:tcBorders>
                  <w:noWrap w:val="0"/>
                  <w:vAlign w:val="center"/>
                </w:tcPr>
                <w:p w14:paraId="4C6165BE">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-7</w:t>
                  </w:r>
                </w:p>
              </w:tc>
              <w:tc>
                <w:tcPr>
                  <w:tcW w:w="453" w:type="pct"/>
                  <w:tcBorders>
                    <w:tl2br w:val="nil"/>
                    <w:tr2bl w:val="nil"/>
                  </w:tcBorders>
                  <w:noWrap w:val="0"/>
                  <w:vAlign w:val="center"/>
                </w:tcPr>
                <w:p w14:paraId="4B330805">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1.2</w:t>
                  </w:r>
                </w:p>
              </w:tc>
              <w:tc>
                <w:tcPr>
                  <w:tcW w:w="791" w:type="pct"/>
                  <w:tcBorders>
                    <w:tl2br w:val="nil"/>
                    <w:tr2bl w:val="nil"/>
                  </w:tcBorders>
                  <w:noWrap w:val="0"/>
                  <w:vAlign w:val="center"/>
                </w:tcPr>
                <w:p w14:paraId="191F8D7F">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85</w:t>
                  </w:r>
                </w:p>
              </w:tc>
              <w:tc>
                <w:tcPr>
                  <w:tcW w:w="728" w:type="pct"/>
                  <w:vMerge w:val="restart"/>
                  <w:tcBorders>
                    <w:tl2br w:val="nil"/>
                    <w:tr2bl w:val="nil"/>
                  </w:tcBorders>
                  <w:noWrap w:val="0"/>
                  <w:vAlign w:val="center"/>
                </w:tcPr>
                <w:p w14:paraId="7FE568F9">
                  <w:pPr>
                    <w:pStyle w:val="64"/>
                    <w:keepNext w:val="0"/>
                    <w:keepLines w:val="0"/>
                    <w:pageBreakBefore w:val="0"/>
                    <w:kinsoku/>
                    <w:wordWrap/>
                    <w:overflowPunct/>
                    <w:topLinePunct w:val="0"/>
                    <w:autoSpaceDE/>
                    <w:autoSpaceDN/>
                    <w:bidi w:val="0"/>
                    <w:adjustRightInd w:val="0"/>
                    <w:snapToGrid w:val="0"/>
                    <w:spacing w:line="340" w:lineRule="exact"/>
                    <w:jc w:val="center"/>
                    <w:rPr>
                      <w:rFonts w:ascii="Times New Roman" w:hAnsi="Times New Roman" w:eastAsia="宋体"/>
                      <w:color w:val="auto"/>
                    </w:rPr>
                  </w:pPr>
                  <w:r>
                    <w:rPr>
                      <w:rFonts w:hint="eastAsia" w:ascii="Times New Roman" w:hAnsi="Times New Roman" w:eastAsia="宋体"/>
                      <w:color w:val="auto"/>
                      <w:szCs w:val="21"/>
                      <w:lang w:val="en-US" w:eastAsia="zh-CN"/>
                    </w:rPr>
                    <w:t>设置隔声罩、</w:t>
                  </w:r>
                  <w:r>
                    <w:rPr>
                      <w:rFonts w:ascii="Times New Roman" w:hAnsi="Times New Roman" w:eastAsia="宋体"/>
                      <w:color w:val="auto"/>
                      <w:szCs w:val="21"/>
                    </w:rPr>
                    <w:t>设备基础减振</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安装消声器、软接头</w:t>
                  </w:r>
                  <w:r>
                    <w:rPr>
                      <w:rFonts w:ascii="Times New Roman" w:hAnsi="Times New Roman" w:eastAsia="宋体"/>
                      <w:color w:val="auto"/>
                      <w:szCs w:val="21"/>
                    </w:rPr>
                    <w:t>等</w:t>
                  </w:r>
                </w:p>
              </w:tc>
              <w:tc>
                <w:tcPr>
                  <w:tcW w:w="464" w:type="pct"/>
                  <w:vMerge w:val="restart"/>
                  <w:tcBorders>
                    <w:tl2br w:val="nil"/>
                    <w:tr2bl w:val="nil"/>
                  </w:tcBorders>
                  <w:noWrap w:val="0"/>
                  <w:vAlign w:val="center"/>
                </w:tcPr>
                <w:p w14:paraId="51332C9D">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3000</w:t>
                  </w:r>
                </w:p>
              </w:tc>
            </w:tr>
            <w:tr w14:paraId="5BD3C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trPr>
              <w:tc>
                <w:tcPr>
                  <w:tcW w:w="221" w:type="pct"/>
                  <w:tcBorders>
                    <w:tl2br w:val="nil"/>
                    <w:tr2bl w:val="nil"/>
                  </w:tcBorders>
                  <w:noWrap w:val="0"/>
                  <w:vAlign w:val="center"/>
                </w:tcPr>
                <w:p w14:paraId="4704F481">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w:t>
                  </w:r>
                </w:p>
              </w:tc>
              <w:tc>
                <w:tcPr>
                  <w:tcW w:w="1042" w:type="pct"/>
                  <w:tcBorders>
                    <w:tl2br w:val="nil"/>
                    <w:tr2bl w:val="nil"/>
                  </w:tcBorders>
                  <w:noWrap w:val="0"/>
                  <w:vAlign w:val="center"/>
                </w:tcPr>
                <w:p w14:paraId="25D18BF8">
                  <w:pPr>
                    <w:pStyle w:val="64"/>
                    <w:keepNext w:val="0"/>
                    <w:keepLines w:val="0"/>
                    <w:pageBreakBefore w:val="0"/>
                    <w:kinsoku/>
                    <w:wordWrap/>
                    <w:overflowPunct/>
                    <w:topLinePunct w:val="0"/>
                    <w:autoSpaceDE/>
                    <w:autoSpaceDN/>
                    <w:bidi w:val="0"/>
                    <w:adjustRightInd w:val="0"/>
                    <w:snapToGrid w:val="0"/>
                    <w:spacing w:line="340" w:lineRule="exact"/>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DA002风机</w:t>
                  </w:r>
                </w:p>
              </w:tc>
              <w:tc>
                <w:tcPr>
                  <w:tcW w:w="314" w:type="pct"/>
                  <w:tcBorders>
                    <w:tl2br w:val="nil"/>
                    <w:tr2bl w:val="nil"/>
                  </w:tcBorders>
                  <w:noWrap w:val="0"/>
                  <w:vAlign w:val="center"/>
                </w:tcPr>
                <w:p w14:paraId="29A58F19">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464" w:type="pct"/>
                  <w:tcBorders>
                    <w:tl2br w:val="nil"/>
                    <w:tr2bl w:val="nil"/>
                  </w:tcBorders>
                  <w:noWrap w:val="0"/>
                  <w:vAlign w:val="center"/>
                </w:tcPr>
                <w:p w14:paraId="332F6053">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szCs w:val="21"/>
                      <w:lang w:val="en-US" w:eastAsia="zh-CN"/>
                    </w:rPr>
                  </w:pPr>
                  <w:r>
                    <w:rPr>
                      <w:rFonts w:hint="eastAsia"/>
                      <w:color w:val="auto"/>
                      <w:lang w:val="en-US" w:eastAsia="zh-CN"/>
                    </w:rPr>
                    <w:t>150</w:t>
                  </w:r>
                </w:p>
              </w:tc>
              <w:tc>
                <w:tcPr>
                  <w:tcW w:w="517" w:type="pct"/>
                  <w:tcBorders>
                    <w:tl2br w:val="nil"/>
                    <w:tr2bl w:val="nil"/>
                  </w:tcBorders>
                  <w:noWrap w:val="0"/>
                  <w:vAlign w:val="center"/>
                </w:tcPr>
                <w:p w14:paraId="3FD351EC">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79</w:t>
                  </w:r>
                </w:p>
              </w:tc>
              <w:tc>
                <w:tcPr>
                  <w:tcW w:w="453" w:type="pct"/>
                  <w:tcBorders>
                    <w:tl2br w:val="nil"/>
                    <w:tr2bl w:val="nil"/>
                  </w:tcBorders>
                  <w:noWrap w:val="0"/>
                  <w:vAlign w:val="center"/>
                </w:tcPr>
                <w:p w14:paraId="3B4A8326">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1.2</w:t>
                  </w:r>
                </w:p>
              </w:tc>
              <w:tc>
                <w:tcPr>
                  <w:tcW w:w="791" w:type="pct"/>
                  <w:tcBorders>
                    <w:tl2br w:val="nil"/>
                    <w:tr2bl w:val="nil"/>
                  </w:tcBorders>
                  <w:noWrap w:val="0"/>
                  <w:vAlign w:val="center"/>
                </w:tcPr>
                <w:p w14:paraId="0F2FF373">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85</w:t>
                  </w:r>
                </w:p>
              </w:tc>
              <w:tc>
                <w:tcPr>
                  <w:tcW w:w="728" w:type="pct"/>
                  <w:vMerge w:val="continue"/>
                  <w:tcBorders>
                    <w:tl2br w:val="nil"/>
                    <w:tr2bl w:val="nil"/>
                  </w:tcBorders>
                  <w:noWrap w:val="0"/>
                  <w:vAlign w:val="center"/>
                </w:tcPr>
                <w:p w14:paraId="25130E76">
                  <w:pPr>
                    <w:pStyle w:val="64"/>
                    <w:keepNext w:val="0"/>
                    <w:keepLines w:val="0"/>
                    <w:pageBreakBefore w:val="0"/>
                    <w:kinsoku/>
                    <w:wordWrap/>
                    <w:overflowPunct/>
                    <w:topLinePunct w:val="0"/>
                    <w:autoSpaceDE/>
                    <w:autoSpaceDN/>
                    <w:bidi w:val="0"/>
                    <w:adjustRightInd w:val="0"/>
                    <w:snapToGrid w:val="0"/>
                    <w:spacing w:line="340" w:lineRule="exact"/>
                    <w:jc w:val="center"/>
                    <w:rPr>
                      <w:rFonts w:hint="eastAsia" w:ascii="Times New Roman" w:hAnsi="Times New Roman" w:eastAsia="宋体"/>
                      <w:color w:val="auto"/>
                      <w:szCs w:val="21"/>
                      <w:lang w:val="en-US" w:eastAsia="zh-CN"/>
                    </w:rPr>
                  </w:pPr>
                </w:p>
              </w:tc>
              <w:tc>
                <w:tcPr>
                  <w:tcW w:w="464" w:type="pct"/>
                  <w:vMerge w:val="continue"/>
                  <w:tcBorders>
                    <w:tl2br w:val="nil"/>
                    <w:tr2bl w:val="nil"/>
                  </w:tcBorders>
                  <w:noWrap w:val="0"/>
                  <w:vAlign w:val="center"/>
                </w:tcPr>
                <w:p w14:paraId="1DAFBADE">
                  <w:pPr>
                    <w:pStyle w:val="64"/>
                    <w:keepNext w:val="0"/>
                    <w:keepLines w:val="0"/>
                    <w:pageBreakBefore w:val="0"/>
                    <w:kinsoku/>
                    <w:wordWrap/>
                    <w:overflowPunct/>
                    <w:topLinePunct w:val="0"/>
                    <w:autoSpaceDE/>
                    <w:autoSpaceDN/>
                    <w:bidi w:val="0"/>
                    <w:adjustRightInd w:val="0"/>
                    <w:snapToGrid w:val="0"/>
                    <w:spacing w:line="340" w:lineRule="exact"/>
                    <w:jc w:val="center"/>
                    <w:rPr>
                      <w:rFonts w:hint="eastAsia" w:ascii="Times New Roman" w:hAnsi="Times New Roman" w:eastAsia="宋体" w:cs="Times New Roman"/>
                      <w:i w:val="0"/>
                      <w:iCs w:val="0"/>
                      <w:color w:val="auto"/>
                      <w:kern w:val="0"/>
                      <w:sz w:val="21"/>
                      <w:szCs w:val="21"/>
                      <w:u w:val="none"/>
                      <w:lang w:val="en-US" w:eastAsia="zh-CN" w:bidi="ar"/>
                    </w:rPr>
                  </w:pPr>
                </w:p>
              </w:tc>
            </w:tr>
            <w:tr w14:paraId="059E3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trPr>
              <w:tc>
                <w:tcPr>
                  <w:tcW w:w="221" w:type="pct"/>
                  <w:tcBorders>
                    <w:tl2br w:val="nil"/>
                    <w:tr2bl w:val="nil"/>
                  </w:tcBorders>
                  <w:noWrap w:val="0"/>
                  <w:vAlign w:val="center"/>
                </w:tcPr>
                <w:p w14:paraId="4DC18F2A">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1042" w:type="pct"/>
                  <w:tcBorders>
                    <w:tl2br w:val="nil"/>
                    <w:tr2bl w:val="nil"/>
                  </w:tcBorders>
                  <w:noWrap w:val="0"/>
                  <w:vAlign w:val="center"/>
                </w:tcPr>
                <w:p w14:paraId="6707F3F0">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DA003风机</w:t>
                  </w:r>
                </w:p>
              </w:tc>
              <w:tc>
                <w:tcPr>
                  <w:tcW w:w="314" w:type="pct"/>
                  <w:tcBorders>
                    <w:tl2br w:val="nil"/>
                    <w:tr2bl w:val="nil"/>
                  </w:tcBorders>
                  <w:noWrap w:val="0"/>
                  <w:vAlign w:val="center"/>
                </w:tcPr>
                <w:p w14:paraId="5E44E97D">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464" w:type="pct"/>
                  <w:tcBorders>
                    <w:tl2br w:val="nil"/>
                    <w:tr2bl w:val="nil"/>
                  </w:tcBorders>
                  <w:noWrap w:val="0"/>
                  <w:vAlign w:val="center"/>
                </w:tcPr>
                <w:p w14:paraId="180341FE">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color w:val="auto"/>
                      <w:lang w:val="en-US" w:eastAsia="zh-CN"/>
                    </w:rPr>
                  </w:pPr>
                  <w:r>
                    <w:rPr>
                      <w:rFonts w:hint="eastAsia"/>
                      <w:color w:val="auto"/>
                      <w:lang w:val="en-US" w:eastAsia="zh-CN"/>
                    </w:rPr>
                    <w:t>75</w:t>
                  </w:r>
                </w:p>
              </w:tc>
              <w:tc>
                <w:tcPr>
                  <w:tcW w:w="517" w:type="pct"/>
                  <w:tcBorders>
                    <w:tl2br w:val="nil"/>
                    <w:tr2bl w:val="nil"/>
                  </w:tcBorders>
                  <w:noWrap w:val="0"/>
                  <w:vAlign w:val="center"/>
                </w:tcPr>
                <w:p w14:paraId="6C75790F">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color w:val="auto"/>
                      <w:szCs w:val="21"/>
                      <w:lang w:val="en-US" w:eastAsia="zh-CN"/>
                    </w:rPr>
                  </w:pPr>
                  <w:r>
                    <w:rPr>
                      <w:rFonts w:hint="eastAsia"/>
                      <w:color w:val="auto"/>
                      <w:szCs w:val="21"/>
                      <w:lang w:val="en-US" w:eastAsia="zh-CN"/>
                    </w:rPr>
                    <w:t>70</w:t>
                  </w:r>
                </w:p>
              </w:tc>
              <w:tc>
                <w:tcPr>
                  <w:tcW w:w="453" w:type="pct"/>
                  <w:tcBorders>
                    <w:tl2br w:val="nil"/>
                    <w:tr2bl w:val="nil"/>
                  </w:tcBorders>
                  <w:noWrap w:val="0"/>
                  <w:vAlign w:val="center"/>
                </w:tcPr>
                <w:p w14:paraId="27EBCEFE">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color w:val="auto"/>
                      <w:szCs w:val="21"/>
                      <w:lang w:val="en-US" w:eastAsia="zh-CN"/>
                    </w:rPr>
                  </w:pPr>
                  <w:r>
                    <w:rPr>
                      <w:rFonts w:hint="eastAsia"/>
                      <w:color w:val="auto"/>
                      <w:szCs w:val="21"/>
                      <w:lang w:val="en-US" w:eastAsia="zh-CN"/>
                    </w:rPr>
                    <w:t>1.2</w:t>
                  </w:r>
                </w:p>
              </w:tc>
              <w:tc>
                <w:tcPr>
                  <w:tcW w:w="791" w:type="pct"/>
                  <w:tcBorders>
                    <w:tl2br w:val="nil"/>
                    <w:tr2bl w:val="nil"/>
                  </w:tcBorders>
                  <w:noWrap w:val="0"/>
                  <w:vAlign w:val="center"/>
                </w:tcPr>
                <w:p w14:paraId="1D67B540">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85</w:t>
                  </w:r>
                </w:p>
              </w:tc>
              <w:tc>
                <w:tcPr>
                  <w:tcW w:w="728" w:type="pct"/>
                  <w:vMerge w:val="continue"/>
                  <w:tcBorders>
                    <w:tl2br w:val="nil"/>
                    <w:tr2bl w:val="nil"/>
                  </w:tcBorders>
                  <w:noWrap w:val="0"/>
                  <w:vAlign w:val="center"/>
                </w:tcPr>
                <w:p w14:paraId="63256FAF">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szCs w:val="21"/>
                      <w:lang w:val="en-US" w:eastAsia="zh-CN"/>
                    </w:rPr>
                  </w:pPr>
                </w:p>
              </w:tc>
              <w:tc>
                <w:tcPr>
                  <w:tcW w:w="464" w:type="pct"/>
                  <w:vMerge w:val="continue"/>
                  <w:tcBorders>
                    <w:tl2br w:val="nil"/>
                    <w:tr2bl w:val="nil"/>
                  </w:tcBorders>
                  <w:noWrap w:val="0"/>
                  <w:vAlign w:val="center"/>
                </w:tcPr>
                <w:p w14:paraId="3073F1F3">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i w:val="0"/>
                      <w:iCs w:val="0"/>
                      <w:color w:val="auto"/>
                      <w:kern w:val="0"/>
                      <w:sz w:val="21"/>
                      <w:szCs w:val="21"/>
                      <w:u w:val="none"/>
                      <w:lang w:val="en-US" w:eastAsia="zh-CN" w:bidi="ar"/>
                    </w:rPr>
                  </w:pPr>
                </w:p>
              </w:tc>
            </w:tr>
            <w:tr w14:paraId="1FA61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trPr>
              <w:tc>
                <w:tcPr>
                  <w:tcW w:w="221" w:type="pct"/>
                  <w:tcBorders>
                    <w:tl2br w:val="nil"/>
                    <w:tr2bl w:val="nil"/>
                  </w:tcBorders>
                  <w:noWrap w:val="0"/>
                  <w:vAlign w:val="center"/>
                </w:tcPr>
                <w:p w14:paraId="353AF9AF">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color w:val="auto"/>
                      <w:lang w:val="en-US" w:eastAsia="zh-CN"/>
                    </w:rPr>
                    <w:t>3</w:t>
                  </w:r>
                </w:p>
              </w:tc>
              <w:tc>
                <w:tcPr>
                  <w:tcW w:w="1042" w:type="pct"/>
                  <w:tcBorders>
                    <w:tl2br w:val="nil"/>
                    <w:tr2bl w:val="nil"/>
                  </w:tcBorders>
                  <w:noWrap w:val="0"/>
                  <w:vAlign w:val="center"/>
                </w:tcPr>
                <w:p w14:paraId="5921BCB2">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生产废水处理系统水泵</w:t>
                  </w:r>
                </w:p>
              </w:tc>
              <w:tc>
                <w:tcPr>
                  <w:tcW w:w="314" w:type="pct"/>
                  <w:tcBorders>
                    <w:tl2br w:val="nil"/>
                    <w:tr2bl w:val="nil"/>
                  </w:tcBorders>
                  <w:noWrap w:val="0"/>
                  <w:vAlign w:val="center"/>
                </w:tcPr>
                <w:p w14:paraId="6C3429AA">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w:t>
                  </w:r>
                </w:p>
              </w:tc>
              <w:tc>
                <w:tcPr>
                  <w:tcW w:w="464" w:type="pct"/>
                  <w:tcBorders>
                    <w:tl2br w:val="nil"/>
                    <w:tr2bl w:val="nil"/>
                  </w:tcBorders>
                  <w:noWrap w:val="0"/>
                  <w:vAlign w:val="center"/>
                </w:tcPr>
                <w:p w14:paraId="50E1D93E">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89</w:t>
                  </w:r>
                </w:p>
              </w:tc>
              <w:tc>
                <w:tcPr>
                  <w:tcW w:w="517" w:type="pct"/>
                  <w:tcBorders>
                    <w:tl2br w:val="nil"/>
                    <w:tr2bl w:val="nil"/>
                  </w:tcBorders>
                  <w:noWrap w:val="0"/>
                  <w:vAlign w:val="center"/>
                </w:tcPr>
                <w:p w14:paraId="0B4F5C86">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113</w:t>
                  </w:r>
                </w:p>
              </w:tc>
              <w:tc>
                <w:tcPr>
                  <w:tcW w:w="453" w:type="pct"/>
                  <w:tcBorders>
                    <w:tl2br w:val="nil"/>
                    <w:tr2bl w:val="nil"/>
                  </w:tcBorders>
                  <w:noWrap w:val="0"/>
                  <w:vAlign w:val="center"/>
                </w:tcPr>
                <w:p w14:paraId="1BE9E4C1">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1.2</w:t>
                  </w:r>
                </w:p>
              </w:tc>
              <w:tc>
                <w:tcPr>
                  <w:tcW w:w="791" w:type="pct"/>
                  <w:tcBorders>
                    <w:tl2br w:val="nil"/>
                    <w:tr2bl w:val="nil"/>
                  </w:tcBorders>
                  <w:noWrap w:val="0"/>
                  <w:vAlign w:val="center"/>
                </w:tcPr>
                <w:p w14:paraId="2EE2DA16">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88</w:t>
                  </w:r>
                </w:p>
              </w:tc>
              <w:tc>
                <w:tcPr>
                  <w:tcW w:w="728" w:type="pct"/>
                  <w:vMerge w:val="continue"/>
                  <w:tcBorders>
                    <w:tl2br w:val="nil"/>
                    <w:tr2bl w:val="nil"/>
                  </w:tcBorders>
                  <w:noWrap w:val="0"/>
                  <w:vAlign w:val="center"/>
                </w:tcPr>
                <w:p w14:paraId="07E82920">
                  <w:pPr>
                    <w:pStyle w:val="64"/>
                    <w:keepNext w:val="0"/>
                    <w:keepLines w:val="0"/>
                    <w:pageBreakBefore w:val="0"/>
                    <w:kinsoku/>
                    <w:wordWrap/>
                    <w:overflowPunct/>
                    <w:topLinePunct w:val="0"/>
                    <w:autoSpaceDE/>
                    <w:autoSpaceDN/>
                    <w:bidi w:val="0"/>
                    <w:adjustRightInd w:val="0"/>
                    <w:snapToGrid w:val="0"/>
                    <w:spacing w:line="340" w:lineRule="exact"/>
                    <w:jc w:val="center"/>
                    <w:rPr>
                      <w:rFonts w:hint="eastAsia" w:ascii="Times New Roman" w:hAnsi="Times New Roman" w:eastAsia="宋体"/>
                      <w:color w:val="auto"/>
                      <w:szCs w:val="21"/>
                      <w:lang w:val="en-US" w:eastAsia="zh-CN"/>
                    </w:rPr>
                  </w:pPr>
                </w:p>
              </w:tc>
              <w:tc>
                <w:tcPr>
                  <w:tcW w:w="464" w:type="pct"/>
                  <w:vMerge w:val="continue"/>
                  <w:tcBorders>
                    <w:tl2br w:val="nil"/>
                    <w:tr2bl w:val="nil"/>
                  </w:tcBorders>
                  <w:noWrap w:val="0"/>
                  <w:vAlign w:val="center"/>
                </w:tcPr>
                <w:p w14:paraId="37F07D71">
                  <w:pPr>
                    <w:pStyle w:val="64"/>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i w:val="0"/>
                      <w:iCs w:val="0"/>
                      <w:color w:val="auto"/>
                      <w:kern w:val="0"/>
                      <w:sz w:val="21"/>
                      <w:szCs w:val="21"/>
                      <w:u w:val="none"/>
                      <w:lang w:val="en-US" w:eastAsia="zh-CN" w:bidi="ar"/>
                    </w:rPr>
                  </w:pPr>
                </w:p>
              </w:tc>
            </w:tr>
          </w:tbl>
          <w:p w14:paraId="6A9D96BE">
            <w:pPr>
              <w:pStyle w:val="1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textAlignment w:val="auto"/>
              <w:rPr>
                <w:rFonts w:hint="eastAsia" w:ascii="Times New Roman" w:hAnsi="Times New Roman" w:eastAsia="宋体"/>
                <w:b w:val="0"/>
                <w:bCs w:val="0"/>
                <w:color w:val="auto"/>
              </w:rPr>
            </w:pPr>
            <w:r>
              <w:rPr>
                <w:rFonts w:hint="eastAsia" w:ascii="Times New Roman" w:hAnsi="Times New Roman" w:eastAsia="宋体"/>
                <w:b w:val="0"/>
                <w:bCs w:val="0"/>
                <w:color w:val="auto"/>
                <w:lang w:eastAsia="zh-CN"/>
              </w:rPr>
              <w:t>注：项目</w:t>
            </w:r>
            <w:r>
              <w:rPr>
                <w:rFonts w:hint="eastAsia"/>
                <w:b w:val="0"/>
                <w:bCs w:val="0"/>
                <w:color w:val="auto"/>
                <w:lang w:val="en-US" w:eastAsia="zh-CN"/>
              </w:rPr>
              <w:t>西</w:t>
            </w:r>
            <w:r>
              <w:rPr>
                <w:rFonts w:hint="eastAsia"/>
                <w:b w:val="0"/>
                <w:bCs w:val="0"/>
                <w:color w:val="auto"/>
                <w:lang w:eastAsia="zh-CN"/>
              </w:rPr>
              <w:t>南</w:t>
            </w:r>
            <w:r>
              <w:rPr>
                <w:rFonts w:hint="eastAsia" w:ascii="Times New Roman" w:hAnsi="Times New Roman" w:eastAsia="宋体"/>
                <w:b w:val="0"/>
                <w:bCs w:val="0"/>
                <w:color w:val="auto"/>
                <w:lang w:eastAsia="zh-CN"/>
              </w:rPr>
              <w:t>角为原点（</w:t>
            </w:r>
            <w:r>
              <w:rPr>
                <w:rFonts w:hint="eastAsia" w:ascii="Times New Roman" w:hAnsi="Times New Roman" w:eastAsia="宋体"/>
                <w:b w:val="0"/>
                <w:bCs w:val="0"/>
                <w:color w:val="auto"/>
                <w:lang w:val="en-US" w:eastAsia="zh-CN"/>
              </w:rPr>
              <w:t>0,0,0</w:t>
            </w:r>
            <w:r>
              <w:rPr>
                <w:rFonts w:hint="eastAsia" w:ascii="Times New Roman" w:hAnsi="Times New Roman" w:eastAsia="宋体"/>
                <w:b w:val="0"/>
                <w:bCs w:val="0"/>
                <w:color w:val="auto"/>
                <w:lang w:eastAsia="zh-CN"/>
              </w:rPr>
              <w:t>），正东方向为</w:t>
            </w:r>
            <w:r>
              <w:rPr>
                <w:rFonts w:hint="eastAsia" w:ascii="Times New Roman" w:hAnsi="Times New Roman" w:eastAsia="宋体"/>
                <w:b w:val="0"/>
                <w:bCs w:val="0"/>
                <w:color w:val="auto"/>
                <w:lang w:val="en-US" w:eastAsia="zh-CN"/>
              </w:rPr>
              <w:t>X轴正方向，正北方向为Y轴正方向。</w:t>
            </w:r>
            <w:r>
              <w:rPr>
                <w:rFonts w:hint="eastAsia" w:ascii="Times New Roman" w:hAnsi="Times New Roman" w:eastAsia="宋体"/>
                <w:b w:val="0"/>
                <w:bCs w:val="0"/>
                <w:color w:val="auto"/>
              </w:rPr>
              <w:t>因本项目</w:t>
            </w:r>
            <w:r>
              <w:rPr>
                <w:rFonts w:hint="eastAsia" w:ascii="Times New Roman" w:hAnsi="Times New Roman" w:eastAsia="宋体"/>
                <w:b w:val="0"/>
                <w:bCs w:val="0"/>
                <w:color w:val="auto"/>
                <w:lang w:eastAsia="zh-CN"/>
              </w:rPr>
              <w:t>水泵</w:t>
            </w:r>
            <w:r>
              <w:rPr>
                <w:rFonts w:hint="eastAsia" w:ascii="Times New Roman" w:hAnsi="Times New Roman" w:eastAsia="宋体"/>
                <w:b w:val="0"/>
                <w:bCs w:val="0"/>
                <w:color w:val="auto"/>
              </w:rPr>
              <w:t>位置相对集中，单独列出表格较累赘，且意义不大，故视为一个点源分析，其声功率级为叠加声压级。</w:t>
            </w:r>
          </w:p>
          <w:p w14:paraId="17B2FF99">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Times New Roman" w:hAnsi="Times New Roman" w:eastAsia="黑体"/>
                <w:b/>
                <w:bCs/>
                <w:color w:val="auto"/>
                <w:kern w:val="0"/>
                <w:sz w:val="24"/>
                <w:lang w:val="en-US" w:eastAsia="zh-CN"/>
              </w:rPr>
            </w:pPr>
            <w:r>
              <w:rPr>
                <w:rFonts w:hint="eastAsia" w:ascii="Times New Roman" w:hAnsi="Times New Roman" w:eastAsia="黑体"/>
                <w:b/>
                <w:bCs/>
                <w:color w:val="auto"/>
                <w:kern w:val="0"/>
                <w:sz w:val="24"/>
                <w:lang w:val="en-US" w:eastAsia="zh-CN"/>
              </w:rPr>
              <w:t>4.4.2</w:t>
            </w:r>
            <w:r>
              <w:rPr>
                <w:rFonts w:ascii="Times New Roman" w:hAnsi="Times New Roman" w:eastAsia="黑体"/>
                <w:b/>
                <w:bCs/>
                <w:color w:val="auto"/>
                <w:kern w:val="0"/>
                <w:sz w:val="24"/>
              </w:rPr>
              <w:t>运营期声环境影响分析</w:t>
            </w:r>
          </w:p>
          <w:p w14:paraId="4592B6F3">
            <w:pPr>
              <w:spacing w:line="360" w:lineRule="auto"/>
              <w:ind w:firstLine="555"/>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项目噪声预测模式采用《环境影响评价技术导则</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声环境》(HJ2.4-20</w:t>
            </w:r>
            <w:r>
              <w:rPr>
                <w:rFonts w:hint="eastAsia"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rPr>
              <w:t>)中附录A户外声传播的衰减</w:t>
            </w:r>
            <w:r>
              <w:rPr>
                <w:rFonts w:hint="eastAsia"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rPr>
              <w:t>附录B典型行业噪声预测模型</w:t>
            </w:r>
            <w:r>
              <w:rPr>
                <w:rFonts w:hint="eastAsia" w:ascii="Times New Roman" w:hAnsi="Times New Roman" w:cs="Times New Roman"/>
                <w:color w:val="auto"/>
                <w:sz w:val="24"/>
                <w:highlight w:val="none"/>
                <w:lang w:val="en-US" w:eastAsia="zh-CN"/>
              </w:rPr>
              <w:t>进行分析。</w:t>
            </w:r>
          </w:p>
          <w:p w14:paraId="2997DC8F">
            <w:pPr>
              <w:adjustRightInd w:val="0"/>
              <w:snapToGrid w:val="0"/>
              <w:spacing w:line="360" w:lineRule="auto"/>
              <w:ind w:firstLine="480"/>
              <w:rPr>
                <w:rFonts w:hint="eastAsia" w:ascii="Times New Roman" w:hAnsi="Times New Roman"/>
                <w:b/>
                <w:bCs w:val="0"/>
                <w:color w:val="auto"/>
                <w:sz w:val="24"/>
              </w:rPr>
            </w:pPr>
            <w:r>
              <w:rPr>
                <w:rFonts w:ascii="Times New Roman" w:hAnsi="Times New Roman"/>
                <w:b/>
                <w:bCs w:val="0"/>
                <w:color w:val="auto"/>
                <w:sz w:val="24"/>
              </w:rPr>
              <w:t>⑴室内声源</w:t>
            </w:r>
            <w:r>
              <w:rPr>
                <w:rFonts w:hint="eastAsia" w:ascii="Times New Roman" w:hAnsi="Times New Roman"/>
                <w:b/>
                <w:bCs w:val="0"/>
                <w:color w:val="auto"/>
                <w:sz w:val="24"/>
              </w:rPr>
              <w:t>等效室外声源声功率级计算方法</w:t>
            </w:r>
          </w:p>
          <w:p w14:paraId="3C835919">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①</w:t>
            </w:r>
            <w:r>
              <w:rPr>
                <w:rFonts w:ascii="Times New Roman" w:hAnsi="Times New Roman"/>
                <w:color w:val="auto"/>
                <w:sz w:val="24"/>
              </w:rPr>
              <w:t>如</w:t>
            </w:r>
            <w:r>
              <w:rPr>
                <w:rFonts w:hint="eastAsia" w:ascii="Times New Roman" w:hAnsi="Times New Roman"/>
                <w:color w:val="auto"/>
                <w:sz w:val="24"/>
              </w:rPr>
              <w:t>下</w:t>
            </w:r>
            <w:r>
              <w:rPr>
                <w:rFonts w:ascii="Times New Roman" w:hAnsi="Times New Roman"/>
                <w:color w:val="auto"/>
                <w:sz w:val="24"/>
              </w:rPr>
              <w:t>图所示，</w:t>
            </w:r>
            <w:r>
              <w:rPr>
                <w:rFonts w:hint="eastAsia" w:ascii="Times New Roman" w:hAnsi="Times New Roman"/>
                <w:color w:val="auto"/>
                <w:sz w:val="24"/>
              </w:rPr>
              <w:t>声源位于室内，室内声源可采用等效室外声源声功率级法进行计算。设靠近开口处(或窗户)室内、室外某倍频带的声压级</w:t>
            </w:r>
            <w:r>
              <w:rPr>
                <w:rFonts w:hint="eastAsia" w:ascii="Times New Roman" w:hAnsi="Times New Roman"/>
                <w:color w:val="auto"/>
                <w:sz w:val="24"/>
                <w:lang w:val="en-US" w:eastAsia="zh-CN"/>
              </w:rPr>
              <w:t>或A声级</w:t>
            </w:r>
            <w:r>
              <w:rPr>
                <w:rFonts w:hint="eastAsia" w:ascii="Times New Roman" w:hAnsi="Times New Roman"/>
                <w:color w:val="auto"/>
                <w:sz w:val="24"/>
              </w:rPr>
              <w:t>分别为Lp1和Lp2。若声源所在室内声场为近似扩散声场，则室</w:t>
            </w:r>
            <w:r>
              <w:rPr>
                <w:rFonts w:hint="eastAsia" w:ascii="Times New Roman" w:hAnsi="Times New Roman"/>
                <w:color w:val="auto"/>
                <w:sz w:val="24"/>
                <w:lang w:val="en-US" w:eastAsia="zh-CN"/>
              </w:rPr>
              <w:t>外</w:t>
            </w:r>
            <w:r>
              <w:rPr>
                <w:rFonts w:hint="eastAsia" w:ascii="Times New Roman" w:hAnsi="Times New Roman"/>
                <w:color w:val="auto"/>
                <w:sz w:val="24"/>
              </w:rPr>
              <w:t>的倍频带声压级可按下式近似求出：</w:t>
            </w:r>
          </w:p>
          <w:p w14:paraId="3B644C0B">
            <w:pPr>
              <w:adjustRightInd w:val="0"/>
              <w:snapToGrid w:val="0"/>
              <w:spacing w:line="360" w:lineRule="auto"/>
              <w:ind w:firstLine="480"/>
              <w:jc w:val="center"/>
              <w:rPr>
                <w:rFonts w:ascii="Times New Roman" w:hAnsi="Times New Roman"/>
                <w:color w:val="auto"/>
                <w:sz w:val="24"/>
              </w:rPr>
            </w:pPr>
            <w:r>
              <w:rPr>
                <w:rFonts w:ascii="Times New Roman" w:hAnsi="Times New Roman"/>
                <w:color w:val="auto"/>
                <w:sz w:val="24"/>
              </w:rPr>
              <w:drawing>
                <wp:inline distT="0" distB="0" distL="114300" distR="114300">
                  <wp:extent cx="1244600" cy="241300"/>
                  <wp:effectExtent l="0" t="0" r="0" b="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17"/>
                          <a:stretch>
                            <a:fillRect/>
                          </a:stretch>
                        </pic:blipFill>
                        <pic:spPr>
                          <a:xfrm>
                            <a:off x="0" y="0"/>
                            <a:ext cx="1244600" cy="241300"/>
                          </a:xfrm>
                          <a:prstGeom prst="rect">
                            <a:avLst/>
                          </a:prstGeom>
                          <a:noFill/>
                          <a:ln>
                            <a:noFill/>
                          </a:ln>
                        </pic:spPr>
                      </pic:pic>
                    </a:graphicData>
                  </a:graphic>
                </wp:inline>
              </w:drawing>
            </w:r>
          </w:p>
          <w:p w14:paraId="3415DC13">
            <w:pPr>
              <w:adjustRightInd w:val="0"/>
              <w:snapToGrid w:val="0"/>
              <w:spacing w:line="360" w:lineRule="auto"/>
              <w:ind w:firstLine="480"/>
              <w:jc w:val="both"/>
              <w:rPr>
                <w:rFonts w:hint="eastAsia" w:ascii="Times New Roman" w:hAnsi="Times New Roman"/>
                <w:color w:val="auto"/>
                <w:sz w:val="24"/>
              </w:rPr>
            </w:pPr>
            <w:r>
              <w:rPr>
                <w:rFonts w:hint="eastAsia" w:ascii="Times New Roman" w:hAnsi="Times New Roman"/>
                <w:color w:val="auto"/>
                <w:sz w:val="24"/>
              </w:rPr>
              <w:t>式中：</w:t>
            </w:r>
          </w:p>
          <w:p w14:paraId="52894F89">
            <w:pPr>
              <w:adjustRightInd w:val="0"/>
              <w:snapToGrid w:val="0"/>
              <w:spacing w:line="360" w:lineRule="auto"/>
              <w:ind w:firstLine="480"/>
              <w:jc w:val="both"/>
              <w:rPr>
                <w:rFonts w:hint="eastAsia" w:ascii="Times New Roman" w:hAnsi="Times New Roman" w:eastAsia="宋体" w:cs="Times New Roman"/>
                <w:color w:val="auto"/>
                <w:sz w:val="24"/>
              </w:rPr>
            </w:pPr>
            <w:r>
              <w:rPr>
                <w:rFonts w:hint="eastAsia" w:ascii="Times New Roman" w:hAnsi="Times New Roman"/>
                <w:color w:val="auto"/>
                <w:sz w:val="24"/>
              </w:rPr>
              <w:t>L</w:t>
            </w:r>
            <w:r>
              <w:rPr>
                <w:rFonts w:hint="eastAsia" w:ascii="Times New Roman" w:hAnsi="Times New Roman"/>
                <w:color w:val="auto"/>
                <w:sz w:val="24"/>
                <w:vertAlign w:val="subscript"/>
              </w:rPr>
              <w:t>p1</w:t>
            </w:r>
            <w:r>
              <w:rPr>
                <w:rFonts w:hint="eastAsia" w:ascii="Times New Roman" w:hAnsi="Times New Roman"/>
                <w:color w:val="auto"/>
                <w:sz w:val="24"/>
              </w:rPr>
              <w:t>—靠近开口处</w:t>
            </w:r>
            <w:r>
              <w:rPr>
                <w:rFonts w:hint="eastAsia" w:ascii="Times New Roman" w:hAnsi="Times New Roman"/>
                <w:color w:val="auto"/>
                <w:sz w:val="24"/>
                <w:lang w:val="en-US" w:eastAsia="zh-CN"/>
              </w:rPr>
              <w:t>(</w:t>
            </w:r>
            <w:r>
              <w:rPr>
                <w:rFonts w:hint="eastAsia" w:ascii="Times New Roman" w:hAnsi="Times New Roman"/>
                <w:color w:val="auto"/>
                <w:sz w:val="24"/>
              </w:rPr>
              <w:t>或窗户</w:t>
            </w:r>
            <w:r>
              <w:rPr>
                <w:rFonts w:hint="eastAsia" w:ascii="Times New Roman" w:hAnsi="Times New Roman"/>
                <w:color w:val="auto"/>
                <w:sz w:val="24"/>
                <w:lang w:val="en-US" w:eastAsia="zh-CN"/>
              </w:rPr>
              <w:t>)</w:t>
            </w:r>
            <w:r>
              <w:rPr>
                <w:rFonts w:hint="eastAsia" w:ascii="Times New Roman" w:hAnsi="Times New Roman"/>
                <w:color w:val="auto"/>
                <w:sz w:val="24"/>
              </w:rPr>
              <w:t>室内某倍频带的声压级或A声级，dB；</w:t>
            </w:r>
          </w:p>
          <w:p w14:paraId="46E8DF2A">
            <w:pPr>
              <w:adjustRightInd w:val="0"/>
              <w:snapToGrid w:val="0"/>
              <w:spacing w:line="360" w:lineRule="auto"/>
              <w:ind w:firstLine="480"/>
              <w:jc w:val="both"/>
              <w:rPr>
                <w:rFonts w:hint="eastAsia" w:ascii="Times New Roman" w:hAnsi="Times New Roman"/>
                <w:color w:val="auto"/>
                <w:sz w:val="24"/>
              </w:rPr>
            </w:pPr>
            <w:r>
              <w:rPr>
                <w:rFonts w:hint="eastAsia" w:ascii="Times New Roman" w:hAnsi="Times New Roman"/>
                <w:color w:val="auto"/>
                <w:sz w:val="24"/>
              </w:rPr>
              <w:t>L</w:t>
            </w:r>
            <w:r>
              <w:rPr>
                <w:rFonts w:hint="eastAsia" w:ascii="Times New Roman" w:hAnsi="Times New Roman"/>
                <w:color w:val="auto"/>
                <w:sz w:val="24"/>
                <w:vertAlign w:val="subscript"/>
              </w:rPr>
              <w:t>p</w:t>
            </w:r>
            <w:r>
              <w:rPr>
                <w:rFonts w:hint="eastAsia" w:ascii="Times New Roman" w:hAnsi="Times New Roman"/>
                <w:color w:val="auto"/>
                <w:sz w:val="24"/>
                <w:vertAlign w:val="subscript"/>
                <w:lang w:val="en-US" w:eastAsia="zh-CN"/>
              </w:rPr>
              <w:t>2</w:t>
            </w:r>
            <w:r>
              <w:rPr>
                <w:rFonts w:hint="eastAsia" w:ascii="Times New Roman" w:hAnsi="Times New Roman"/>
                <w:color w:val="auto"/>
                <w:sz w:val="24"/>
              </w:rPr>
              <w:t>—靠近开口处</w:t>
            </w:r>
            <w:r>
              <w:rPr>
                <w:rFonts w:hint="eastAsia" w:ascii="Times New Roman" w:hAnsi="Times New Roman"/>
                <w:color w:val="auto"/>
                <w:sz w:val="24"/>
                <w:lang w:val="en-US" w:eastAsia="zh-CN"/>
              </w:rPr>
              <w:t>(</w:t>
            </w:r>
            <w:r>
              <w:rPr>
                <w:rFonts w:hint="eastAsia" w:ascii="Times New Roman" w:hAnsi="Times New Roman"/>
                <w:color w:val="auto"/>
                <w:sz w:val="24"/>
              </w:rPr>
              <w:t>或窗户</w:t>
            </w:r>
            <w:r>
              <w:rPr>
                <w:rFonts w:hint="eastAsia" w:ascii="Times New Roman" w:hAnsi="Times New Roman"/>
                <w:color w:val="auto"/>
                <w:sz w:val="24"/>
                <w:lang w:val="en-US" w:eastAsia="zh-CN"/>
              </w:rPr>
              <w:t>)</w:t>
            </w:r>
            <w:r>
              <w:rPr>
                <w:rFonts w:hint="eastAsia" w:ascii="Times New Roman" w:hAnsi="Times New Roman"/>
                <w:color w:val="auto"/>
                <w:sz w:val="24"/>
              </w:rPr>
              <w:t>室外某倍频带的声压级或A声级，dB；</w:t>
            </w:r>
          </w:p>
          <w:p w14:paraId="4576FC35">
            <w:pPr>
              <w:adjustRightInd w:val="0"/>
              <w:snapToGrid w:val="0"/>
              <w:spacing w:line="360" w:lineRule="auto"/>
              <w:ind w:firstLine="480"/>
              <w:jc w:val="both"/>
              <w:rPr>
                <w:rFonts w:hint="eastAsia" w:ascii="Times New Roman" w:hAnsi="Times New Roman"/>
                <w:color w:val="auto"/>
                <w:sz w:val="24"/>
              </w:rPr>
            </w:pPr>
            <w:r>
              <w:rPr>
                <w:rFonts w:hint="eastAsia" w:ascii="Times New Roman" w:hAnsi="Times New Roman"/>
                <w:color w:val="auto"/>
                <w:sz w:val="24"/>
              </w:rPr>
              <w:t>TI—隔墙</w:t>
            </w:r>
            <w:r>
              <w:rPr>
                <w:rFonts w:hint="eastAsia" w:ascii="Times New Roman" w:hAnsi="Times New Roman"/>
                <w:color w:val="auto"/>
                <w:sz w:val="24"/>
                <w:lang w:val="en-US" w:eastAsia="zh-CN"/>
              </w:rPr>
              <w:t>(</w:t>
            </w:r>
            <w:r>
              <w:rPr>
                <w:rFonts w:hint="eastAsia" w:ascii="Times New Roman" w:hAnsi="Times New Roman"/>
                <w:color w:val="auto"/>
                <w:sz w:val="24"/>
              </w:rPr>
              <w:t>或窗户</w:t>
            </w:r>
            <w:r>
              <w:rPr>
                <w:rFonts w:hint="eastAsia" w:ascii="Times New Roman" w:hAnsi="Times New Roman"/>
                <w:color w:val="auto"/>
                <w:sz w:val="24"/>
                <w:lang w:val="en-US" w:eastAsia="zh-CN"/>
              </w:rPr>
              <w:t>)</w:t>
            </w:r>
            <w:r>
              <w:rPr>
                <w:rFonts w:hint="eastAsia" w:ascii="Times New Roman" w:hAnsi="Times New Roman"/>
                <w:color w:val="auto"/>
                <w:sz w:val="24"/>
              </w:rPr>
              <w:t>倍频带或A声级的隔声量，dB。</w:t>
            </w:r>
          </w:p>
          <w:p w14:paraId="49EF3CE2">
            <w:pPr>
              <w:adjustRightInd w:val="0"/>
              <w:snapToGrid w:val="0"/>
              <w:spacing w:line="360" w:lineRule="auto"/>
              <w:ind w:firstLine="480"/>
              <w:jc w:val="center"/>
              <w:rPr>
                <w:rFonts w:hint="eastAsia" w:ascii="Times New Roman" w:hAnsi="Times New Roman"/>
                <w:color w:val="auto"/>
                <w:sz w:val="24"/>
              </w:rPr>
            </w:pPr>
            <w:r>
              <w:rPr>
                <w:rFonts w:ascii="Times New Roman" w:hAnsi="Times New Roman"/>
                <w:color w:val="auto"/>
                <w:sz w:val="24"/>
              </w:rPr>
              <w:drawing>
                <wp:inline distT="0" distB="0" distL="114300" distR="114300">
                  <wp:extent cx="2320290" cy="1279525"/>
                  <wp:effectExtent l="0" t="0" r="3810" b="317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18"/>
                          <a:stretch>
                            <a:fillRect/>
                          </a:stretch>
                        </pic:blipFill>
                        <pic:spPr>
                          <a:xfrm>
                            <a:off x="0" y="0"/>
                            <a:ext cx="2320290" cy="1279525"/>
                          </a:xfrm>
                          <a:prstGeom prst="rect">
                            <a:avLst/>
                          </a:prstGeom>
                          <a:noFill/>
                          <a:ln>
                            <a:noFill/>
                          </a:ln>
                        </pic:spPr>
                      </pic:pic>
                    </a:graphicData>
                  </a:graphic>
                </wp:inline>
              </w:drawing>
            </w:r>
          </w:p>
          <w:p w14:paraId="72FAFE99">
            <w:pPr>
              <w:adjustRightInd w:val="0"/>
              <w:snapToGrid w:val="0"/>
              <w:spacing w:line="360" w:lineRule="auto"/>
              <w:ind w:firstLine="480"/>
              <w:jc w:val="center"/>
              <w:rPr>
                <w:rFonts w:hint="default" w:ascii="Times New Roman" w:hAnsi="Times New Roman" w:eastAsia="黑体" w:cs="Times New Roman"/>
                <w:b w:val="0"/>
                <w:bCs w:val="0"/>
                <w:color w:val="auto"/>
                <w:sz w:val="24"/>
              </w:rPr>
            </w:pPr>
            <w:r>
              <w:rPr>
                <w:rFonts w:hint="default" w:ascii="Times New Roman" w:hAnsi="Times New Roman" w:eastAsia="黑体" w:cs="Times New Roman"/>
                <w:b w:val="0"/>
                <w:bCs w:val="0"/>
                <w:color w:val="auto"/>
                <w:sz w:val="24"/>
              </w:rPr>
              <w:t>图</w:t>
            </w:r>
            <w:r>
              <w:rPr>
                <w:rFonts w:hint="default" w:ascii="Times New Roman" w:hAnsi="Times New Roman" w:eastAsia="黑体" w:cs="Times New Roman"/>
                <w:b w:val="0"/>
                <w:bCs w:val="0"/>
                <w:color w:val="auto"/>
                <w:sz w:val="24"/>
                <w:lang w:val="en-US" w:eastAsia="zh-CN"/>
              </w:rPr>
              <w:t>4.</w:t>
            </w:r>
            <w:r>
              <w:rPr>
                <w:rFonts w:hint="eastAsia" w:ascii="Times New Roman" w:hAnsi="Times New Roman" w:eastAsia="黑体" w:cs="Times New Roman"/>
                <w:b w:val="0"/>
                <w:bCs w:val="0"/>
                <w:color w:val="auto"/>
                <w:sz w:val="24"/>
                <w:lang w:val="en-US" w:eastAsia="zh-CN"/>
              </w:rPr>
              <w:t>4</w:t>
            </w:r>
            <w:r>
              <w:rPr>
                <w:rFonts w:hint="default" w:ascii="Times New Roman" w:hAnsi="Times New Roman" w:eastAsia="黑体" w:cs="Times New Roman"/>
                <w:b w:val="0"/>
                <w:bCs w:val="0"/>
                <w:color w:val="auto"/>
                <w:sz w:val="24"/>
                <w:lang w:val="en-US" w:eastAsia="zh-CN"/>
              </w:rPr>
              <w:t>-1</w:t>
            </w:r>
            <w:r>
              <w:rPr>
                <w:rFonts w:hint="default" w:ascii="Times New Roman" w:hAnsi="Times New Roman" w:eastAsia="黑体" w:cs="Times New Roman"/>
                <w:b w:val="0"/>
                <w:bCs w:val="0"/>
                <w:color w:val="auto"/>
                <w:sz w:val="24"/>
              </w:rPr>
              <w:t xml:space="preserve"> 室内声源等效室外声源图例</w:t>
            </w:r>
          </w:p>
          <w:p w14:paraId="58150AAB">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②按下式计算某一室内声源靠近围护结构处产生的倍频带声压级或A声级：</w:t>
            </w:r>
          </w:p>
          <w:p w14:paraId="5B50775C">
            <w:pPr>
              <w:adjustRightInd w:val="0"/>
              <w:snapToGrid w:val="0"/>
              <w:spacing w:line="360" w:lineRule="auto"/>
              <w:ind w:firstLine="480"/>
              <w:jc w:val="center"/>
              <w:rPr>
                <w:rFonts w:ascii="Times New Roman" w:hAnsi="Times New Roman"/>
                <w:color w:val="auto"/>
                <w:sz w:val="24"/>
              </w:rPr>
            </w:pPr>
            <w:r>
              <w:rPr>
                <w:rFonts w:ascii="Times New Roman" w:hAnsi="Times New Roman"/>
                <w:color w:val="auto"/>
                <w:sz w:val="24"/>
              </w:rPr>
              <w:drawing>
                <wp:inline distT="0" distB="0" distL="114300" distR="114300">
                  <wp:extent cx="1714500" cy="482600"/>
                  <wp:effectExtent l="0" t="0" r="0" b="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19"/>
                          <a:stretch>
                            <a:fillRect/>
                          </a:stretch>
                        </pic:blipFill>
                        <pic:spPr>
                          <a:xfrm>
                            <a:off x="0" y="0"/>
                            <a:ext cx="1714500" cy="482600"/>
                          </a:xfrm>
                          <a:prstGeom prst="rect">
                            <a:avLst/>
                          </a:prstGeom>
                          <a:noFill/>
                          <a:ln>
                            <a:noFill/>
                          </a:ln>
                        </pic:spPr>
                      </pic:pic>
                    </a:graphicData>
                  </a:graphic>
                </wp:inline>
              </w:drawing>
            </w:r>
          </w:p>
          <w:p w14:paraId="42070DF0">
            <w:pPr>
              <w:adjustRightInd w:val="0"/>
              <w:snapToGrid w:val="0"/>
              <w:spacing w:line="360" w:lineRule="auto"/>
              <w:ind w:firstLine="480"/>
              <w:rPr>
                <w:rFonts w:hint="eastAsia" w:ascii="Times New Roman" w:hAnsi="Times New Roman" w:cs="宋体"/>
                <w:color w:val="auto"/>
                <w:sz w:val="24"/>
              </w:rPr>
            </w:pPr>
            <w:r>
              <w:rPr>
                <w:rFonts w:hint="eastAsia" w:ascii="Times New Roman" w:hAnsi="Times New Roman" w:cs="宋体"/>
                <w:color w:val="auto"/>
                <w:sz w:val="24"/>
              </w:rPr>
              <w:t>式中：</w:t>
            </w:r>
          </w:p>
          <w:p w14:paraId="5B7E3A86">
            <w:pPr>
              <w:adjustRightInd w:val="0"/>
              <w:snapToGrid w:val="0"/>
              <w:spacing w:line="360" w:lineRule="auto"/>
              <w:ind w:firstLine="480"/>
              <w:rPr>
                <w:rFonts w:hint="eastAsia" w:ascii="Times New Roman" w:hAnsi="Times New Roman" w:cs="宋体"/>
                <w:color w:val="auto"/>
                <w:sz w:val="24"/>
              </w:rPr>
            </w:pPr>
            <w:r>
              <w:rPr>
                <w:rFonts w:hint="eastAsia" w:ascii="Times New Roman" w:hAnsi="Times New Roman" w:cs="宋体"/>
                <w:color w:val="auto"/>
                <w:sz w:val="24"/>
              </w:rPr>
              <w:t>Lp</w:t>
            </w:r>
            <w:r>
              <w:rPr>
                <w:rFonts w:hint="eastAsia" w:ascii="Times New Roman" w:hAnsi="Times New Roman" w:cs="宋体"/>
                <w:color w:val="auto"/>
                <w:sz w:val="24"/>
                <w:vertAlign w:val="subscript"/>
                <w:lang w:val="en-US" w:eastAsia="zh-CN"/>
              </w:rPr>
              <w:t>1</w:t>
            </w:r>
            <w:r>
              <w:rPr>
                <w:rFonts w:hint="eastAsia" w:ascii="Times New Roman" w:hAnsi="Times New Roman" w:cs="宋体"/>
                <w:color w:val="auto"/>
                <w:sz w:val="24"/>
              </w:rPr>
              <w:t>—靠近开口处</w:t>
            </w:r>
            <w:r>
              <w:rPr>
                <w:rFonts w:hint="eastAsia" w:ascii="Times New Roman" w:hAnsi="Times New Roman" w:cs="宋体"/>
                <w:color w:val="auto"/>
                <w:sz w:val="24"/>
                <w:lang w:val="en-US" w:eastAsia="zh-CN"/>
              </w:rPr>
              <w:t>(</w:t>
            </w:r>
            <w:r>
              <w:rPr>
                <w:rFonts w:hint="eastAsia" w:ascii="Times New Roman" w:hAnsi="Times New Roman" w:cs="宋体"/>
                <w:color w:val="auto"/>
                <w:sz w:val="24"/>
              </w:rPr>
              <w:t>或窗户</w:t>
            </w:r>
            <w:r>
              <w:rPr>
                <w:rFonts w:hint="eastAsia" w:ascii="Times New Roman" w:hAnsi="Times New Roman" w:cs="宋体"/>
                <w:color w:val="auto"/>
                <w:sz w:val="24"/>
                <w:lang w:val="en-US" w:eastAsia="zh-CN"/>
              </w:rPr>
              <w:t>)</w:t>
            </w:r>
            <w:r>
              <w:rPr>
                <w:rFonts w:hint="eastAsia" w:ascii="Times New Roman" w:hAnsi="Times New Roman" w:cs="宋体"/>
                <w:color w:val="auto"/>
                <w:sz w:val="24"/>
              </w:rPr>
              <w:t>室内某倍频带的声压级或A声级，dB；</w:t>
            </w:r>
          </w:p>
          <w:p w14:paraId="051BA0BF">
            <w:pPr>
              <w:adjustRightInd w:val="0"/>
              <w:snapToGrid w:val="0"/>
              <w:spacing w:line="360" w:lineRule="auto"/>
              <w:ind w:firstLine="480"/>
              <w:rPr>
                <w:rFonts w:hint="eastAsia" w:ascii="Times New Roman" w:hAnsi="Times New Roman" w:cs="宋体"/>
                <w:color w:val="auto"/>
                <w:sz w:val="24"/>
              </w:rPr>
            </w:pPr>
            <w:r>
              <w:rPr>
                <w:rFonts w:hint="eastAsia" w:ascii="Times New Roman" w:hAnsi="Times New Roman" w:cs="宋体"/>
                <w:color w:val="auto"/>
                <w:sz w:val="24"/>
              </w:rPr>
              <w:t>Lw—点声源声功率级</w:t>
            </w:r>
            <w:r>
              <w:rPr>
                <w:rFonts w:hint="eastAsia" w:ascii="Times New Roman" w:hAnsi="Times New Roman" w:cs="宋体"/>
                <w:color w:val="auto"/>
                <w:sz w:val="24"/>
                <w:lang w:val="en-US" w:eastAsia="zh-CN"/>
              </w:rPr>
              <w:t>(</w:t>
            </w:r>
            <w:r>
              <w:rPr>
                <w:rFonts w:hint="eastAsia" w:ascii="Times New Roman" w:hAnsi="Times New Roman" w:cs="宋体"/>
                <w:color w:val="auto"/>
                <w:sz w:val="24"/>
              </w:rPr>
              <w:t>A计权或倍频带</w:t>
            </w:r>
            <w:r>
              <w:rPr>
                <w:rFonts w:hint="eastAsia" w:ascii="Times New Roman" w:hAnsi="Times New Roman" w:cs="宋体"/>
                <w:color w:val="auto"/>
                <w:sz w:val="24"/>
                <w:lang w:val="en-US" w:eastAsia="zh-CN"/>
              </w:rPr>
              <w:t>)</w:t>
            </w:r>
            <w:r>
              <w:rPr>
                <w:rFonts w:hint="eastAsia" w:ascii="Times New Roman" w:hAnsi="Times New Roman" w:cs="宋体"/>
                <w:color w:val="auto"/>
                <w:sz w:val="24"/>
              </w:rPr>
              <w:t>，dB；</w:t>
            </w:r>
          </w:p>
          <w:p w14:paraId="2BA21CB2">
            <w:pPr>
              <w:adjustRightInd w:val="0"/>
              <w:snapToGrid w:val="0"/>
              <w:spacing w:line="360" w:lineRule="auto"/>
              <w:ind w:firstLine="480"/>
              <w:rPr>
                <w:rFonts w:hint="eastAsia" w:ascii="Times New Roman" w:hAnsi="Times New Roman" w:cs="宋体"/>
                <w:color w:val="auto"/>
                <w:sz w:val="24"/>
              </w:rPr>
            </w:pPr>
            <w:r>
              <w:rPr>
                <w:rFonts w:hint="eastAsia" w:ascii="Times New Roman" w:hAnsi="Times New Roman" w:cs="宋体"/>
                <w:color w:val="auto"/>
                <w:sz w:val="24"/>
                <w:lang w:val="en-US" w:eastAsia="zh-CN"/>
              </w:rPr>
              <w:t>Q</w:t>
            </w:r>
            <w:r>
              <w:rPr>
                <w:rFonts w:hint="eastAsia" w:ascii="Times New Roman" w:hAnsi="Times New Roman" w:cs="宋体"/>
                <w:color w:val="auto"/>
                <w:sz w:val="24"/>
              </w:rPr>
              <w:t>—指向性因数；通常对无指向性声源，当声源放在房间中心时，</w:t>
            </w:r>
            <w:r>
              <w:rPr>
                <w:rFonts w:hint="eastAsia" w:ascii="Times New Roman" w:hAnsi="Times New Roman" w:cs="宋体"/>
                <w:color w:val="auto"/>
                <w:sz w:val="24"/>
                <w:lang w:val="en-US" w:eastAsia="zh-CN"/>
              </w:rPr>
              <w:t>Q</w:t>
            </w:r>
            <w:r>
              <w:rPr>
                <w:rFonts w:hint="eastAsia" w:ascii="Times New Roman" w:hAnsi="Times New Roman" w:cs="宋体"/>
                <w:color w:val="auto"/>
                <w:sz w:val="24"/>
              </w:rPr>
              <w:t>=1；当放在一面墙的中心时，</w:t>
            </w:r>
            <w:r>
              <w:rPr>
                <w:rFonts w:hint="eastAsia" w:ascii="Times New Roman" w:hAnsi="Times New Roman" w:cs="宋体"/>
                <w:color w:val="auto"/>
                <w:sz w:val="24"/>
                <w:lang w:val="en-US" w:eastAsia="zh-CN"/>
              </w:rPr>
              <w:t>Q</w:t>
            </w:r>
            <w:r>
              <w:rPr>
                <w:rFonts w:hint="eastAsia" w:ascii="Times New Roman" w:hAnsi="Times New Roman" w:cs="宋体"/>
                <w:color w:val="auto"/>
                <w:sz w:val="24"/>
              </w:rPr>
              <w:t>=2；当放在两面墙夹角处时，</w:t>
            </w:r>
            <w:r>
              <w:rPr>
                <w:rFonts w:hint="eastAsia" w:ascii="Times New Roman" w:hAnsi="Times New Roman" w:cs="宋体"/>
                <w:color w:val="auto"/>
                <w:sz w:val="24"/>
                <w:lang w:val="en-US" w:eastAsia="zh-CN"/>
              </w:rPr>
              <w:t>Q</w:t>
            </w:r>
            <w:r>
              <w:rPr>
                <w:rFonts w:hint="eastAsia" w:ascii="Times New Roman" w:hAnsi="Times New Roman" w:cs="宋体"/>
                <w:color w:val="auto"/>
                <w:sz w:val="24"/>
              </w:rPr>
              <w:t>=4；当放在三面墙夹角处时，</w:t>
            </w:r>
            <w:r>
              <w:rPr>
                <w:rFonts w:hint="eastAsia" w:ascii="Times New Roman" w:hAnsi="Times New Roman" w:cs="宋体"/>
                <w:color w:val="auto"/>
                <w:sz w:val="24"/>
                <w:lang w:val="en-US" w:eastAsia="zh-CN"/>
              </w:rPr>
              <w:t>Q</w:t>
            </w:r>
            <w:r>
              <w:rPr>
                <w:rFonts w:hint="eastAsia" w:ascii="Times New Roman" w:hAnsi="Times New Roman" w:cs="宋体"/>
                <w:color w:val="auto"/>
                <w:sz w:val="24"/>
              </w:rPr>
              <w:t>=8；</w:t>
            </w:r>
          </w:p>
          <w:p w14:paraId="52496B68">
            <w:pPr>
              <w:adjustRightInd w:val="0"/>
              <w:snapToGrid w:val="0"/>
              <w:spacing w:line="360" w:lineRule="auto"/>
              <w:ind w:firstLine="480"/>
              <w:rPr>
                <w:rFonts w:hint="eastAsia" w:ascii="Times New Roman" w:hAnsi="Times New Roman" w:cs="宋体"/>
                <w:color w:val="auto"/>
                <w:sz w:val="24"/>
              </w:rPr>
            </w:pPr>
            <w:r>
              <w:rPr>
                <w:rFonts w:hint="eastAsia" w:ascii="Times New Roman" w:hAnsi="Times New Roman" w:cs="宋体"/>
                <w:color w:val="auto"/>
                <w:sz w:val="24"/>
              </w:rPr>
              <w:t>R—房间常数；R=Sa/(1-a)，s为房间内表面面积，m</w:t>
            </w:r>
            <w:r>
              <w:rPr>
                <w:rFonts w:hint="eastAsia" w:ascii="Times New Roman" w:hAnsi="Times New Roman" w:cs="宋体"/>
                <w:color w:val="auto"/>
                <w:sz w:val="24"/>
                <w:vertAlign w:val="superscript"/>
              </w:rPr>
              <w:t>2</w:t>
            </w:r>
            <w:r>
              <w:rPr>
                <w:rFonts w:hint="eastAsia" w:ascii="Times New Roman" w:hAnsi="Times New Roman" w:cs="宋体"/>
                <w:color w:val="auto"/>
                <w:sz w:val="24"/>
              </w:rPr>
              <w:t>；a为平均吸声系数；</w:t>
            </w:r>
          </w:p>
          <w:p w14:paraId="0981D662">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r</w:t>
            </w:r>
            <w:r>
              <w:rPr>
                <w:rFonts w:hint="eastAsia" w:ascii="Times New Roman" w:hAnsi="Times New Roman" w:cs="宋体"/>
                <w:color w:val="auto"/>
                <w:sz w:val="24"/>
              </w:rPr>
              <w:t>—</w:t>
            </w:r>
            <w:r>
              <w:rPr>
                <w:rFonts w:hint="eastAsia" w:ascii="Times New Roman" w:hAnsi="Times New Roman"/>
                <w:color w:val="auto"/>
                <w:sz w:val="24"/>
              </w:rPr>
              <w:t>声源到靠近围护结构某点处的距离，m。</w:t>
            </w:r>
          </w:p>
          <w:p w14:paraId="3FD467CE">
            <w:pPr>
              <w:adjustRightInd w:val="0"/>
              <w:snapToGrid w:val="0"/>
              <w:spacing w:line="360" w:lineRule="auto"/>
              <w:ind w:firstLine="480"/>
              <w:rPr>
                <w:rFonts w:ascii="Times New Roman" w:hAnsi="Times New Roman"/>
                <w:color w:val="auto"/>
                <w:sz w:val="24"/>
              </w:rPr>
            </w:pPr>
            <w:r>
              <w:rPr>
                <w:rFonts w:hint="eastAsia" w:ascii="Times New Roman" w:hAnsi="Times New Roman"/>
                <w:color w:val="auto"/>
                <w:sz w:val="24"/>
              </w:rPr>
              <w:t>③按下式</w:t>
            </w:r>
            <w:r>
              <w:rPr>
                <w:rFonts w:ascii="Times New Roman" w:hAnsi="Times New Roman"/>
                <w:color w:val="auto"/>
                <w:sz w:val="24"/>
              </w:rPr>
              <w:t>计算出所有室内声源在靠近围护结构处产生的</w:t>
            </w:r>
            <w:r>
              <w:rPr>
                <w:rFonts w:hint="eastAsia" w:ascii="Times New Roman" w:hAnsi="Times New Roman"/>
                <w:color w:val="auto"/>
                <w:sz w:val="24"/>
              </w:rPr>
              <w:t>i</w:t>
            </w:r>
            <w:r>
              <w:rPr>
                <w:rFonts w:ascii="Times New Roman" w:hAnsi="Times New Roman"/>
                <w:color w:val="auto"/>
                <w:sz w:val="24"/>
              </w:rPr>
              <w:t>倍频带</w:t>
            </w:r>
            <w:r>
              <w:rPr>
                <w:rFonts w:hint="eastAsia" w:ascii="Times New Roman" w:hAnsi="Times New Roman"/>
                <w:color w:val="auto"/>
                <w:sz w:val="24"/>
              </w:rPr>
              <w:t>叠加</w:t>
            </w:r>
            <w:r>
              <w:rPr>
                <w:rFonts w:ascii="Times New Roman" w:hAnsi="Times New Roman"/>
                <w:color w:val="auto"/>
                <w:sz w:val="24"/>
              </w:rPr>
              <w:t>声压级：</w:t>
            </w:r>
          </w:p>
          <w:p w14:paraId="4B39C036">
            <w:pPr>
              <w:adjustRightInd w:val="0"/>
              <w:snapToGrid w:val="0"/>
              <w:spacing w:line="360" w:lineRule="auto"/>
              <w:ind w:firstLine="480"/>
              <w:jc w:val="center"/>
              <w:rPr>
                <w:rFonts w:hint="eastAsia" w:ascii="Times New Roman" w:hAnsi="Times New Roman"/>
                <w:color w:val="auto"/>
                <w:sz w:val="24"/>
              </w:rPr>
            </w:pPr>
            <w:r>
              <w:rPr>
                <w:rFonts w:ascii="Times New Roman" w:hAnsi="Times New Roman"/>
                <w:color w:val="auto"/>
                <w:sz w:val="24"/>
              </w:rPr>
              <w:drawing>
                <wp:inline distT="0" distB="0" distL="114300" distR="114300">
                  <wp:extent cx="1688465" cy="482600"/>
                  <wp:effectExtent l="0" t="0" r="635" b="0"/>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20"/>
                          <a:stretch>
                            <a:fillRect/>
                          </a:stretch>
                        </pic:blipFill>
                        <pic:spPr>
                          <a:xfrm>
                            <a:off x="0" y="0"/>
                            <a:ext cx="1688465" cy="482600"/>
                          </a:xfrm>
                          <a:prstGeom prst="rect">
                            <a:avLst/>
                          </a:prstGeom>
                          <a:noFill/>
                          <a:ln>
                            <a:noFill/>
                          </a:ln>
                        </pic:spPr>
                      </pic:pic>
                    </a:graphicData>
                  </a:graphic>
                </wp:inline>
              </w:drawing>
            </w:r>
          </w:p>
          <w:p w14:paraId="1E7B92F0">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式中：</w:t>
            </w:r>
          </w:p>
          <w:p w14:paraId="4A0235F5">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L</w:t>
            </w:r>
            <w:r>
              <w:rPr>
                <w:rFonts w:hint="eastAsia" w:ascii="Times New Roman" w:hAnsi="Times New Roman"/>
                <w:color w:val="auto"/>
                <w:sz w:val="24"/>
                <w:vertAlign w:val="subscript"/>
              </w:rPr>
              <w:t>p1i</w:t>
            </w:r>
            <w:r>
              <w:rPr>
                <w:rFonts w:hint="eastAsia" w:ascii="Times New Roman" w:hAnsi="Times New Roman"/>
                <w:color w:val="auto"/>
                <w:sz w:val="24"/>
                <w:vertAlign w:val="baseline"/>
              </w:rPr>
              <w:t>(T)</w:t>
            </w:r>
            <w:r>
              <w:rPr>
                <w:rFonts w:hint="eastAsia" w:ascii="Times New Roman" w:hAnsi="Times New Roman" w:cs="宋体"/>
                <w:color w:val="auto"/>
                <w:sz w:val="24"/>
              </w:rPr>
              <w:t>—</w:t>
            </w:r>
            <w:r>
              <w:rPr>
                <w:rFonts w:hint="eastAsia" w:ascii="Times New Roman" w:hAnsi="Times New Roman"/>
                <w:color w:val="auto"/>
                <w:sz w:val="24"/>
              </w:rPr>
              <w:t>靠近围护结构处室内N个声源i倍频带的叠加声压级，dB；</w:t>
            </w:r>
          </w:p>
          <w:p w14:paraId="76FB3A35">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L</w:t>
            </w:r>
            <w:r>
              <w:rPr>
                <w:rFonts w:hint="eastAsia" w:ascii="Times New Roman" w:hAnsi="Times New Roman"/>
                <w:color w:val="auto"/>
                <w:sz w:val="24"/>
                <w:vertAlign w:val="subscript"/>
              </w:rPr>
              <w:t>p1ij</w:t>
            </w:r>
            <w:r>
              <w:rPr>
                <w:rFonts w:hint="eastAsia" w:ascii="Times New Roman" w:hAnsi="Times New Roman" w:cs="宋体"/>
                <w:color w:val="auto"/>
                <w:sz w:val="24"/>
              </w:rPr>
              <w:t>—</w:t>
            </w:r>
            <w:r>
              <w:rPr>
                <w:rFonts w:hint="eastAsia" w:ascii="Times New Roman" w:hAnsi="Times New Roman"/>
                <w:color w:val="auto"/>
                <w:sz w:val="24"/>
              </w:rPr>
              <w:t>室内j声源i倍频带的声压级，dB；</w:t>
            </w:r>
          </w:p>
          <w:p w14:paraId="6FEFD52B">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N</w:t>
            </w:r>
            <w:r>
              <w:rPr>
                <w:rFonts w:hint="eastAsia" w:ascii="Times New Roman" w:hAnsi="Times New Roman" w:cs="宋体"/>
                <w:color w:val="auto"/>
                <w:sz w:val="24"/>
              </w:rPr>
              <w:t>—</w:t>
            </w:r>
            <w:r>
              <w:rPr>
                <w:rFonts w:hint="eastAsia" w:ascii="Times New Roman" w:hAnsi="Times New Roman" w:eastAsia="宋体" w:cs="Times New Roman"/>
                <w:color w:val="auto"/>
                <w:sz w:val="24"/>
              </w:rPr>
              <w:t>室内</w:t>
            </w:r>
            <w:r>
              <w:rPr>
                <w:rFonts w:hint="eastAsia" w:ascii="Times New Roman" w:hAnsi="Times New Roman"/>
                <w:color w:val="auto"/>
                <w:sz w:val="24"/>
              </w:rPr>
              <w:t>声源总数。</w:t>
            </w:r>
          </w:p>
          <w:p w14:paraId="6E5AAEEA">
            <w:pPr>
              <w:adjustRightInd w:val="0"/>
              <w:snapToGrid w:val="0"/>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④</w:t>
            </w:r>
            <w:r>
              <w:rPr>
                <w:rFonts w:hint="default" w:ascii="Times New Roman" w:hAnsi="Times New Roman" w:eastAsia="宋体" w:cs="Times New Roman"/>
                <w:color w:val="auto"/>
                <w:sz w:val="24"/>
              </w:rPr>
              <w:t>在室内近似为扩散声场时，按</w:t>
            </w:r>
            <w:r>
              <w:rPr>
                <w:rFonts w:hint="eastAsia" w:ascii="Times New Roman" w:hAnsi="Times New Roman" w:eastAsia="宋体" w:cs="Times New Roman"/>
                <w:color w:val="auto"/>
                <w:sz w:val="24"/>
                <w:lang w:val="en-US" w:eastAsia="zh-CN"/>
              </w:rPr>
              <w:t>下</w:t>
            </w:r>
            <w:r>
              <w:rPr>
                <w:rFonts w:hint="default" w:ascii="Times New Roman" w:hAnsi="Times New Roman" w:eastAsia="宋体" w:cs="Times New Roman"/>
                <w:color w:val="auto"/>
                <w:sz w:val="24"/>
              </w:rPr>
              <w:t>式</w:t>
            </w:r>
            <w:r>
              <w:rPr>
                <w:rFonts w:hint="eastAsia" w:ascii="Times New Roman" w:hAnsi="Times New Roman" w:eastAsia="宋体" w:cs="Times New Roman"/>
                <w:color w:val="auto"/>
                <w:sz w:val="24"/>
              </w:rPr>
              <w:t>计算出室外靠近围护结构处的声压级：</w:t>
            </w:r>
          </w:p>
          <w:p w14:paraId="523F3976">
            <w:pPr>
              <w:adjustRightInd w:val="0"/>
              <w:snapToGrid w:val="0"/>
              <w:spacing w:line="360" w:lineRule="auto"/>
              <w:ind w:firstLine="480"/>
              <w:jc w:val="center"/>
              <w:rPr>
                <w:rFonts w:hint="eastAsia" w:ascii="Times New Roman" w:hAnsi="Times New Roman"/>
                <w:color w:val="auto"/>
                <w:sz w:val="24"/>
              </w:rPr>
            </w:pPr>
            <w:r>
              <w:rPr>
                <w:rFonts w:ascii="Times New Roman" w:hAnsi="Times New Roman"/>
                <w:color w:val="auto"/>
                <w:sz w:val="24"/>
              </w:rPr>
              <w:drawing>
                <wp:inline distT="0" distB="0" distL="114300" distR="114300">
                  <wp:extent cx="1777365" cy="241300"/>
                  <wp:effectExtent l="0" t="0" r="0" b="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21"/>
                          <a:stretch>
                            <a:fillRect/>
                          </a:stretch>
                        </pic:blipFill>
                        <pic:spPr>
                          <a:xfrm>
                            <a:off x="0" y="0"/>
                            <a:ext cx="1777365" cy="241300"/>
                          </a:xfrm>
                          <a:prstGeom prst="rect">
                            <a:avLst/>
                          </a:prstGeom>
                          <a:noFill/>
                          <a:ln>
                            <a:noFill/>
                          </a:ln>
                        </pic:spPr>
                      </pic:pic>
                    </a:graphicData>
                  </a:graphic>
                </wp:inline>
              </w:drawing>
            </w:r>
          </w:p>
          <w:p w14:paraId="1640D96D">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式中：</w:t>
            </w:r>
          </w:p>
          <w:p w14:paraId="3CD39AE6">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L</w:t>
            </w:r>
            <w:r>
              <w:rPr>
                <w:rFonts w:hint="eastAsia" w:ascii="Times New Roman" w:hAnsi="Times New Roman"/>
                <w:color w:val="auto"/>
                <w:sz w:val="24"/>
                <w:vertAlign w:val="subscript"/>
              </w:rPr>
              <w:t>p2i</w:t>
            </w:r>
            <w:r>
              <w:rPr>
                <w:rFonts w:hint="eastAsia" w:ascii="Times New Roman" w:hAnsi="Times New Roman"/>
                <w:color w:val="auto"/>
                <w:sz w:val="24"/>
                <w:vertAlign w:val="baseline"/>
              </w:rPr>
              <w:t>(T)</w:t>
            </w:r>
            <w:r>
              <w:rPr>
                <w:rFonts w:hint="eastAsia" w:ascii="Times New Roman" w:hAnsi="Times New Roman" w:cs="宋体"/>
                <w:color w:val="auto"/>
                <w:sz w:val="24"/>
              </w:rPr>
              <w:t>—</w:t>
            </w:r>
            <w:r>
              <w:rPr>
                <w:rFonts w:hint="eastAsia" w:ascii="Times New Roman" w:hAnsi="Times New Roman"/>
                <w:color w:val="auto"/>
                <w:sz w:val="24"/>
              </w:rPr>
              <w:t>靠近围护结构处室</w:t>
            </w:r>
            <w:r>
              <w:rPr>
                <w:rFonts w:hint="eastAsia" w:ascii="Times New Roman" w:hAnsi="Times New Roman"/>
                <w:color w:val="auto"/>
                <w:sz w:val="24"/>
                <w:lang w:val="en-US" w:eastAsia="zh-CN"/>
              </w:rPr>
              <w:t>外</w:t>
            </w:r>
            <w:r>
              <w:rPr>
                <w:rFonts w:hint="eastAsia" w:ascii="Times New Roman" w:hAnsi="Times New Roman"/>
                <w:color w:val="auto"/>
                <w:sz w:val="24"/>
              </w:rPr>
              <w:t>N个声源i倍频带的叠加声压级，dB；</w:t>
            </w:r>
          </w:p>
          <w:p w14:paraId="6299B7DB">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L</w:t>
            </w:r>
            <w:r>
              <w:rPr>
                <w:rFonts w:hint="eastAsia" w:ascii="Times New Roman" w:hAnsi="Times New Roman"/>
                <w:color w:val="auto"/>
                <w:sz w:val="24"/>
                <w:vertAlign w:val="subscript"/>
              </w:rPr>
              <w:t>p</w:t>
            </w:r>
            <w:r>
              <w:rPr>
                <w:rFonts w:hint="eastAsia" w:ascii="Times New Roman" w:hAnsi="Times New Roman"/>
                <w:color w:val="auto"/>
                <w:sz w:val="24"/>
                <w:vertAlign w:val="subscript"/>
                <w:lang w:val="en-US" w:eastAsia="zh-CN"/>
              </w:rPr>
              <w:t>1</w:t>
            </w:r>
            <w:r>
              <w:rPr>
                <w:rFonts w:hint="eastAsia" w:ascii="Times New Roman" w:hAnsi="Times New Roman"/>
                <w:color w:val="auto"/>
                <w:sz w:val="24"/>
                <w:vertAlign w:val="subscript"/>
              </w:rPr>
              <w:t>i</w:t>
            </w:r>
            <w:r>
              <w:rPr>
                <w:rFonts w:hint="eastAsia" w:ascii="Times New Roman" w:hAnsi="Times New Roman"/>
                <w:color w:val="auto"/>
                <w:sz w:val="24"/>
                <w:vertAlign w:val="baseline"/>
              </w:rPr>
              <w:t>(T)</w:t>
            </w:r>
            <w:r>
              <w:rPr>
                <w:rFonts w:hint="eastAsia" w:ascii="Times New Roman" w:hAnsi="Times New Roman" w:cs="宋体"/>
                <w:color w:val="auto"/>
                <w:sz w:val="24"/>
              </w:rPr>
              <w:t>—</w:t>
            </w:r>
            <w:r>
              <w:rPr>
                <w:rFonts w:hint="eastAsia" w:ascii="Times New Roman" w:hAnsi="Times New Roman"/>
                <w:color w:val="auto"/>
                <w:sz w:val="24"/>
              </w:rPr>
              <w:t>靠近围护结构处室内N个声源i倍频带的叠加声压级，dB；</w:t>
            </w:r>
          </w:p>
          <w:p w14:paraId="365463A5">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TL</w:t>
            </w:r>
            <w:r>
              <w:rPr>
                <w:rFonts w:hint="eastAsia" w:ascii="Times New Roman" w:hAnsi="Times New Roman"/>
                <w:color w:val="auto"/>
                <w:sz w:val="24"/>
                <w:vertAlign w:val="subscript"/>
              </w:rPr>
              <w:t>i</w:t>
            </w:r>
            <w:r>
              <w:rPr>
                <w:rFonts w:hint="eastAsia" w:ascii="Times New Roman" w:hAnsi="Times New Roman" w:cs="宋体"/>
                <w:color w:val="auto"/>
                <w:sz w:val="24"/>
              </w:rPr>
              <w:t>—</w:t>
            </w:r>
            <w:r>
              <w:rPr>
                <w:rFonts w:hint="eastAsia" w:ascii="Times New Roman" w:hAnsi="Times New Roman" w:eastAsia="宋体" w:cs="Times New Roman"/>
                <w:color w:val="auto"/>
                <w:sz w:val="24"/>
              </w:rPr>
              <w:t>围护</w:t>
            </w:r>
            <w:r>
              <w:rPr>
                <w:rFonts w:hint="eastAsia" w:ascii="Times New Roman" w:hAnsi="Times New Roman"/>
                <w:color w:val="auto"/>
                <w:sz w:val="24"/>
              </w:rPr>
              <w:t>结构i倍频带的隔声量，dB。</w:t>
            </w:r>
          </w:p>
          <w:p w14:paraId="71BA4C07">
            <w:pPr>
              <w:adjustRightInd w:val="0"/>
              <w:snapToGrid w:val="0"/>
              <w:spacing w:line="360" w:lineRule="auto"/>
              <w:ind w:firstLine="480"/>
              <w:rPr>
                <w:rFonts w:ascii="Times New Roman" w:hAnsi="Times New Roman"/>
                <w:color w:val="auto"/>
                <w:sz w:val="24"/>
              </w:rPr>
            </w:pPr>
            <w:r>
              <w:rPr>
                <w:rFonts w:hint="eastAsia" w:ascii="Times New Roman" w:hAnsi="Times New Roman" w:cs="宋体"/>
                <w:color w:val="auto"/>
                <w:sz w:val="24"/>
              </w:rPr>
              <w:t>⑤</w:t>
            </w:r>
            <w:r>
              <w:rPr>
                <w:rFonts w:hint="eastAsia" w:ascii="Times New Roman" w:hAnsi="Times New Roman" w:cs="宋体"/>
                <w:color w:val="auto"/>
                <w:sz w:val="24"/>
                <w:lang w:val="en-US" w:eastAsia="zh-CN"/>
              </w:rPr>
              <w:t>按下式</w:t>
            </w:r>
            <w:r>
              <w:rPr>
                <w:rFonts w:ascii="Times New Roman" w:hAnsi="Times New Roman"/>
                <w:color w:val="auto"/>
                <w:sz w:val="24"/>
              </w:rPr>
              <w:t>将室外</w:t>
            </w:r>
            <w:r>
              <w:rPr>
                <w:rFonts w:hint="eastAsia" w:ascii="Times New Roman" w:hAnsi="Times New Roman"/>
                <w:color w:val="auto"/>
                <w:sz w:val="24"/>
              </w:rPr>
              <w:t>声源的声压级</w:t>
            </w:r>
            <w:r>
              <w:rPr>
                <w:rFonts w:ascii="Times New Roman" w:hAnsi="Times New Roman"/>
                <w:color w:val="auto"/>
                <w:sz w:val="24"/>
              </w:rPr>
              <w:t>和透声面积换算成等效的室外声源，计算出</w:t>
            </w:r>
            <w:r>
              <w:rPr>
                <w:rFonts w:hint="eastAsia" w:ascii="Times New Roman" w:hAnsi="Times New Roman"/>
                <w:color w:val="auto"/>
                <w:sz w:val="24"/>
              </w:rPr>
              <w:t>中心位置位于透声面积(S)处的</w:t>
            </w:r>
            <w:r>
              <w:rPr>
                <w:rFonts w:ascii="Times New Roman" w:hAnsi="Times New Roman"/>
                <w:color w:val="auto"/>
                <w:sz w:val="24"/>
              </w:rPr>
              <w:t>等效声源</w:t>
            </w:r>
            <w:r>
              <w:rPr>
                <w:rFonts w:hint="eastAsia" w:ascii="Times New Roman" w:hAnsi="Times New Roman"/>
                <w:color w:val="auto"/>
                <w:sz w:val="24"/>
              </w:rPr>
              <w:t>的</w:t>
            </w:r>
            <w:r>
              <w:rPr>
                <w:rFonts w:ascii="Times New Roman" w:hAnsi="Times New Roman"/>
                <w:color w:val="auto"/>
                <w:sz w:val="24"/>
              </w:rPr>
              <w:t>倍频带的声功率级</w:t>
            </w:r>
            <w:r>
              <w:rPr>
                <w:rFonts w:ascii="Times New Roman" w:hAnsi="Times New Roman"/>
                <w:color w:val="auto"/>
                <w:sz w:val="24"/>
              </w:rPr>
              <w:softHyphen/>
            </w:r>
            <w:r>
              <w:rPr>
                <w:rFonts w:ascii="Times New Roman" w:hAnsi="Times New Roman"/>
                <w:color w:val="auto"/>
                <w:sz w:val="24"/>
              </w:rPr>
              <w:softHyphen/>
            </w:r>
            <w:r>
              <w:rPr>
                <w:rFonts w:ascii="Times New Roman" w:hAnsi="Times New Roman"/>
                <w:color w:val="auto"/>
                <w:sz w:val="24"/>
              </w:rPr>
              <w:t>：</w:t>
            </w:r>
          </w:p>
          <w:p w14:paraId="07297A95">
            <w:pPr>
              <w:adjustRightInd w:val="0"/>
              <w:snapToGrid w:val="0"/>
              <w:spacing w:line="360" w:lineRule="auto"/>
              <w:ind w:firstLine="480"/>
              <w:jc w:val="center"/>
              <w:rPr>
                <w:rFonts w:ascii="Times New Roman" w:hAnsi="Times New Roman"/>
                <w:color w:val="auto"/>
                <w:sz w:val="24"/>
              </w:rPr>
            </w:pPr>
            <w:r>
              <w:rPr>
                <w:rFonts w:ascii="Times New Roman" w:hAnsi="Times New Roman"/>
                <w:color w:val="auto"/>
                <w:sz w:val="24"/>
              </w:rPr>
              <w:drawing>
                <wp:inline distT="0" distB="0" distL="114300" distR="114300">
                  <wp:extent cx="1333500" cy="241300"/>
                  <wp:effectExtent l="0" t="0" r="0" b="0"/>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22"/>
                          <a:stretch>
                            <a:fillRect/>
                          </a:stretch>
                        </pic:blipFill>
                        <pic:spPr>
                          <a:xfrm>
                            <a:off x="0" y="0"/>
                            <a:ext cx="1333500" cy="241300"/>
                          </a:xfrm>
                          <a:prstGeom prst="rect">
                            <a:avLst/>
                          </a:prstGeom>
                          <a:noFill/>
                          <a:ln>
                            <a:noFill/>
                          </a:ln>
                        </pic:spPr>
                      </pic:pic>
                    </a:graphicData>
                  </a:graphic>
                </wp:inline>
              </w:drawing>
            </w:r>
          </w:p>
          <w:p w14:paraId="61AFB8CA">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式中：</w:t>
            </w:r>
          </w:p>
          <w:p w14:paraId="0E1E6B96">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lang w:val="en-US" w:eastAsia="zh-CN"/>
              </w:rPr>
              <w:t>L</w:t>
            </w:r>
            <w:r>
              <w:rPr>
                <w:rFonts w:hint="eastAsia" w:ascii="Times New Roman" w:hAnsi="Times New Roman"/>
                <w:color w:val="auto"/>
                <w:sz w:val="24"/>
              </w:rPr>
              <w:t>w—中心位置位于透声面积</w:t>
            </w:r>
            <w:r>
              <w:rPr>
                <w:rFonts w:hint="eastAsia" w:ascii="Times New Roman" w:hAnsi="Times New Roman"/>
                <w:color w:val="auto"/>
                <w:sz w:val="24"/>
                <w:lang w:val="en-US" w:eastAsia="zh-CN"/>
              </w:rPr>
              <w:t>(</w:t>
            </w:r>
            <w:r>
              <w:rPr>
                <w:rFonts w:hint="eastAsia" w:ascii="Times New Roman" w:hAnsi="Times New Roman"/>
                <w:color w:val="auto"/>
                <w:sz w:val="24"/>
              </w:rPr>
              <w:t>S)处的等效声源的倍频带声功率级，dB；</w:t>
            </w:r>
          </w:p>
          <w:p w14:paraId="6E44A8B9">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rPr>
              <w:t>Lp</w:t>
            </w:r>
            <w:r>
              <w:rPr>
                <w:rFonts w:hint="eastAsia" w:ascii="Times New Roman" w:hAnsi="Times New Roman"/>
                <w:color w:val="auto"/>
                <w:sz w:val="24"/>
                <w:vertAlign w:val="subscript"/>
              </w:rPr>
              <w:t>2</w:t>
            </w:r>
            <w:r>
              <w:rPr>
                <w:rFonts w:hint="eastAsia" w:ascii="Times New Roman" w:hAnsi="Times New Roman"/>
                <w:color w:val="auto"/>
                <w:sz w:val="24"/>
                <w:lang w:val="en-US" w:eastAsia="zh-CN"/>
              </w:rPr>
              <w:t>(</w:t>
            </w:r>
            <w:r>
              <w:rPr>
                <w:rFonts w:hint="eastAsia" w:ascii="Times New Roman" w:hAnsi="Times New Roman"/>
                <w:color w:val="auto"/>
                <w:sz w:val="24"/>
              </w:rPr>
              <w:t>T</w:t>
            </w:r>
            <w:r>
              <w:rPr>
                <w:rFonts w:hint="eastAsia" w:ascii="Times New Roman" w:hAnsi="Times New Roman"/>
                <w:color w:val="auto"/>
                <w:sz w:val="24"/>
                <w:lang w:val="en-US" w:eastAsia="zh-CN"/>
              </w:rPr>
              <w:t>)</w:t>
            </w:r>
            <w:r>
              <w:rPr>
                <w:rFonts w:hint="eastAsia" w:ascii="Times New Roman" w:hAnsi="Times New Roman"/>
                <w:color w:val="auto"/>
                <w:sz w:val="24"/>
              </w:rPr>
              <w:t>—靠近围护结构处室外声源的声压级，dB；</w:t>
            </w:r>
          </w:p>
          <w:p w14:paraId="4E52C8C4">
            <w:pPr>
              <w:adjustRightInd w:val="0"/>
              <w:snapToGrid w:val="0"/>
              <w:spacing w:line="360" w:lineRule="auto"/>
              <w:ind w:firstLine="480"/>
              <w:rPr>
                <w:rFonts w:hint="eastAsia" w:ascii="Times New Roman" w:hAnsi="Times New Roman"/>
                <w:color w:val="auto"/>
                <w:sz w:val="24"/>
              </w:rPr>
            </w:pPr>
            <w:r>
              <w:rPr>
                <w:rFonts w:hint="eastAsia" w:ascii="Times New Roman" w:hAnsi="Times New Roman"/>
                <w:color w:val="auto"/>
                <w:sz w:val="24"/>
                <w:lang w:val="en-US" w:eastAsia="zh-CN"/>
              </w:rPr>
              <w:t>S</w:t>
            </w:r>
            <w:r>
              <w:rPr>
                <w:rFonts w:hint="eastAsia" w:ascii="Times New Roman" w:hAnsi="Times New Roman"/>
                <w:color w:val="auto"/>
                <w:sz w:val="24"/>
              </w:rPr>
              <w:t>透声面积，m</w:t>
            </w:r>
            <w:r>
              <w:rPr>
                <w:rFonts w:hint="eastAsia" w:ascii="Times New Roman" w:hAnsi="Times New Roman"/>
                <w:color w:val="auto"/>
                <w:sz w:val="24"/>
                <w:vertAlign w:val="superscript"/>
              </w:rPr>
              <w:t>2</w:t>
            </w:r>
            <w:r>
              <w:rPr>
                <w:rFonts w:hint="eastAsia" w:ascii="Times New Roman" w:hAnsi="Times New Roman"/>
                <w:color w:val="auto"/>
                <w:sz w:val="24"/>
              </w:rPr>
              <w:t>。</w:t>
            </w:r>
          </w:p>
          <w:p w14:paraId="03B83075">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户外声传播的衰减</w:t>
            </w:r>
          </w:p>
          <w:p w14:paraId="4258B1C4">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户外声传播衰减包括几何发散</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Adiv</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、大气吸收</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Aatm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、地面效应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Agr</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、障碍物屏蔽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Abar</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、其他多方面效应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Amisc</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引起的衰减。</w:t>
            </w:r>
          </w:p>
          <w:p w14:paraId="5E1A8D6C">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lang w:val="en-US" w:eastAsia="zh-CN"/>
              </w:rPr>
              <w:t>基本公式</w:t>
            </w:r>
          </w:p>
          <w:p w14:paraId="04AECA24">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某个声源在预测点处声压级的计算公式如下：</w:t>
            </w:r>
          </w:p>
          <w:p w14:paraId="1462F0DA">
            <w:pPr>
              <w:adjustRightInd w:val="0"/>
              <w:snapToGrid w:val="0"/>
              <w:spacing w:line="360" w:lineRule="auto"/>
              <w:ind w:firstLine="480"/>
              <w:jc w:val="center"/>
              <w:rPr>
                <w:rFonts w:ascii="Times New Roman" w:hAnsi="Times New Roman"/>
                <w:color w:val="auto"/>
                <w:sz w:val="24"/>
              </w:rPr>
            </w:pPr>
            <w:r>
              <w:rPr>
                <w:rFonts w:hint="default" w:ascii="Times New Roman" w:hAnsi="Times New Roman" w:eastAsia="Times New Roman"/>
                <w:i/>
                <w:color w:val="auto"/>
                <w:sz w:val="24"/>
                <w:szCs w:val="24"/>
              </w:rPr>
              <w:t>Lp</w:t>
            </w:r>
            <w:r>
              <w:rPr>
                <w:rFonts w:hint="default" w:ascii="Times New Roman" w:hAnsi="Times New Roman" w:eastAsia="Times New Roman"/>
                <w:color w:val="auto"/>
                <w:sz w:val="24"/>
                <w:szCs w:val="24"/>
              </w:rPr>
              <w:t>(</w:t>
            </w:r>
            <w:r>
              <w:rPr>
                <w:rFonts w:hint="default" w:ascii="Times New Roman" w:hAnsi="Times New Roman" w:eastAsia="Times New Roman"/>
                <w:i/>
                <w:color w:val="auto"/>
                <w:sz w:val="24"/>
                <w:szCs w:val="24"/>
              </w:rPr>
              <w:t>r</w:t>
            </w:r>
            <w:r>
              <w:rPr>
                <w:rFonts w:hint="default" w:ascii="Times New Roman" w:hAnsi="Times New Roman" w:eastAsia="Times New Roman"/>
                <w:color w:val="auto"/>
                <w:sz w:val="24"/>
                <w:szCs w:val="24"/>
              </w:rPr>
              <w:t>)</w:t>
            </w:r>
            <w:r>
              <w:rPr>
                <w:rFonts w:hint="default" w:ascii="Times New Roman" w:hAnsi="Times New Roman" w:eastAsia="宋体"/>
                <w:color w:val="auto"/>
                <w:sz w:val="24"/>
                <w:szCs w:val="24"/>
              </w:rPr>
              <w:t>＝</w:t>
            </w:r>
            <w:r>
              <w:rPr>
                <w:rFonts w:hint="default" w:ascii="Times New Roman" w:hAnsi="Times New Roman" w:eastAsia="Times New Roman"/>
                <w:i/>
                <w:color w:val="auto"/>
                <w:sz w:val="24"/>
                <w:szCs w:val="24"/>
              </w:rPr>
              <w:t>Lw</w:t>
            </w:r>
            <w:r>
              <w:rPr>
                <w:rFonts w:hint="default" w:ascii="Times New Roman" w:hAnsi="Times New Roman" w:eastAsia="Times New Roman"/>
                <w:color w:val="auto"/>
                <w:sz w:val="24"/>
                <w:szCs w:val="24"/>
              </w:rPr>
              <w:t>+</w:t>
            </w:r>
            <w:r>
              <w:rPr>
                <w:rFonts w:hint="default" w:ascii="Times New Roman" w:hAnsi="Times New Roman" w:eastAsia="Times New Roman"/>
                <w:i/>
                <w:color w:val="auto"/>
                <w:sz w:val="24"/>
                <w:szCs w:val="24"/>
              </w:rPr>
              <w:t>D</w:t>
            </w:r>
            <w:r>
              <w:rPr>
                <w:rFonts w:hint="default" w:ascii="Times New Roman" w:hAnsi="Times New Roman" w:eastAsia="Times New Roman"/>
                <w:color w:val="auto"/>
                <w:sz w:val="24"/>
                <w:szCs w:val="24"/>
              </w:rPr>
              <w:t>C</w:t>
            </w:r>
            <w:r>
              <w:rPr>
                <w:rFonts w:hint="default" w:ascii="Times New Roman" w:hAnsi="Times New Roman" w:eastAsia="宋体"/>
                <w:color w:val="auto"/>
                <w:sz w:val="24"/>
                <w:szCs w:val="24"/>
              </w:rPr>
              <w:t>－</w:t>
            </w:r>
            <w:r>
              <w:rPr>
                <w:rFonts w:hint="default" w:ascii="Times New Roman" w:hAnsi="Times New Roman" w:eastAsia="Times New Roman"/>
                <w:color w:val="auto"/>
                <w:sz w:val="24"/>
                <w:szCs w:val="24"/>
              </w:rPr>
              <w:t>(</w:t>
            </w:r>
            <w:r>
              <w:rPr>
                <w:rFonts w:hint="default" w:ascii="Times New Roman" w:hAnsi="Times New Roman" w:eastAsia="Times New Roman"/>
                <w:i/>
                <w:color w:val="auto"/>
                <w:sz w:val="24"/>
                <w:szCs w:val="24"/>
              </w:rPr>
              <w:t>A</w:t>
            </w:r>
            <w:r>
              <w:rPr>
                <w:rFonts w:hint="default" w:ascii="Times New Roman" w:hAnsi="Times New Roman" w:eastAsia="Times New Roman"/>
                <w:color w:val="auto"/>
                <w:sz w:val="24"/>
                <w:szCs w:val="24"/>
              </w:rPr>
              <w:t>div</w:t>
            </w:r>
            <w:r>
              <w:rPr>
                <w:rFonts w:hint="default" w:ascii="Times New Roman" w:hAnsi="Times New Roman" w:eastAsia="宋体"/>
                <w:color w:val="auto"/>
                <w:sz w:val="24"/>
                <w:szCs w:val="24"/>
              </w:rPr>
              <w:t>＋</w:t>
            </w:r>
            <w:r>
              <w:rPr>
                <w:rFonts w:hint="default" w:ascii="Times New Roman" w:hAnsi="Times New Roman" w:eastAsia="Times New Roman"/>
                <w:i/>
                <w:color w:val="auto"/>
                <w:sz w:val="24"/>
                <w:szCs w:val="24"/>
              </w:rPr>
              <w:t>A</w:t>
            </w:r>
            <w:r>
              <w:rPr>
                <w:rFonts w:hint="default" w:ascii="Times New Roman" w:hAnsi="Times New Roman" w:eastAsia="Times New Roman"/>
                <w:color w:val="auto"/>
                <w:sz w:val="24"/>
                <w:szCs w:val="24"/>
              </w:rPr>
              <w:t>atm</w:t>
            </w:r>
            <w:r>
              <w:rPr>
                <w:rFonts w:hint="default" w:ascii="Times New Roman" w:hAnsi="Times New Roman" w:eastAsia="宋体"/>
                <w:color w:val="auto"/>
                <w:sz w:val="24"/>
                <w:szCs w:val="24"/>
              </w:rPr>
              <w:t>＋</w:t>
            </w:r>
            <w:r>
              <w:rPr>
                <w:rFonts w:hint="default" w:ascii="Times New Roman" w:hAnsi="Times New Roman" w:eastAsia="Times New Roman"/>
                <w:i/>
                <w:color w:val="auto"/>
                <w:sz w:val="24"/>
                <w:szCs w:val="24"/>
              </w:rPr>
              <w:t>A</w:t>
            </w:r>
            <w:r>
              <w:rPr>
                <w:rFonts w:hint="default" w:ascii="Times New Roman" w:hAnsi="Times New Roman" w:eastAsia="Times New Roman"/>
                <w:color w:val="auto"/>
                <w:sz w:val="24"/>
                <w:szCs w:val="24"/>
              </w:rPr>
              <w:t>gr</w:t>
            </w:r>
            <w:r>
              <w:rPr>
                <w:rFonts w:hint="default" w:ascii="Times New Roman" w:hAnsi="Times New Roman" w:eastAsia="宋体"/>
                <w:color w:val="auto"/>
                <w:sz w:val="24"/>
                <w:szCs w:val="24"/>
              </w:rPr>
              <w:t>＋</w:t>
            </w:r>
            <w:r>
              <w:rPr>
                <w:rFonts w:hint="default" w:ascii="Times New Roman" w:hAnsi="Times New Roman" w:eastAsia="Times New Roman"/>
                <w:i/>
                <w:color w:val="auto"/>
                <w:sz w:val="24"/>
                <w:szCs w:val="24"/>
              </w:rPr>
              <w:t>A</w:t>
            </w:r>
            <w:r>
              <w:rPr>
                <w:rFonts w:hint="default" w:ascii="Times New Roman" w:hAnsi="Times New Roman" w:eastAsia="Times New Roman"/>
                <w:color w:val="auto"/>
                <w:sz w:val="24"/>
                <w:szCs w:val="24"/>
              </w:rPr>
              <w:t>bar</w:t>
            </w:r>
            <w:r>
              <w:rPr>
                <w:rFonts w:hint="default" w:ascii="Times New Roman" w:hAnsi="Times New Roman" w:eastAsia="宋体"/>
                <w:color w:val="auto"/>
                <w:sz w:val="24"/>
                <w:szCs w:val="24"/>
              </w:rPr>
              <w:t>＋</w:t>
            </w:r>
            <w:r>
              <w:rPr>
                <w:rFonts w:hint="default" w:ascii="Times New Roman" w:hAnsi="Times New Roman" w:eastAsia="Times New Roman"/>
                <w:i/>
                <w:color w:val="auto"/>
                <w:sz w:val="24"/>
                <w:szCs w:val="24"/>
              </w:rPr>
              <w:t>A</w:t>
            </w:r>
            <w:r>
              <w:rPr>
                <w:rFonts w:hint="default" w:ascii="Times New Roman" w:hAnsi="Times New Roman" w:eastAsia="Times New Roman"/>
                <w:color w:val="auto"/>
                <w:sz w:val="24"/>
                <w:szCs w:val="24"/>
              </w:rPr>
              <w:t>misc)</w:t>
            </w:r>
          </w:p>
          <w:p w14:paraId="216F429C">
            <w:pPr>
              <w:adjustRightInd w:val="0"/>
              <w:snapToGrid w:val="0"/>
              <w:spacing w:line="360" w:lineRule="auto"/>
              <w:ind w:firstLine="480"/>
              <w:jc w:val="center"/>
              <w:rPr>
                <w:rFonts w:hint="eastAsia" w:ascii="Times New Roman" w:hAnsi="Times New Roman" w:eastAsia="宋体"/>
                <w:color w:val="auto"/>
                <w:sz w:val="24"/>
                <w:szCs w:val="24"/>
                <w:lang w:val="en-US" w:eastAsia="zh-CN"/>
              </w:rPr>
            </w:pPr>
            <w:r>
              <w:rPr>
                <w:rFonts w:hint="default" w:ascii="Times New Roman" w:hAnsi="Times New Roman" w:eastAsia="Times New Roman"/>
                <w:i/>
                <w:color w:val="auto"/>
                <w:sz w:val="24"/>
                <w:szCs w:val="24"/>
              </w:rPr>
              <w:t>Lp</w:t>
            </w:r>
            <w:r>
              <w:rPr>
                <w:rFonts w:hint="default" w:ascii="Times New Roman" w:hAnsi="Times New Roman" w:eastAsia="Times New Roman"/>
                <w:color w:val="auto"/>
                <w:sz w:val="24"/>
                <w:szCs w:val="24"/>
              </w:rPr>
              <w:t>(</w:t>
            </w:r>
            <w:r>
              <w:rPr>
                <w:rFonts w:hint="default" w:ascii="Times New Roman" w:hAnsi="Times New Roman" w:eastAsia="Times New Roman"/>
                <w:i/>
                <w:color w:val="auto"/>
                <w:sz w:val="24"/>
                <w:szCs w:val="24"/>
              </w:rPr>
              <w:t>r</w:t>
            </w:r>
            <w:r>
              <w:rPr>
                <w:rFonts w:hint="default" w:ascii="Times New Roman" w:hAnsi="Times New Roman" w:eastAsia="Times New Roman"/>
                <w:color w:val="auto"/>
                <w:sz w:val="24"/>
                <w:szCs w:val="24"/>
              </w:rPr>
              <w:t>)</w:t>
            </w:r>
            <w:r>
              <w:rPr>
                <w:rFonts w:hint="default" w:ascii="Times New Roman" w:hAnsi="Times New Roman" w:eastAsia="宋体"/>
                <w:color w:val="auto"/>
                <w:sz w:val="24"/>
                <w:szCs w:val="24"/>
              </w:rPr>
              <w:t>＝</w:t>
            </w:r>
            <w:r>
              <w:rPr>
                <w:rFonts w:hint="default" w:ascii="Times New Roman" w:hAnsi="Times New Roman" w:eastAsia="Times New Roman"/>
                <w:i/>
                <w:color w:val="auto"/>
                <w:sz w:val="24"/>
                <w:szCs w:val="24"/>
              </w:rPr>
              <w:t>Lp</w:t>
            </w:r>
            <w:r>
              <w:rPr>
                <w:rFonts w:hint="default" w:ascii="Times New Roman" w:hAnsi="Times New Roman" w:eastAsia="Times New Roman"/>
                <w:color w:val="auto"/>
                <w:sz w:val="24"/>
                <w:szCs w:val="24"/>
              </w:rPr>
              <w:t>(</w:t>
            </w:r>
            <w:r>
              <w:rPr>
                <w:rFonts w:hint="default" w:ascii="Times New Roman" w:hAnsi="Times New Roman" w:eastAsia="Times New Roman"/>
                <w:i/>
                <w:color w:val="auto"/>
                <w:sz w:val="24"/>
                <w:szCs w:val="24"/>
              </w:rPr>
              <w:t>r</w:t>
            </w:r>
            <w:r>
              <w:rPr>
                <w:rFonts w:hint="default" w:ascii="Times New Roman" w:hAnsi="Times New Roman" w:eastAsia="Times New Roman"/>
                <w:color w:val="auto"/>
                <w:sz w:val="24"/>
                <w:szCs w:val="24"/>
              </w:rPr>
              <w:t>0)+</w:t>
            </w:r>
            <w:r>
              <w:rPr>
                <w:rFonts w:hint="default" w:ascii="Times New Roman" w:hAnsi="Times New Roman" w:eastAsia="Times New Roman"/>
                <w:i/>
                <w:color w:val="auto"/>
                <w:sz w:val="24"/>
                <w:szCs w:val="24"/>
              </w:rPr>
              <w:t>D</w:t>
            </w:r>
            <w:r>
              <w:rPr>
                <w:rFonts w:hint="default" w:ascii="Times New Roman" w:hAnsi="Times New Roman" w:eastAsia="Times New Roman"/>
                <w:color w:val="auto"/>
                <w:sz w:val="24"/>
                <w:szCs w:val="24"/>
              </w:rPr>
              <w:t>C</w:t>
            </w:r>
            <w:r>
              <w:rPr>
                <w:rFonts w:hint="default" w:ascii="Times New Roman" w:hAnsi="Times New Roman" w:eastAsia="宋体"/>
                <w:color w:val="auto"/>
                <w:sz w:val="24"/>
                <w:szCs w:val="24"/>
              </w:rPr>
              <w:t>－</w:t>
            </w:r>
            <w:r>
              <w:rPr>
                <w:rFonts w:hint="default" w:ascii="Times New Roman" w:hAnsi="Times New Roman" w:eastAsia="Times New Roman"/>
                <w:color w:val="auto"/>
                <w:sz w:val="24"/>
                <w:szCs w:val="24"/>
              </w:rPr>
              <w:t>(</w:t>
            </w:r>
            <w:r>
              <w:rPr>
                <w:rFonts w:hint="default" w:ascii="Times New Roman" w:hAnsi="Times New Roman" w:eastAsia="Times New Roman"/>
                <w:i/>
                <w:color w:val="auto"/>
                <w:sz w:val="24"/>
                <w:szCs w:val="24"/>
              </w:rPr>
              <w:t>A</w:t>
            </w:r>
            <w:r>
              <w:rPr>
                <w:rFonts w:hint="default" w:ascii="Times New Roman" w:hAnsi="Times New Roman" w:eastAsia="Times New Roman"/>
                <w:color w:val="auto"/>
                <w:sz w:val="24"/>
                <w:szCs w:val="24"/>
              </w:rPr>
              <w:t>div</w:t>
            </w:r>
            <w:r>
              <w:rPr>
                <w:rFonts w:hint="default" w:ascii="Times New Roman" w:hAnsi="Times New Roman" w:eastAsia="宋体"/>
                <w:color w:val="auto"/>
                <w:sz w:val="24"/>
                <w:szCs w:val="24"/>
              </w:rPr>
              <w:t>＋</w:t>
            </w:r>
            <w:r>
              <w:rPr>
                <w:rFonts w:hint="default" w:ascii="Times New Roman" w:hAnsi="Times New Roman" w:eastAsia="Times New Roman"/>
                <w:i/>
                <w:color w:val="auto"/>
                <w:sz w:val="24"/>
                <w:szCs w:val="24"/>
              </w:rPr>
              <w:t>A</w:t>
            </w:r>
            <w:r>
              <w:rPr>
                <w:rFonts w:hint="default" w:ascii="Times New Roman" w:hAnsi="Times New Roman" w:eastAsia="Times New Roman"/>
                <w:color w:val="auto"/>
                <w:sz w:val="24"/>
                <w:szCs w:val="24"/>
              </w:rPr>
              <w:t>atm</w:t>
            </w:r>
            <w:r>
              <w:rPr>
                <w:rFonts w:hint="default" w:ascii="Times New Roman" w:hAnsi="Times New Roman" w:eastAsia="宋体"/>
                <w:color w:val="auto"/>
                <w:sz w:val="24"/>
                <w:szCs w:val="24"/>
              </w:rPr>
              <w:t>＋</w:t>
            </w:r>
            <w:r>
              <w:rPr>
                <w:rFonts w:hint="default" w:ascii="Times New Roman" w:hAnsi="Times New Roman" w:eastAsia="Times New Roman"/>
                <w:i/>
                <w:color w:val="auto"/>
                <w:sz w:val="24"/>
                <w:szCs w:val="24"/>
              </w:rPr>
              <w:t>A</w:t>
            </w:r>
            <w:r>
              <w:rPr>
                <w:rFonts w:hint="default" w:ascii="Times New Roman" w:hAnsi="Times New Roman" w:eastAsia="Times New Roman"/>
                <w:color w:val="auto"/>
                <w:sz w:val="24"/>
                <w:szCs w:val="24"/>
              </w:rPr>
              <w:t>gr</w:t>
            </w:r>
            <w:r>
              <w:rPr>
                <w:rFonts w:hint="default" w:ascii="Times New Roman" w:hAnsi="Times New Roman" w:eastAsia="宋体"/>
                <w:color w:val="auto"/>
                <w:sz w:val="24"/>
                <w:szCs w:val="24"/>
              </w:rPr>
              <w:t>＋</w:t>
            </w:r>
            <w:r>
              <w:rPr>
                <w:rFonts w:hint="default" w:ascii="Times New Roman" w:hAnsi="Times New Roman" w:eastAsia="Times New Roman"/>
                <w:i/>
                <w:color w:val="auto"/>
                <w:sz w:val="24"/>
                <w:szCs w:val="24"/>
              </w:rPr>
              <w:t>A</w:t>
            </w:r>
            <w:r>
              <w:rPr>
                <w:rFonts w:hint="default" w:ascii="Times New Roman" w:hAnsi="Times New Roman" w:eastAsia="Times New Roman"/>
                <w:color w:val="auto"/>
                <w:sz w:val="24"/>
                <w:szCs w:val="24"/>
              </w:rPr>
              <w:t>bar</w:t>
            </w:r>
            <w:r>
              <w:rPr>
                <w:rFonts w:hint="default" w:ascii="Times New Roman" w:hAnsi="Times New Roman" w:eastAsia="宋体"/>
                <w:color w:val="auto"/>
                <w:sz w:val="24"/>
                <w:szCs w:val="24"/>
              </w:rPr>
              <w:t>＋</w:t>
            </w:r>
            <w:r>
              <w:rPr>
                <w:rFonts w:hint="default" w:ascii="Times New Roman" w:hAnsi="Times New Roman" w:eastAsia="Times New Roman"/>
                <w:i/>
                <w:color w:val="auto"/>
                <w:sz w:val="24"/>
                <w:szCs w:val="24"/>
              </w:rPr>
              <w:t>A</w:t>
            </w:r>
            <w:r>
              <w:rPr>
                <w:rFonts w:hint="default" w:ascii="Times New Roman" w:hAnsi="Times New Roman" w:eastAsia="Times New Roman"/>
                <w:color w:val="auto"/>
                <w:sz w:val="24"/>
                <w:szCs w:val="24"/>
              </w:rPr>
              <w:t>misc)</w:t>
            </w:r>
          </w:p>
          <w:p w14:paraId="61930026">
            <w:pPr>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式中：</w:t>
            </w:r>
          </w:p>
          <w:p w14:paraId="44622D52">
            <w:pPr>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Lp(r)—预测点处声压级，dB； </w:t>
            </w:r>
          </w:p>
          <w:p w14:paraId="4B3E5941">
            <w:pPr>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L</w:t>
            </w:r>
            <w:r>
              <w:rPr>
                <w:rFonts w:hint="eastAsia" w:ascii="Times New Roman" w:hAnsi="Times New Roman" w:eastAsia="宋体" w:cs="Times New Roman"/>
                <w:color w:val="auto"/>
                <w:sz w:val="24"/>
                <w:lang w:val="en-US" w:eastAsia="zh-CN"/>
              </w:rPr>
              <w:softHyphen/>
            </w:r>
            <w:r>
              <w:rPr>
                <w:rFonts w:hint="eastAsia" w:ascii="Times New Roman" w:hAnsi="Times New Roman" w:eastAsia="宋体" w:cs="Times New Roman"/>
                <w:color w:val="auto"/>
                <w:sz w:val="24"/>
                <w:lang w:val="en-US" w:eastAsia="zh-CN"/>
              </w:rPr>
              <w:softHyphen/>
            </w:r>
            <w:r>
              <w:rPr>
                <w:rFonts w:hint="eastAsia" w:ascii="Times New Roman" w:hAnsi="Times New Roman" w:eastAsia="宋体" w:cs="Times New Roman"/>
                <w:color w:val="auto"/>
                <w:sz w:val="24"/>
                <w:lang w:val="en-US" w:eastAsia="zh-CN"/>
              </w:rPr>
              <w:t>w—由点声源产生的声功率级(A计权或倍频带)，dB；</w:t>
            </w:r>
          </w:p>
          <w:p w14:paraId="0A2A47CB">
            <w:pPr>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Lp(r0)—</w:t>
            </w:r>
            <w:r>
              <w:rPr>
                <w:rFonts w:hint="default" w:ascii="Times New Roman" w:hAnsi="Times New Roman" w:eastAsia="宋体" w:cs="Times New Roman"/>
                <w:color w:val="auto"/>
                <w:sz w:val="24"/>
                <w:lang w:val="en-US" w:eastAsia="zh-CN"/>
              </w:rPr>
              <w:t>参考位置</w:t>
            </w:r>
            <w:r>
              <w:rPr>
                <w:rFonts w:hint="eastAsia" w:ascii="Times New Roman" w:hAnsi="Times New Roman" w:eastAsia="宋体" w:cs="Times New Roman"/>
                <w:color w:val="auto"/>
                <w:sz w:val="24"/>
                <w:lang w:val="en-US" w:eastAsia="zh-CN"/>
              </w:rPr>
              <w:t>r0</w:t>
            </w:r>
            <w:r>
              <w:rPr>
                <w:rFonts w:hint="default" w:ascii="Times New Roman" w:hAnsi="Times New Roman" w:eastAsia="宋体" w:cs="Times New Roman"/>
                <w:color w:val="auto"/>
                <w:sz w:val="24"/>
                <w:lang w:val="en-US" w:eastAsia="zh-CN"/>
              </w:rPr>
              <w:t>处的声压级，</w:t>
            </w:r>
            <w:r>
              <w:rPr>
                <w:rFonts w:hint="eastAsia" w:ascii="Times New Roman" w:hAnsi="Times New Roman" w:eastAsia="宋体" w:cs="Times New Roman"/>
                <w:color w:val="auto"/>
                <w:sz w:val="24"/>
                <w:lang w:val="en-US" w:eastAsia="zh-CN"/>
              </w:rPr>
              <w:t>dB</w:t>
            </w:r>
            <w:r>
              <w:rPr>
                <w:rFonts w:hint="default" w:ascii="Times New Roman" w:hAnsi="Times New Roman" w:eastAsia="宋体" w:cs="Times New Roman"/>
                <w:color w:val="auto"/>
                <w:sz w:val="24"/>
                <w:lang w:val="en-US" w:eastAsia="zh-CN"/>
              </w:rPr>
              <w:t>；</w:t>
            </w:r>
          </w:p>
          <w:p w14:paraId="1EDABADF">
            <w:pPr>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Dc—指向性校正，它描述点声源的等效连续声压级与产生声功率级Lw的全向点声源在规定方向的声级的偏差程度，dB； </w:t>
            </w:r>
          </w:p>
          <w:p w14:paraId="1C80D9F1">
            <w:pPr>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Adiv—几何发散引起的衰减，dB； </w:t>
            </w:r>
          </w:p>
          <w:p w14:paraId="07B4B252">
            <w:pPr>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Aatm—大气吸收引起的衰减，dB； </w:t>
            </w:r>
          </w:p>
          <w:p w14:paraId="0BFB2424">
            <w:pPr>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Agr—地面效应引起的衰减，dB；</w:t>
            </w:r>
          </w:p>
          <w:p w14:paraId="3E3CC13B">
            <w:pPr>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Abar—障碍物屏蔽引起的衰减，dB；</w:t>
            </w:r>
          </w:p>
          <w:p w14:paraId="2982B8F4">
            <w:pPr>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Amisc—其他多方面效应引起的衰减，dB。</w:t>
            </w:r>
          </w:p>
          <w:p w14:paraId="1F1EA2CD">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olor w:val="auto"/>
                <w:sz w:val="24"/>
                <w:szCs w:val="24"/>
              </w:rPr>
              <w:t>预测点的</w:t>
            </w:r>
            <w:r>
              <w:rPr>
                <w:rFonts w:hint="default" w:ascii="Times New Roman" w:hAnsi="Times New Roman" w:eastAsia="Times New Roman"/>
                <w:color w:val="auto"/>
                <w:sz w:val="24"/>
                <w:szCs w:val="24"/>
              </w:rPr>
              <w:t>A</w:t>
            </w:r>
            <w:r>
              <w:rPr>
                <w:rFonts w:hint="default" w:ascii="Times New Roman" w:hAnsi="Times New Roman" w:eastAsia="宋体"/>
                <w:color w:val="auto"/>
                <w:sz w:val="24"/>
                <w:szCs w:val="24"/>
              </w:rPr>
              <w:t>声级</w:t>
            </w:r>
            <w:r>
              <w:rPr>
                <w:rFonts w:hint="default" w:ascii="Times New Roman" w:hAnsi="Times New Roman" w:eastAsia="Times New Roman"/>
                <w:i/>
                <w:color w:val="auto"/>
                <w:sz w:val="24"/>
                <w:szCs w:val="24"/>
              </w:rPr>
              <w:t>L</w:t>
            </w:r>
            <w:r>
              <w:rPr>
                <w:rFonts w:hint="default" w:ascii="Times New Roman" w:hAnsi="Times New Roman" w:eastAsia="Times New Roman"/>
                <w:color w:val="auto"/>
                <w:sz w:val="24"/>
                <w:szCs w:val="24"/>
                <w:vertAlign w:val="subscript"/>
              </w:rPr>
              <w:t>A</w:t>
            </w:r>
            <w:r>
              <w:rPr>
                <w:rFonts w:hint="default" w:ascii="Times New Roman" w:hAnsi="Times New Roman" w:eastAsia="Times New Roman"/>
                <w:color w:val="auto"/>
                <w:sz w:val="24"/>
                <w:szCs w:val="24"/>
              </w:rPr>
              <w:t>(</w:t>
            </w:r>
            <w:r>
              <w:rPr>
                <w:rFonts w:hint="default" w:ascii="Times New Roman" w:hAnsi="Times New Roman" w:eastAsia="Times New Roman"/>
                <w:i/>
                <w:color w:val="auto"/>
                <w:sz w:val="24"/>
                <w:szCs w:val="24"/>
              </w:rPr>
              <w:t>r</w:t>
            </w:r>
            <w:r>
              <w:rPr>
                <w:rFonts w:hint="default" w:ascii="Times New Roman" w:hAnsi="Times New Roman" w:eastAsia="Times New Roman"/>
                <w:color w:val="auto"/>
                <w:sz w:val="24"/>
                <w:szCs w:val="24"/>
              </w:rPr>
              <w:t>)</w:t>
            </w:r>
            <w:r>
              <w:rPr>
                <w:rFonts w:hint="default" w:ascii="Times New Roman" w:hAnsi="Times New Roman" w:eastAsia="宋体"/>
                <w:color w:val="auto"/>
                <w:sz w:val="24"/>
                <w:szCs w:val="24"/>
              </w:rPr>
              <w:t>可按</w:t>
            </w:r>
            <w:r>
              <w:rPr>
                <w:rFonts w:hint="eastAsia" w:ascii="Times New Roman" w:hAnsi="Times New Roman" w:eastAsia="宋体"/>
                <w:color w:val="auto"/>
                <w:sz w:val="24"/>
                <w:szCs w:val="24"/>
                <w:lang w:val="en-US" w:eastAsia="zh-CN"/>
              </w:rPr>
              <w:t>下式</w:t>
            </w:r>
            <w:r>
              <w:rPr>
                <w:rFonts w:hint="default" w:ascii="Times New Roman" w:hAnsi="Times New Roman" w:eastAsia="宋体"/>
                <w:color w:val="auto"/>
                <w:sz w:val="24"/>
                <w:szCs w:val="24"/>
              </w:rPr>
              <w:t>计算，即将</w:t>
            </w:r>
            <w:r>
              <w:rPr>
                <w:rFonts w:hint="default" w:ascii="Times New Roman" w:hAnsi="Times New Roman" w:eastAsia="Times New Roman"/>
                <w:color w:val="auto"/>
                <w:sz w:val="24"/>
                <w:szCs w:val="24"/>
              </w:rPr>
              <w:t>8</w:t>
            </w:r>
            <w:r>
              <w:rPr>
                <w:rFonts w:hint="default" w:ascii="Times New Roman" w:hAnsi="Times New Roman" w:eastAsia="宋体"/>
                <w:color w:val="auto"/>
                <w:sz w:val="24"/>
                <w:szCs w:val="24"/>
              </w:rPr>
              <w:t>个倍频带声压级合成，计算出预测点的</w:t>
            </w:r>
            <w:r>
              <w:rPr>
                <w:rFonts w:hint="default" w:ascii="Times New Roman" w:hAnsi="Times New Roman" w:eastAsia="Times New Roman"/>
                <w:color w:val="auto"/>
                <w:sz w:val="24"/>
                <w:szCs w:val="24"/>
              </w:rPr>
              <w:t>A</w:t>
            </w:r>
            <w:r>
              <w:rPr>
                <w:rFonts w:hint="default" w:ascii="Times New Roman" w:hAnsi="Times New Roman" w:eastAsia="宋体"/>
                <w:color w:val="auto"/>
                <w:sz w:val="24"/>
                <w:szCs w:val="24"/>
              </w:rPr>
              <w:t>声级</w:t>
            </w:r>
            <w:r>
              <w:rPr>
                <w:rFonts w:hint="default" w:ascii="Times New Roman" w:hAnsi="Times New Roman" w:eastAsia="Times New Roman"/>
                <w:color w:val="auto"/>
                <w:sz w:val="24"/>
                <w:szCs w:val="24"/>
              </w:rPr>
              <w:t>[</w:t>
            </w:r>
            <w:r>
              <w:rPr>
                <w:rFonts w:hint="default" w:ascii="Times New Roman" w:hAnsi="Times New Roman" w:eastAsia="Times New Roman"/>
                <w:i/>
                <w:color w:val="auto"/>
                <w:sz w:val="24"/>
                <w:szCs w:val="24"/>
              </w:rPr>
              <w:t>L</w:t>
            </w:r>
            <w:r>
              <w:rPr>
                <w:rFonts w:hint="default" w:ascii="Times New Roman" w:hAnsi="Times New Roman" w:eastAsia="Times New Roman"/>
                <w:color w:val="auto"/>
                <w:sz w:val="24"/>
                <w:szCs w:val="24"/>
                <w:vertAlign w:val="subscript"/>
              </w:rPr>
              <w:t>A</w:t>
            </w:r>
            <w:r>
              <w:rPr>
                <w:rFonts w:hint="default" w:ascii="Times New Roman" w:hAnsi="Times New Roman" w:eastAsia="Times New Roman"/>
                <w:color w:val="auto"/>
                <w:sz w:val="24"/>
                <w:szCs w:val="24"/>
              </w:rPr>
              <w:t>(</w:t>
            </w:r>
            <w:r>
              <w:rPr>
                <w:rFonts w:hint="default" w:ascii="Times New Roman" w:hAnsi="Times New Roman" w:eastAsia="Times New Roman"/>
                <w:i/>
                <w:color w:val="auto"/>
                <w:sz w:val="24"/>
                <w:szCs w:val="24"/>
              </w:rPr>
              <w:t>r</w:t>
            </w:r>
            <w:r>
              <w:rPr>
                <w:rFonts w:hint="default" w:ascii="Times New Roman" w:hAnsi="Times New Roman" w:eastAsia="Times New Roman"/>
                <w:color w:val="auto"/>
                <w:sz w:val="24"/>
                <w:szCs w:val="24"/>
              </w:rPr>
              <w:t>)]</w:t>
            </w:r>
            <w:r>
              <w:rPr>
                <w:rFonts w:hint="default" w:ascii="Times New Roman" w:hAnsi="Times New Roman" w:eastAsia="宋体"/>
                <w:color w:val="auto"/>
                <w:sz w:val="24"/>
                <w:szCs w:val="24"/>
              </w:rPr>
              <w:t>。</w:t>
            </w:r>
          </w:p>
          <w:p w14:paraId="7C283BD1">
            <w:pPr>
              <w:spacing w:line="360" w:lineRule="auto"/>
              <w:ind w:firstLine="1778" w:firstLineChars="738"/>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drawing>
                <wp:inline distT="0" distB="0" distL="114300" distR="114300">
                  <wp:extent cx="1935480" cy="419100"/>
                  <wp:effectExtent l="0" t="0" r="7620" b="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23"/>
                          <a:stretch>
                            <a:fillRect/>
                          </a:stretch>
                        </pic:blipFill>
                        <pic:spPr>
                          <a:xfrm>
                            <a:off x="0" y="0"/>
                            <a:ext cx="1935480" cy="419100"/>
                          </a:xfrm>
                          <a:prstGeom prst="rect">
                            <a:avLst/>
                          </a:prstGeom>
                          <a:noFill/>
                          <a:ln>
                            <a:noFill/>
                          </a:ln>
                        </pic:spPr>
                      </pic:pic>
                    </a:graphicData>
                  </a:graphic>
                </wp:inline>
              </w:drawing>
            </w:r>
            <w:r>
              <w:rPr>
                <w:rFonts w:hint="default" w:ascii="Times New Roman" w:hAnsi="Times New Roman" w:eastAsia="宋体" w:cs="Times New Roman"/>
                <w:b/>
                <w:color w:val="auto"/>
                <w:sz w:val="24"/>
                <w:szCs w:val="24"/>
                <w:highlight w:val="none"/>
              </w:rPr>
              <w:t xml:space="preserve">                       </w:t>
            </w:r>
          </w:p>
          <w:p w14:paraId="1331C932">
            <w:pPr>
              <w:adjustRightInd w:val="0"/>
              <w:snapToGrid w:val="0"/>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式中：</w:t>
            </w:r>
          </w:p>
          <w:p w14:paraId="609ABDA1">
            <w:pPr>
              <w:adjustRightInd w:val="0"/>
              <w:snapToGrid w:val="0"/>
              <w:spacing w:line="360" w:lineRule="auto"/>
              <w:ind w:firstLine="48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LA(r)</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距声源r处的A声级，dB(A)；</w:t>
            </w:r>
          </w:p>
          <w:p w14:paraId="7BACD776">
            <w:pPr>
              <w:adjustRightInd w:val="0"/>
              <w:snapToGrid w:val="0"/>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Lpi(r)</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rPr>
              <w:t>预测点(r)处，第i倍频带声压级，dB；</w:t>
            </w:r>
          </w:p>
          <w:p w14:paraId="3BD5864F">
            <w:pPr>
              <w:adjustRightInd w:val="0"/>
              <w:snapToGrid w:val="0"/>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△Li—i倍频带A计算网络修正值，dB(</w:t>
            </w:r>
            <w:r>
              <w:rPr>
                <w:rFonts w:hint="eastAsia" w:ascii="Times New Roman" w:hAnsi="Times New Roman" w:eastAsia="宋体" w:cs="Times New Roman"/>
                <w:color w:val="auto"/>
                <w:sz w:val="24"/>
                <w:lang w:val="en-US" w:eastAsia="zh-CN"/>
              </w:rPr>
              <w:t>根据</w:t>
            </w:r>
            <w:r>
              <w:rPr>
                <w:rFonts w:hint="eastAsia" w:ascii="Times New Roman" w:hAnsi="Times New Roman" w:eastAsia="宋体" w:cs="Times New Roman"/>
                <w:color w:val="auto"/>
                <w:sz w:val="24"/>
              </w:rPr>
              <w:t>导则附录B</w:t>
            </w:r>
            <w:r>
              <w:rPr>
                <w:rFonts w:hint="eastAsia" w:ascii="Times New Roman" w:hAnsi="Times New Roman" w:eastAsia="宋体" w:cs="Times New Roman"/>
                <w:color w:val="auto"/>
                <w:sz w:val="24"/>
                <w:lang w:val="en-US" w:eastAsia="zh-CN"/>
              </w:rPr>
              <w:t>计算</w:t>
            </w:r>
            <w:r>
              <w:rPr>
                <w:rFonts w:hint="eastAsia" w:ascii="Times New Roman" w:hAnsi="Times New Roman" w:eastAsia="宋体" w:cs="Times New Roman"/>
                <w:color w:val="auto"/>
                <w:sz w:val="24"/>
              </w:rPr>
              <w:t>)。</w:t>
            </w:r>
          </w:p>
          <w:p w14:paraId="442B0CA6">
            <w:pPr>
              <w:adjustRightInd w:val="0"/>
              <w:snapToGrid w:val="0"/>
              <w:spacing w:line="360" w:lineRule="auto"/>
              <w:ind w:firstLine="480"/>
              <w:rPr>
                <w:rFonts w:hint="eastAsia" w:ascii="Times New Roman" w:hAnsi="Times New Roman"/>
                <w:b w:val="0"/>
                <w:bCs w:val="0"/>
                <w:color w:val="auto"/>
                <w:sz w:val="24"/>
              </w:rPr>
            </w:pPr>
            <w:r>
              <w:rPr>
                <w:rFonts w:hint="eastAsia" w:ascii="Times New Roman" w:hAnsi="Times New Roman"/>
                <w:b w:val="0"/>
                <w:bCs w:val="0"/>
                <w:color w:val="auto"/>
                <w:sz w:val="24"/>
              </w:rPr>
              <w:t>衰减项计算按导则</w:t>
            </w:r>
            <w:r>
              <w:rPr>
                <w:rFonts w:hint="eastAsia" w:ascii="Times New Roman" w:hAnsi="Times New Roman"/>
                <w:b w:val="0"/>
                <w:bCs w:val="0"/>
                <w:color w:val="auto"/>
                <w:sz w:val="24"/>
                <w:lang w:val="en-US" w:eastAsia="zh-CN"/>
              </w:rPr>
              <w:t>附录A中A.3</w:t>
            </w:r>
            <w:r>
              <w:rPr>
                <w:rFonts w:hint="eastAsia" w:ascii="Times New Roman" w:hAnsi="Times New Roman"/>
                <w:b w:val="0"/>
                <w:bCs w:val="0"/>
                <w:color w:val="auto"/>
                <w:sz w:val="24"/>
              </w:rPr>
              <w:t>相关模式计算。</w:t>
            </w:r>
          </w:p>
          <w:p w14:paraId="00F8881A">
            <w:pPr>
              <w:adjustRightInd w:val="0"/>
              <w:snapToGrid w:val="0"/>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(3)噪声贡献值计算</w:t>
            </w:r>
          </w:p>
          <w:p w14:paraId="61DF36C8">
            <w:pPr>
              <w:adjustRightInd w:val="0"/>
              <w:snapToGrid w:val="0"/>
              <w:spacing w:line="360" w:lineRule="auto"/>
              <w:ind w:firstLine="480"/>
              <w:rPr>
                <w:rFonts w:hint="default" w:ascii="Times New Roman" w:hAnsi="Times New Roman" w:eastAsia="宋体" w:cs="Times New Roman"/>
                <w:color w:val="auto"/>
                <w:sz w:val="24"/>
                <w:highlight w:val="none"/>
                <w:lang w:val="en-US"/>
              </w:rPr>
            </w:pPr>
            <w:r>
              <w:rPr>
                <w:rFonts w:hint="eastAsia" w:ascii="Times New Roman" w:hAnsi="Times New Roman" w:eastAsia="宋体" w:cs="Times New Roman"/>
                <w:color w:val="auto"/>
                <w:sz w:val="24"/>
                <w:highlight w:val="none"/>
                <w:lang w:val="en-US" w:eastAsia="zh-CN"/>
              </w:rPr>
              <w:t>设第</w:t>
            </w:r>
            <w:r>
              <w:rPr>
                <w:rFonts w:hint="default" w:ascii="Times New Roman" w:hAnsi="Times New Roman" w:eastAsia="宋体" w:cs="Times New Roman"/>
                <w:color w:val="auto"/>
                <w:sz w:val="24"/>
                <w:highlight w:val="none"/>
                <w:lang w:val="en-US" w:eastAsia="zh-CN"/>
              </w:rPr>
              <w:t>i</w:t>
            </w:r>
            <w:r>
              <w:rPr>
                <w:rFonts w:hint="eastAsia" w:ascii="Times New Roman" w:hAnsi="Times New Roman" w:eastAsia="宋体" w:cs="Times New Roman"/>
                <w:color w:val="auto"/>
                <w:sz w:val="24"/>
                <w:highlight w:val="none"/>
                <w:lang w:val="en-US" w:eastAsia="zh-CN"/>
              </w:rPr>
              <w:t>个室外声源在预测点产生的</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声级为</w:t>
            </w:r>
            <w:r>
              <w:rPr>
                <w:rFonts w:hint="default" w:ascii="Times New Roman" w:hAnsi="Times New Roman" w:eastAsia="宋体" w:cs="Times New Roman"/>
                <w:color w:val="auto"/>
                <w:sz w:val="24"/>
                <w:highlight w:val="none"/>
                <w:lang w:val="en-US" w:eastAsia="zh-CN"/>
              </w:rPr>
              <w:t>L</w:t>
            </w:r>
            <w:r>
              <w:rPr>
                <w:rFonts w:hint="default" w:ascii="Times New Roman" w:hAnsi="Times New Roman" w:eastAsia="宋体" w:cs="Times New Roman"/>
                <w:color w:val="auto"/>
                <w:sz w:val="24"/>
                <w:highlight w:val="none"/>
                <w:vertAlign w:val="subscript"/>
                <w:lang w:val="en-US" w:eastAsia="zh-CN"/>
              </w:rPr>
              <w:t>Ai</w:t>
            </w:r>
            <w:r>
              <w:rPr>
                <w:rFonts w:hint="eastAsia" w:ascii="Times New Roman" w:hAnsi="Times New Roman" w:eastAsia="宋体" w:cs="Times New Roman"/>
                <w:color w:val="auto"/>
                <w:sz w:val="24"/>
                <w:highlight w:val="none"/>
                <w:lang w:val="en-US" w:eastAsia="zh-CN"/>
              </w:rPr>
              <w:t>，在</w:t>
            </w:r>
            <w:r>
              <w:rPr>
                <w:rFonts w:hint="default" w:ascii="Times New Roman" w:hAnsi="Times New Roman" w:eastAsia="宋体" w:cs="Times New Roman"/>
                <w:color w:val="auto"/>
                <w:sz w:val="24"/>
                <w:highlight w:val="none"/>
                <w:lang w:val="en-US" w:eastAsia="zh-CN"/>
              </w:rPr>
              <w:t>T</w:t>
            </w:r>
            <w:r>
              <w:rPr>
                <w:rFonts w:hint="eastAsia" w:ascii="Times New Roman" w:hAnsi="Times New Roman" w:eastAsia="宋体" w:cs="Times New Roman"/>
                <w:color w:val="auto"/>
                <w:sz w:val="24"/>
                <w:highlight w:val="none"/>
                <w:lang w:val="en-US" w:eastAsia="zh-CN"/>
              </w:rPr>
              <w:t>时间内该声源工作时间为</w:t>
            </w:r>
            <w:r>
              <w:rPr>
                <w:rFonts w:hint="default"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vertAlign w:val="subscript"/>
                <w:lang w:val="en-US" w:eastAsia="zh-CN"/>
              </w:rPr>
              <w:t>i</w:t>
            </w:r>
            <w:r>
              <w:rPr>
                <w:rFonts w:hint="eastAsia" w:ascii="Times New Roman" w:hAnsi="Times New Roman" w:eastAsia="宋体" w:cs="Times New Roman"/>
                <w:color w:val="auto"/>
                <w:sz w:val="24"/>
                <w:highlight w:val="none"/>
                <w:lang w:val="en-US" w:eastAsia="zh-CN"/>
              </w:rPr>
              <w:t>；第</w:t>
            </w:r>
            <w:r>
              <w:rPr>
                <w:rFonts w:hint="default" w:ascii="Times New Roman" w:hAnsi="Times New Roman" w:eastAsia="宋体" w:cs="Times New Roman"/>
                <w:color w:val="auto"/>
                <w:sz w:val="24"/>
                <w:highlight w:val="none"/>
                <w:lang w:val="en-US" w:eastAsia="zh-CN"/>
              </w:rPr>
              <w:t>j</w:t>
            </w:r>
            <w:r>
              <w:rPr>
                <w:rFonts w:hint="eastAsia" w:ascii="Times New Roman" w:hAnsi="Times New Roman" w:eastAsia="宋体" w:cs="Times New Roman"/>
                <w:color w:val="auto"/>
                <w:sz w:val="24"/>
                <w:highlight w:val="none"/>
                <w:lang w:val="en-US" w:eastAsia="zh-CN"/>
              </w:rPr>
              <w:t>个等效室外声源在预测点产生的</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声级为</w:t>
            </w:r>
            <w:r>
              <w:rPr>
                <w:rFonts w:hint="default" w:ascii="Times New Roman" w:hAnsi="Times New Roman" w:eastAsia="宋体" w:cs="Times New Roman"/>
                <w:color w:val="auto"/>
                <w:sz w:val="24"/>
                <w:highlight w:val="none"/>
                <w:lang w:val="en-US" w:eastAsia="zh-CN"/>
              </w:rPr>
              <w:t>L</w:t>
            </w:r>
            <w:r>
              <w:rPr>
                <w:rFonts w:hint="default" w:ascii="Times New Roman" w:hAnsi="Times New Roman" w:eastAsia="宋体" w:cs="Times New Roman"/>
                <w:color w:val="auto"/>
                <w:sz w:val="24"/>
                <w:highlight w:val="none"/>
                <w:vertAlign w:val="subscript"/>
                <w:lang w:val="en-US" w:eastAsia="zh-CN"/>
              </w:rPr>
              <w:t>Aj</w:t>
            </w:r>
            <w:r>
              <w:rPr>
                <w:rFonts w:hint="eastAsia" w:ascii="Times New Roman" w:hAnsi="Times New Roman" w:eastAsia="宋体" w:cs="Times New Roman"/>
                <w:color w:val="auto"/>
                <w:sz w:val="24"/>
                <w:highlight w:val="none"/>
                <w:lang w:val="en-US" w:eastAsia="zh-CN"/>
              </w:rPr>
              <w:t>，在</w:t>
            </w:r>
            <w:r>
              <w:rPr>
                <w:rFonts w:hint="default" w:ascii="Times New Roman" w:hAnsi="Times New Roman" w:eastAsia="宋体" w:cs="Times New Roman"/>
                <w:color w:val="auto"/>
                <w:sz w:val="24"/>
                <w:highlight w:val="none"/>
                <w:lang w:val="en-US" w:eastAsia="zh-CN"/>
              </w:rPr>
              <w:t>T</w:t>
            </w:r>
            <w:r>
              <w:rPr>
                <w:rFonts w:hint="eastAsia" w:ascii="Times New Roman" w:hAnsi="Times New Roman" w:eastAsia="宋体" w:cs="Times New Roman"/>
                <w:color w:val="auto"/>
                <w:sz w:val="24"/>
                <w:highlight w:val="none"/>
                <w:lang w:val="en-US" w:eastAsia="zh-CN"/>
              </w:rPr>
              <w:t>时间内该声源工作时间为</w:t>
            </w:r>
            <w:r>
              <w:rPr>
                <w:rFonts w:hint="default"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vertAlign w:val="subscript"/>
                <w:lang w:val="en-US" w:eastAsia="zh-CN"/>
              </w:rPr>
              <w:t xml:space="preserve"> j</w:t>
            </w:r>
            <w:r>
              <w:rPr>
                <w:rFonts w:hint="eastAsia" w:ascii="Times New Roman" w:hAnsi="Times New Roman" w:eastAsia="宋体" w:cs="Times New Roman"/>
                <w:color w:val="auto"/>
                <w:sz w:val="24"/>
                <w:highlight w:val="none"/>
                <w:lang w:val="en-US" w:eastAsia="zh-CN"/>
              </w:rPr>
              <w:t>，则拟建工程声源对预测点产生的贡献值(</w:t>
            </w:r>
            <w:r>
              <w:rPr>
                <w:rFonts w:hint="default" w:ascii="Times New Roman" w:hAnsi="Times New Roman" w:eastAsia="宋体" w:cs="Times New Roman"/>
                <w:color w:val="auto"/>
                <w:sz w:val="24"/>
                <w:highlight w:val="none"/>
                <w:lang w:val="en-US" w:eastAsia="zh-CN"/>
              </w:rPr>
              <w:t>Leqg</w:t>
            </w:r>
            <w:r>
              <w:rPr>
                <w:rFonts w:hint="eastAsia" w:ascii="Times New Roman" w:hAnsi="Times New Roman" w:eastAsia="宋体" w:cs="Times New Roman"/>
                <w:color w:val="auto"/>
                <w:sz w:val="24"/>
                <w:highlight w:val="none"/>
                <w:lang w:val="en-US" w:eastAsia="zh-CN"/>
              </w:rPr>
              <w:t>)为：</w:t>
            </w:r>
          </w:p>
          <w:p w14:paraId="3F32250B">
            <w:pPr>
              <w:spacing w:line="360" w:lineRule="auto"/>
              <w:ind w:firstLine="555"/>
              <w:jc w:val="center"/>
              <w:rPr>
                <w:rFonts w:ascii="Times New Roman" w:hAnsi="Times New Roman"/>
                <w:color w:val="auto"/>
                <w:szCs w:val="28"/>
              </w:rPr>
            </w:pPr>
            <w:r>
              <w:rPr>
                <w:rFonts w:ascii="Times New Roman" w:hAnsi="Times New Roman"/>
                <w:color w:val="auto"/>
              </w:rPr>
              <w:drawing>
                <wp:inline distT="0" distB="0" distL="114300" distR="114300">
                  <wp:extent cx="2367280" cy="485775"/>
                  <wp:effectExtent l="0" t="0" r="7620" b="9525"/>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24"/>
                          <a:stretch>
                            <a:fillRect/>
                          </a:stretch>
                        </pic:blipFill>
                        <pic:spPr>
                          <a:xfrm>
                            <a:off x="0" y="0"/>
                            <a:ext cx="2367280" cy="485775"/>
                          </a:xfrm>
                          <a:prstGeom prst="rect">
                            <a:avLst/>
                          </a:prstGeom>
                          <a:noFill/>
                          <a:ln>
                            <a:noFill/>
                          </a:ln>
                        </pic:spPr>
                      </pic:pic>
                    </a:graphicData>
                  </a:graphic>
                </wp:inline>
              </w:drawing>
            </w:r>
            <w:r>
              <w:rPr>
                <w:rFonts w:ascii="Times New Roman" w:hAnsi="Times New Roman"/>
                <w:color w:val="auto"/>
                <w:szCs w:val="28"/>
              </w:rPr>
              <w:t xml:space="preserve">  </w:t>
            </w:r>
          </w:p>
          <w:p w14:paraId="19AB3A60">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式中：</w:t>
            </w:r>
            <w:r>
              <w:rPr>
                <w:rFonts w:hint="default" w:ascii="Times New Roman" w:hAnsi="Times New Roman" w:eastAsia="宋体" w:cs="Times New Roman"/>
                <w:color w:val="auto"/>
                <w:sz w:val="24"/>
                <w:lang w:val="en-US" w:eastAsia="zh-CN"/>
              </w:rPr>
              <w:t>Leqg——</w:t>
            </w:r>
            <w:r>
              <w:rPr>
                <w:rFonts w:hint="eastAsia" w:ascii="Times New Roman" w:hAnsi="Times New Roman" w:eastAsia="宋体" w:cs="Times New Roman"/>
                <w:color w:val="auto"/>
                <w:sz w:val="24"/>
                <w:lang w:val="en-US" w:eastAsia="zh-CN"/>
              </w:rPr>
              <w:t>建设项目声源在预测点产生的噪声贡献值，</w:t>
            </w:r>
            <w:r>
              <w:rPr>
                <w:rFonts w:hint="default" w:ascii="Times New Roman" w:hAnsi="Times New Roman" w:eastAsia="宋体" w:cs="Times New Roman"/>
                <w:color w:val="auto"/>
                <w:sz w:val="24"/>
                <w:lang w:val="en-US" w:eastAsia="zh-CN"/>
              </w:rPr>
              <w:t>dB</w:t>
            </w:r>
            <w:r>
              <w:rPr>
                <w:rFonts w:hint="default" w:ascii="Times New Roman" w:hAnsi="Times New Roman" w:eastAsia="宋体" w:cs="Times New Roman"/>
                <w:color w:val="auto"/>
                <w:sz w:val="24"/>
                <w:highlight w:val="none"/>
              </w:rPr>
              <w:t>(A)</w:t>
            </w:r>
            <w:r>
              <w:rPr>
                <w:rFonts w:hint="eastAsia" w:ascii="Times New Roman" w:hAnsi="Times New Roman" w:eastAsia="宋体" w:cs="Times New Roman"/>
                <w:color w:val="auto"/>
                <w:sz w:val="24"/>
                <w:lang w:val="en-US" w:eastAsia="zh-CN"/>
              </w:rPr>
              <w:t xml:space="preserve">； </w:t>
            </w:r>
          </w:p>
          <w:p w14:paraId="4EA48418">
            <w:pPr>
              <w:spacing w:line="360" w:lineRule="auto"/>
              <w:ind w:firstLine="1200" w:firstLineChars="500"/>
              <w:rPr>
                <w:rFonts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T——</w:t>
            </w:r>
            <w:r>
              <w:rPr>
                <w:rFonts w:hint="eastAsia" w:ascii="Times New Roman" w:hAnsi="Times New Roman" w:eastAsia="宋体" w:cs="Times New Roman"/>
                <w:color w:val="auto"/>
                <w:sz w:val="24"/>
                <w:lang w:val="en-US" w:eastAsia="zh-CN"/>
              </w:rPr>
              <w:t>用于计算等效声级的时间，</w:t>
            </w:r>
            <w:r>
              <w:rPr>
                <w:rFonts w:hint="default" w:ascii="Times New Roman" w:hAnsi="Times New Roman" w:eastAsia="宋体" w:cs="Times New Roman"/>
                <w:color w:val="auto"/>
                <w:sz w:val="24"/>
                <w:lang w:val="en-US" w:eastAsia="zh-CN"/>
              </w:rPr>
              <w:t>s</w:t>
            </w:r>
            <w:r>
              <w:rPr>
                <w:rFonts w:hint="eastAsia" w:ascii="Times New Roman" w:hAnsi="Times New Roman" w:eastAsia="宋体" w:cs="Times New Roman"/>
                <w:color w:val="auto"/>
                <w:sz w:val="24"/>
                <w:lang w:val="en-US" w:eastAsia="zh-CN"/>
              </w:rPr>
              <w:t xml:space="preserve">； </w:t>
            </w:r>
          </w:p>
          <w:p w14:paraId="2B1709EA">
            <w:pPr>
              <w:spacing w:line="360" w:lineRule="auto"/>
              <w:ind w:firstLine="1200" w:firstLineChars="500"/>
              <w:rPr>
                <w:rFonts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N——</w:t>
            </w:r>
            <w:r>
              <w:rPr>
                <w:rFonts w:hint="eastAsia" w:ascii="Times New Roman" w:hAnsi="Times New Roman" w:eastAsia="宋体" w:cs="Times New Roman"/>
                <w:color w:val="auto"/>
                <w:sz w:val="24"/>
                <w:lang w:val="en-US" w:eastAsia="zh-CN"/>
              </w:rPr>
              <w:t xml:space="preserve">室外声源个数； </w:t>
            </w:r>
          </w:p>
          <w:p w14:paraId="3AEB3879">
            <w:pPr>
              <w:spacing w:line="360" w:lineRule="auto"/>
              <w:ind w:firstLine="1200" w:firstLineChars="500"/>
              <w:rPr>
                <w:rFonts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vertAlign w:val="subscript"/>
                <w:lang w:val="en-US" w:eastAsia="zh-CN"/>
              </w:rPr>
              <w:t>i</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在</w:t>
            </w:r>
            <w:r>
              <w:rPr>
                <w:rFonts w:hint="default" w:ascii="Times New Roman" w:hAnsi="Times New Roman" w:eastAsia="宋体" w:cs="Times New Roman"/>
                <w:color w:val="auto"/>
                <w:sz w:val="24"/>
                <w:lang w:val="en-US" w:eastAsia="zh-CN"/>
              </w:rPr>
              <w:t>T</w:t>
            </w:r>
            <w:r>
              <w:rPr>
                <w:rFonts w:hint="eastAsia" w:ascii="Times New Roman" w:hAnsi="Times New Roman" w:eastAsia="宋体" w:cs="Times New Roman"/>
                <w:color w:val="auto"/>
                <w:sz w:val="24"/>
                <w:lang w:val="en-US" w:eastAsia="zh-CN"/>
              </w:rPr>
              <w:t>时间内</w:t>
            </w:r>
            <w:r>
              <w:rPr>
                <w:rFonts w:hint="default" w:ascii="Times New Roman" w:hAnsi="Times New Roman" w:eastAsia="宋体" w:cs="Times New Roman"/>
                <w:color w:val="auto"/>
                <w:sz w:val="24"/>
                <w:lang w:val="en-US" w:eastAsia="zh-CN"/>
              </w:rPr>
              <w:t>i</w:t>
            </w:r>
            <w:r>
              <w:rPr>
                <w:rFonts w:hint="eastAsia" w:ascii="Times New Roman" w:hAnsi="Times New Roman" w:eastAsia="宋体" w:cs="Times New Roman"/>
                <w:color w:val="auto"/>
                <w:sz w:val="24"/>
                <w:lang w:val="en-US" w:eastAsia="zh-CN"/>
              </w:rPr>
              <w:t>声源工作时间，</w:t>
            </w:r>
            <w:r>
              <w:rPr>
                <w:rFonts w:hint="default" w:ascii="Times New Roman" w:hAnsi="Times New Roman" w:eastAsia="宋体" w:cs="Times New Roman"/>
                <w:color w:val="auto"/>
                <w:sz w:val="24"/>
                <w:lang w:val="en-US" w:eastAsia="zh-CN"/>
              </w:rPr>
              <w:t>s</w:t>
            </w:r>
            <w:r>
              <w:rPr>
                <w:rFonts w:hint="eastAsia" w:ascii="Times New Roman" w:hAnsi="Times New Roman" w:eastAsia="宋体" w:cs="Times New Roman"/>
                <w:color w:val="auto"/>
                <w:sz w:val="24"/>
                <w:lang w:val="en-US" w:eastAsia="zh-CN"/>
              </w:rPr>
              <w:t xml:space="preserve">； </w:t>
            </w:r>
          </w:p>
          <w:p w14:paraId="3F7B8C6B">
            <w:pPr>
              <w:spacing w:line="360" w:lineRule="auto"/>
              <w:ind w:firstLine="1200" w:firstLineChars="500"/>
              <w:rPr>
                <w:rFonts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 xml:space="preserve">等效室外声源个数； </w:t>
            </w:r>
          </w:p>
          <w:p w14:paraId="7580A02B">
            <w:pPr>
              <w:spacing w:line="360" w:lineRule="auto"/>
              <w:ind w:firstLine="1200" w:firstLineChars="500"/>
              <w:rPr>
                <w:rFonts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vertAlign w:val="subscript"/>
                <w:lang w:val="en-US" w:eastAsia="zh-CN"/>
              </w:rPr>
              <w:t xml:space="preserve">j </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在</w:t>
            </w:r>
            <w:r>
              <w:rPr>
                <w:rFonts w:hint="default" w:ascii="Times New Roman" w:hAnsi="Times New Roman" w:eastAsia="宋体" w:cs="Times New Roman"/>
                <w:color w:val="auto"/>
                <w:sz w:val="24"/>
                <w:lang w:val="en-US" w:eastAsia="zh-CN"/>
              </w:rPr>
              <w:t>T</w:t>
            </w:r>
            <w:r>
              <w:rPr>
                <w:rFonts w:hint="eastAsia" w:ascii="Times New Roman" w:hAnsi="Times New Roman" w:eastAsia="宋体" w:cs="Times New Roman"/>
                <w:color w:val="auto"/>
                <w:sz w:val="24"/>
                <w:lang w:val="en-US" w:eastAsia="zh-CN"/>
              </w:rPr>
              <w:t>时间内</w:t>
            </w:r>
            <w:r>
              <w:rPr>
                <w:rFonts w:hint="default" w:ascii="Times New Roman" w:hAnsi="Times New Roman" w:eastAsia="宋体" w:cs="Times New Roman"/>
                <w:color w:val="auto"/>
                <w:sz w:val="24"/>
                <w:lang w:val="en-US" w:eastAsia="zh-CN"/>
              </w:rPr>
              <w:t>j</w:t>
            </w:r>
            <w:r>
              <w:rPr>
                <w:rFonts w:hint="eastAsia" w:ascii="Times New Roman" w:hAnsi="Times New Roman" w:eastAsia="宋体" w:cs="Times New Roman"/>
                <w:color w:val="auto"/>
                <w:sz w:val="24"/>
                <w:lang w:val="en-US" w:eastAsia="zh-CN"/>
              </w:rPr>
              <w:t>声源工作时间，</w:t>
            </w:r>
            <w:r>
              <w:rPr>
                <w:rFonts w:hint="default" w:ascii="Times New Roman" w:hAnsi="Times New Roman" w:eastAsia="宋体" w:cs="Times New Roman"/>
                <w:color w:val="auto"/>
                <w:sz w:val="24"/>
                <w:lang w:val="en-US" w:eastAsia="zh-CN"/>
              </w:rPr>
              <w:t>s</w:t>
            </w:r>
            <w:r>
              <w:rPr>
                <w:rFonts w:hint="eastAsia" w:ascii="Times New Roman" w:hAnsi="Times New Roman" w:eastAsia="宋体" w:cs="Times New Roman"/>
                <w:color w:val="auto"/>
                <w:sz w:val="24"/>
                <w:lang w:val="en-US" w:eastAsia="zh-CN"/>
              </w:rPr>
              <w:t>。</w:t>
            </w:r>
          </w:p>
          <w:p w14:paraId="2F21ABDA">
            <w:pPr>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(4)</w:t>
            </w:r>
            <w:r>
              <w:rPr>
                <w:rFonts w:hint="eastAsia" w:ascii="Times New Roman" w:hAnsi="Times New Roman" w:eastAsia="宋体" w:cs="Times New Roman"/>
                <w:color w:val="auto"/>
                <w:sz w:val="24"/>
                <w:lang w:val="en-US" w:eastAsia="zh-CN"/>
              </w:rPr>
              <w:t>噪声预测值计算</w:t>
            </w:r>
          </w:p>
          <w:p w14:paraId="2622911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预测点的贡献值和背景值按能量叠加方法计算得到的声级</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计算公式：</w:t>
            </w:r>
          </w:p>
          <w:p w14:paraId="1AECA603">
            <w:pPr>
              <w:spacing w:line="360" w:lineRule="auto"/>
              <w:ind w:firstLine="1680" w:firstLineChars="7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inline distT="0" distB="0" distL="114300" distR="114300">
                  <wp:extent cx="1907540" cy="304165"/>
                  <wp:effectExtent l="0" t="0" r="10160" b="63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5"/>
                          <a:stretch>
                            <a:fillRect/>
                          </a:stretch>
                        </pic:blipFill>
                        <pic:spPr>
                          <a:xfrm>
                            <a:off x="0" y="0"/>
                            <a:ext cx="1907540" cy="304165"/>
                          </a:xfrm>
                          <a:prstGeom prst="rect">
                            <a:avLst/>
                          </a:prstGeom>
                          <a:noFill/>
                          <a:ln>
                            <a:noFill/>
                          </a:ln>
                        </pic:spPr>
                      </pic:pic>
                    </a:graphicData>
                  </a:graphic>
                </wp:inline>
              </w:drawing>
            </w:r>
            <w:r>
              <w:rPr>
                <w:rFonts w:hint="default" w:ascii="Times New Roman" w:hAnsi="Times New Roman" w:eastAsia="宋体" w:cs="Times New Roman"/>
                <w:color w:val="auto"/>
                <w:sz w:val="24"/>
                <w:highlight w:val="none"/>
              </w:rPr>
              <w:t xml:space="preserve">            (2)</w:t>
            </w:r>
          </w:p>
          <w:p w14:paraId="2172DC03">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p>
          <w:p w14:paraId="62537ECA">
            <w:pPr>
              <w:spacing w:line="360" w:lineRule="auto"/>
              <w:ind w:firstLine="48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Leq</w:t>
            </w:r>
            <w:r>
              <w:rPr>
                <w:rFonts w:hint="default" w:ascii="Times New Roman" w:hAnsi="Times New Roman" w:eastAsia="宋体" w:cs="Times New Roman"/>
                <w:color w:val="auto"/>
                <w:sz w:val="24"/>
              </w:rPr>
              <w:t>—预测点的噪声预测值，dB；</w:t>
            </w:r>
          </w:p>
          <w:p w14:paraId="44F08097">
            <w:pPr>
              <w:spacing w:line="360" w:lineRule="auto"/>
              <w:ind w:firstLine="48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Leqg—建设项目声源在预测点产生的噪声贡献值，dB</w:t>
            </w:r>
            <w:r>
              <w:rPr>
                <w:rFonts w:hint="eastAsia" w:ascii="Times New Roman" w:hAnsi="Times New Roman" w:eastAsia="宋体" w:cs="Times New Roman"/>
                <w:color w:val="auto"/>
                <w:sz w:val="24"/>
                <w:lang w:eastAsia="zh-CN"/>
              </w:rPr>
              <w:t>；</w:t>
            </w:r>
          </w:p>
          <w:p w14:paraId="0B569C79">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Leq</w:t>
            </w:r>
            <w:r>
              <w:rPr>
                <w:rFonts w:hint="eastAsia" w:ascii="Times New Roman" w:hAnsi="Times New Roman" w:eastAsia="宋体" w:cs="Times New Roman"/>
                <w:color w:val="auto"/>
                <w:sz w:val="24"/>
                <w:lang w:val="en-US" w:eastAsia="zh-CN"/>
              </w:rPr>
              <w:t>b</w:t>
            </w:r>
            <w:r>
              <w:rPr>
                <w:rFonts w:hint="default" w:ascii="Times New Roman" w:hAnsi="Times New Roman" w:eastAsia="宋体" w:cs="Times New Roman"/>
                <w:color w:val="auto"/>
                <w:sz w:val="24"/>
              </w:rPr>
              <w:t>—预测点的背景噪声值，dB。</w:t>
            </w:r>
          </w:p>
          <w:p w14:paraId="583A198E">
            <w:pPr>
              <w:snapToGrid w:val="0"/>
              <w:spacing w:line="360" w:lineRule="auto"/>
              <w:ind w:right="11" w:firstLine="480" w:firstLineChars="200"/>
              <w:rPr>
                <w:rFonts w:ascii="Times New Roman" w:hAnsi="Times New Roman"/>
                <w:color w:val="auto"/>
                <w:sz w:val="24"/>
              </w:rPr>
            </w:pPr>
            <w:r>
              <w:rPr>
                <w:rFonts w:hint="eastAsia" w:ascii="Times New Roman" w:hAnsi="Times New Roman"/>
                <w:color w:val="auto"/>
                <w:sz w:val="24"/>
                <w:lang w:val="en-US" w:eastAsia="zh-CN"/>
              </w:rPr>
              <w:t>(5)</w:t>
            </w:r>
            <w:r>
              <w:rPr>
                <w:rFonts w:hint="eastAsia" w:ascii="Times New Roman" w:hAnsi="Times New Roman"/>
                <w:color w:val="auto"/>
                <w:sz w:val="24"/>
              </w:rPr>
              <w:t>隔声量的确定</w:t>
            </w:r>
          </w:p>
          <w:p w14:paraId="05888EE2">
            <w:pPr>
              <w:snapToGrid w:val="0"/>
              <w:spacing w:line="360" w:lineRule="auto"/>
              <w:ind w:right="11" w:firstLine="480" w:firstLineChars="200"/>
              <w:rPr>
                <w:rFonts w:hint="default" w:ascii="Times New Roman" w:hAnsi="Times New Roman" w:eastAsia="宋体"/>
                <w:color w:val="auto"/>
                <w:sz w:val="24"/>
                <w:lang w:val="en-US" w:eastAsia="zh-CN"/>
              </w:rPr>
            </w:pPr>
            <w:r>
              <w:rPr>
                <w:rFonts w:hint="eastAsia" w:ascii="Times New Roman" w:hAnsi="Times New Roman"/>
                <w:color w:val="auto"/>
                <w:sz w:val="24"/>
              </w:rPr>
              <w:t>项目主要噪声设备大多设置于各建构筑物内，设备噪声经</w:t>
            </w:r>
            <w:r>
              <w:rPr>
                <w:rFonts w:hint="eastAsia" w:ascii="Times New Roman" w:hAnsi="Times New Roman"/>
                <w:color w:val="auto"/>
                <w:sz w:val="24"/>
                <w:lang w:val="en-US" w:eastAsia="zh-CN"/>
              </w:rPr>
              <w:t>墙体隔声，设备基础减振后</w:t>
            </w:r>
            <w:r>
              <w:rPr>
                <w:rFonts w:hint="eastAsia" w:ascii="Times New Roman" w:hAnsi="Times New Roman"/>
                <w:color w:val="auto"/>
                <w:sz w:val="24"/>
              </w:rPr>
              <w:t>，</w:t>
            </w:r>
            <w:r>
              <w:rPr>
                <w:rFonts w:hint="eastAsia" w:ascii="Times New Roman" w:hAnsi="Times New Roman"/>
                <w:color w:val="auto"/>
                <w:sz w:val="24"/>
                <w:lang w:val="en-US" w:eastAsia="zh-CN"/>
              </w:rPr>
              <w:t>项目主要生产厂房为砖混结构，隔声、减振按20</w:t>
            </w:r>
            <w:r>
              <w:rPr>
                <w:rFonts w:hint="eastAsia" w:ascii="Times New Roman" w:hAnsi="Times New Roman"/>
                <w:color w:val="auto"/>
                <w:sz w:val="24"/>
              </w:rPr>
              <w:t>dB(A)</w:t>
            </w:r>
            <w:r>
              <w:rPr>
                <w:rFonts w:hint="eastAsia" w:ascii="Times New Roman" w:hAnsi="Times New Roman"/>
                <w:color w:val="auto"/>
                <w:sz w:val="24"/>
                <w:lang w:val="en-US" w:eastAsia="zh-CN"/>
              </w:rPr>
              <w:t>进行设计。</w:t>
            </w:r>
          </w:p>
          <w:p w14:paraId="2BFBB0A5">
            <w:pPr>
              <w:spacing w:line="360" w:lineRule="auto"/>
              <w:ind w:firstLine="480"/>
              <w:rPr>
                <w:rFonts w:ascii="Times New Roman" w:hAnsi="Times New Roman"/>
                <w:color w:val="auto"/>
                <w:sz w:val="24"/>
              </w:rPr>
            </w:pPr>
            <w:r>
              <w:rPr>
                <w:rFonts w:ascii="Times New Roman" w:hAnsi="Times New Roman"/>
                <w:color w:val="auto"/>
                <w:sz w:val="24"/>
              </w:rPr>
              <w:t>(</w:t>
            </w:r>
            <w:r>
              <w:rPr>
                <w:rFonts w:hint="eastAsia" w:ascii="Times New Roman" w:hAnsi="Times New Roman"/>
                <w:color w:val="auto"/>
                <w:sz w:val="24"/>
                <w:lang w:val="en-US" w:eastAsia="zh-CN"/>
              </w:rPr>
              <w:t>6</w:t>
            </w:r>
            <w:r>
              <w:rPr>
                <w:rFonts w:ascii="Times New Roman" w:hAnsi="Times New Roman"/>
                <w:color w:val="auto"/>
                <w:sz w:val="24"/>
              </w:rPr>
              <w:t>)</w:t>
            </w:r>
            <w:r>
              <w:rPr>
                <w:rFonts w:hint="eastAsia" w:ascii="Times New Roman" w:hAnsi="Times New Roman"/>
                <w:color w:val="auto"/>
                <w:sz w:val="24"/>
              </w:rPr>
              <w:t>预测结果</w:t>
            </w:r>
          </w:p>
          <w:p w14:paraId="6968A384">
            <w:pPr>
              <w:spacing w:line="360" w:lineRule="auto"/>
              <w:ind w:firstLine="480"/>
              <w:rPr>
                <w:rFonts w:hint="default" w:ascii="Times New Roman" w:hAnsi="Times New Roman" w:eastAsia="宋体"/>
                <w:color w:val="auto"/>
                <w:sz w:val="24"/>
                <w:lang w:val="en-US" w:eastAsia="zh-CN"/>
              </w:rPr>
            </w:pPr>
            <w:r>
              <w:rPr>
                <w:rFonts w:hint="eastAsia" w:ascii="Times New Roman" w:hAnsi="Times New Roman"/>
                <w:color w:val="auto"/>
                <w:sz w:val="24"/>
                <w:lang w:val="zh-CN"/>
              </w:rPr>
              <w:t>①</w:t>
            </w:r>
            <w:r>
              <w:rPr>
                <w:rFonts w:hint="eastAsia" w:ascii="Times New Roman" w:hAnsi="Times New Roman"/>
                <w:color w:val="auto"/>
                <w:sz w:val="24"/>
                <w:lang w:val="en-US" w:eastAsia="zh-CN"/>
              </w:rPr>
              <w:t>厂界噪声预测结果</w:t>
            </w:r>
          </w:p>
          <w:p w14:paraId="70E4B75E">
            <w:pPr>
              <w:spacing w:line="360" w:lineRule="auto"/>
              <w:ind w:firstLine="480"/>
              <w:rPr>
                <w:rFonts w:ascii="Times New Roman" w:hAnsi="Times New Roman"/>
                <w:color w:val="auto"/>
                <w:sz w:val="24"/>
                <w:lang w:val="zh-CN"/>
              </w:rPr>
            </w:pPr>
            <w:r>
              <w:rPr>
                <w:rFonts w:ascii="Times New Roman" w:hAnsi="Times New Roman"/>
                <w:color w:val="auto"/>
                <w:sz w:val="24"/>
                <w:lang w:val="zh-CN"/>
              </w:rPr>
              <w:t>利用上述模式计算本项目噪声源同时工作时，预测到厂界的噪声最大值及位置，具体预测结果见表</w:t>
            </w:r>
            <w:r>
              <w:rPr>
                <w:rFonts w:hint="eastAsia" w:ascii="Times New Roman" w:hAnsi="Times New Roman"/>
                <w:color w:val="auto"/>
                <w:sz w:val="24"/>
              </w:rPr>
              <w:t>4.</w:t>
            </w:r>
            <w:r>
              <w:rPr>
                <w:rFonts w:hint="eastAsia" w:ascii="Times New Roman" w:hAnsi="Times New Roman"/>
                <w:color w:val="auto"/>
                <w:sz w:val="24"/>
                <w:lang w:val="en-US" w:eastAsia="zh-CN"/>
              </w:rPr>
              <w:t>4-3</w:t>
            </w:r>
            <w:r>
              <w:rPr>
                <w:rFonts w:ascii="Times New Roman" w:hAnsi="Times New Roman"/>
                <w:color w:val="auto"/>
                <w:sz w:val="24"/>
                <w:lang w:val="zh-CN"/>
              </w:rPr>
              <w:t>所示。</w:t>
            </w:r>
          </w:p>
          <w:p w14:paraId="0E212FED">
            <w:pPr>
              <w:spacing w:before="120" w:beforeLines="50"/>
              <w:jc w:val="center"/>
              <w:rPr>
                <w:rFonts w:ascii="Times New Roman" w:hAnsi="Times New Roman" w:eastAsia="黑体"/>
                <w:color w:val="auto"/>
                <w:spacing w:val="8"/>
                <w:sz w:val="24"/>
                <w:lang w:bidi="ar"/>
              </w:rPr>
            </w:pPr>
            <w:r>
              <w:rPr>
                <w:rFonts w:ascii="Times New Roman" w:hAnsi="Times New Roman" w:eastAsia="黑体"/>
                <w:color w:val="auto"/>
                <w:spacing w:val="8"/>
                <w:sz w:val="24"/>
                <w:lang w:bidi="ar"/>
              </w:rPr>
              <w:t>表4.</w:t>
            </w:r>
            <w:r>
              <w:rPr>
                <w:rFonts w:hint="eastAsia" w:ascii="Times New Roman" w:hAnsi="Times New Roman" w:eastAsia="黑体"/>
                <w:color w:val="auto"/>
                <w:spacing w:val="8"/>
                <w:sz w:val="24"/>
                <w:lang w:val="en-US" w:eastAsia="zh-CN" w:bidi="ar"/>
              </w:rPr>
              <w:t>4</w:t>
            </w:r>
            <w:r>
              <w:rPr>
                <w:rFonts w:ascii="Times New Roman" w:hAnsi="Times New Roman" w:eastAsia="黑体"/>
                <w:color w:val="auto"/>
                <w:spacing w:val="8"/>
                <w:sz w:val="24"/>
                <w:lang w:bidi="ar"/>
              </w:rPr>
              <w:t>-</w:t>
            </w:r>
            <w:r>
              <w:rPr>
                <w:rFonts w:hint="eastAsia" w:ascii="Times New Roman" w:hAnsi="Times New Roman" w:eastAsia="黑体"/>
                <w:color w:val="auto"/>
                <w:spacing w:val="8"/>
                <w:sz w:val="24"/>
                <w:lang w:val="en-US" w:eastAsia="zh-CN" w:bidi="ar"/>
              </w:rPr>
              <w:t>3</w:t>
            </w:r>
            <w:r>
              <w:rPr>
                <w:rFonts w:ascii="Times New Roman" w:hAnsi="Times New Roman" w:eastAsia="黑体"/>
                <w:color w:val="auto"/>
                <w:spacing w:val="8"/>
                <w:sz w:val="24"/>
                <w:lang w:bidi="ar"/>
              </w:rPr>
              <w:t xml:space="preserve">  厂界噪声预测结果   单位：dB(A)</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32"/>
              <w:gridCol w:w="1097"/>
              <w:gridCol w:w="1493"/>
              <w:gridCol w:w="2353"/>
              <w:gridCol w:w="1245"/>
              <w:gridCol w:w="1105"/>
            </w:tblGrid>
            <w:tr w14:paraId="4A92C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pct"/>
                  <w:vMerge w:val="restart"/>
                  <w:noWrap w:val="0"/>
                  <w:vAlign w:val="center"/>
                </w:tcPr>
                <w:p w14:paraId="6E1E30A4">
                  <w:pPr>
                    <w:pStyle w:val="43"/>
                    <w:spacing w:before="24" w:after="24" w:line="340" w:lineRule="exact"/>
                    <w:rPr>
                      <w:rFonts w:ascii="Times New Roman" w:hAnsi="Times New Roman"/>
                      <w:bCs/>
                      <w:color w:val="auto"/>
                      <w:szCs w:val="21"/>
                    </w:rPr>
                  </w:pPr>
                  <w:r>
                    <w:rPr>
                      <w:rFonts w:ascii="Times New Roman" w:hAnsi="Times New Roman"/>
                      <w:bCs/>
                      <w:color w:val="auto"/>
                      <w:szCs w:val="21"/>
                    </w:rPr>
                    <w:t>编号</w:t>
                  </w:r>
                </w:p>
              </w:tc>
              <w:tc>
                <w:tcPr>
                  <w:tcW w:w="683" w:type="pct"/>
                  <w:vMerge w:val="restart"/>
                  <w:noWrap w:val="0"/>
                  <w:vAlign w:val="center"/>
                </w:tcPr>
                <w:p w14:paraId="778B987B">
                  <w:pPr>
                    <w:pStyle w:val="43"/>
                    <w:spacing w:before="24" w:after="24" w:line="340" w:lineRule="exact"/>
                    <w:rPr>
                      <w:rFonts w:ascii="Times New Roman" w:hAnsi="Times New Roman"/>
                      <w:bCs/>
                      <w:color w:val="auto"/>
                      <w:szCs w:val="21"/>
                    </w:rPr>
                  </w:pPr>
                  <w:r>
                    <w:rPr>
                      <w:rFonts w:ascii="Times New Roman" w:hAnsi="Times New Roman"/>
                      <w:bCs/>
                      <w:color w:val="auto"/>
                      <w:szCs w:val="21"/>
                    </w:rPr>
                    <w:t>测点位置</w:t>
                  </w:r>
                </w:p>
              </w:tc>
              <w:tc>
                <w:tcPr>
                  <w:tcW w:w="930" w:type="pct"/>
                  <w:noWrap w:val="0"/>
                  <w:vAlign w:val="center"/>
                </w:tcPr>
                <w:p w14:paraId="1A692283">
                  <w:pPr>
                    <w:pStyle w:val="43"/>
                    <w:spacing w:before="24" w:after="24" w:line="340" w:lineRule="exact"/>
                    <w:rPr>
                      <w:rFonts w:ascii="Times New Roman" w:hAnsi="Times New Roman"/>
                      <w:bCs/>
                      <w:color w:val="auto"/>
                      <w:szCs w:val="21"/>
                    </w:rPr>
                  </w:pPr>
                  <w:r>
                    <w:rPr>
                      <w:rFonts w:ascii="Times New Roman" w:hAnsi="Times New Roman"/>
                      <w:bCs/>
                      <w:color w:val="auto"/>
                      <w:szCs w:val="21"/>
                    </w:rPr>
                    <w:t>影响贡献值</w:t>
                  </w:r>
                </w:p>
              </w:tc>
              <w:tc>
                <w:tcPr>
                  <w:tcW w:w="1465" w:type="pct"/>
                  <w:noWrap w:val="0"/>
                  <w:vAlign w:val="center"/>
                </w:tcPr>
                <w:p w14:paraId="5AAEEB9F">
                  <w:pPr>
                    <w:pStyle w:val="43"/>
                    <w:spacing w:before="24" w:after="24" w:line="340" w:lineRule="exact"/>
                    <w:rPr>
                      <w:rFonts w:ascii="Times New Roman" w:hAnsi="Times New Roman"/>
                      <w:bCs/>
                      <w:color w:val="auto"/>
                      <w:szCs w:val="21"/>
                    </w:rPr>
                  </w:pPr>
                  <w:r>
                    <w:rPr>
                      <w:rFonts w:ascii="Times New Roman" w:hAnsi="Times New Roman"/>
                      <w:bCs/>
                      <w:color w:val="auto"/>
                      <w:szCs w:val="21"/>
                    </w:rPr>
                    <w:t>厂界噪声最大值及位置</w:t>
                  </w:r>
                </w:p>
              </w:tc>
              <w:tc>
                <w:tcPr>
                  <w:tcW w:w="775" w:type="pct"/>
                  <w:noWrap w:val="0"/>
                  <w:vAlign w:val="center"/>
                </w:tcPr>
                <w:p w14:paraId="12B31B42">
                  <w:pPr>
                    <w:pStyle w:val="43"/>
                    <w:spacing w:before="24" w:after="24" w:line="340" w:lineRule="exact"/>
                    <w:rPr>
                      <w:rFonts w:ascii="Times New Roman" w:hAnsi="Times New Roman"/>
                      <w:bCs/>
                      <w:color w:val="auto"/>
                      <w:szCs w:val="21"/>
                    </w:rPr>
                  </w:pPr>
                  <w:r>
                    <w:rPr>
                      <w:rFonts w:ascii="Times New Roman" w:hAnsi="Times New Roman"/>
                      <w:bCs/>
                      <w:color w:val="auto"/>
                      <w:szCs w:val="21"/>
                    </w:rPr>
                    <w:t>标准值</w:t>
                  </w:r>
                </w:p>
              </w:tc>
              <w:tc>
                <w:tcPr>
                  <w:tcW w:w="688" w:type="pct"/>
                  <w:vMerge w:val="restart"/>
                  <w:noWrap w:val="0"/>
                  <w:vAlign w:val="center"/>
                </w:tcPr>
                <w:p w14:paraId="15F5B030">
                  <w:pPr>
                    <w:pStyle w:val="43"/>
                    <w:spacing w:before="24" w:after="24" w:line="340" w:lineRule="exact"/>
                    <w:rPr>
                      <w:rFonts w:ascii="Times New Roman" w:hAnsi="Times New Roman"/>
                      <w:bCs/>
                      <w:color w:val="auto"/>
                      <w:szCs w:val="21"/>
                    </w:rPr>
                  </w:pPr>
                  <w:r>
                    <w:rPr>
                      <w:rFonts w:ascii="Times New Roman" w:hAnsi="Times New Roman"/>
                      <w:bCs/>
                      <w:color w:val="auto"/>
                      <w:szCs w:val="21"/>
                    </w:rPr>
                    <w:t>达标情况</w:t>
                  </w:r>
                </w:p>
              </w:tc>
            </w:tr>
            <w:tr w14:paraId="68C20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6" w:type="pct"/>
                  <w:vMerge w:val="continue"/>
                  <w:noWrap w:val="0"/>
                  <w:vAlign w:val="center"/>
                </w:tcPr>
                <w:p w14:paraId="124DB720">
                  <w:pPr>
                    <w:pStyle w:val="43"/>
                    <w:spacing w:before="24" w:after="24" w:line="340" w:lineRule="exact"/>
                    <w:rPr>
                      <w:rFonts w:ascii="Times New Roman" w:hAnsi="Times New Roman"/>
                      <w:bCs/>
                      <w:color w:val="auto"/>
                      <w:szCs w:val="21"/>
                    </w:rPr>
                  </w:pPr>
                </w:p>
              </w:tc>
              <w:tc>
                <w:tcPr>
                  <w:tcW w:w="683" w:type="pct"/>
                  <w:vMerge w:val="continue"/>
                  <w:noWrap w:val="0"/>
                  <w:vAlign w:val="center"/>
                </w:tcPr>
                <w:p w14:paraId="133191A0">
                  <w:pPr>
                    <w:pStyle w:val="43"/>
                    <w:spacing w:before="24" w:after="24" w:line="340" w:lineRule="exact"/>
                    <w:rPr>
                      <w:rFonts w:ascii="Times New Roman" w:hAnsi="Times New Roman"/>
                      <w:bCs/>
                      <w:color w:val="auto"/>
                      <w:szCs w:val="21"/>
                    </w:rPr>
                  </w:pPr>
                </w:p>
              </w:tc>
              <w:tc>
                <w:tcPr>
                  <w:tcW w:w="930" w:type="pct"/>
                  <w:noWrap w:val="0"/>
                  <w:vAlign w:val="center"/>
                </w:tcPr>
                <w:p w14:paraId="040544E2">
                  <w:pPr>
                    <w:pStyle w:val="43"/>
                    <w:spacing w:before="24" w:after="24" w:line="340" w:lineRule="exact"/>
                    <w:rPr>
                      <w:rFonts w:hint="eastAsia" w:ascii="Times New Roman" w:hAnsi="Times New Roman" w:eastAsia="宋体"/>
                      <w:bCs/>
                      <w:color w:val="auto"/>
                      <w:szCs w:val="21"/>
                      <w:lang w:val="en-US" w:eastAsia="zh-CN"/>
                    </w:rPr>
                  </w:pPr>
                  <w:r>
                    <w:rPr>
                      <w:rFonts w:ascii="Times New Roman" w:hAnsi="Times New Roman"/>
                      <w:bCs/>
                      <w:color w:val="auto"/>
                      <w:szCs w:val="21"/>
                    </w:rPr>
                    <w:t>昼间</w:t>
                  </w:r>
                </w:p>
              </w:tc>
              <w:tc>
                <w:tcPr>
                  <w:tcW w:w="1465" w:type="pct"/>
                  <w:noWrap w:val="0"/>
                  <w:vAlign w:val="center"/>
                </w:tcPr>
                <w:p w14:paraId="78D049AB">
                  <w:pPr>
                    <w:pStyle w:val="43"/>
                    <w:spacing w:before="24" w:after="24" w:line="340" w:lineRule="exact"/>
                    <w:rPr>
                      <w:rFonts w:hint="eastAsia" w:ascii="Times New Roman" w:hAnsi="Times New Roman" w:eastAsia="宋体"/>
                      <w:bCs/>
                      <w:color w:val="auto"/>
                      <w:szCs w:val="21"/>
                      <w:lang w:val="en-US" w:eastAsia="zh-CN"/>
                    </w:rPr>
                  </w:pPr>
                  <w:r>
                    <w:rPr>
                      <w:rFonts w:ascii="Times New Roman" w:hAnsi="Times New Roman"/>
                      <w:bCs/>
                      <w:color w:val="auto"/>
                      <w:szCs w:val="21"/>
                    </w:rPr>
                    <w:t>昼间</w:t>
                  </w:r>
                </w:p>
              </w:tc>
              <w:tc>
                <w:tcPr>
                  <w:tcW w:w="775" w:type="pct"/>
                  <w:noWrap w:val="0"/>
                  <w:vAlign w:val="center"/>
                </w:tcPr>
                <w:p w14:paraId="4D8242F6">
                  <w:pPr>
                    <w:pStyle w:val="43"/>
                    <w:spacing w:before="24" w:after="24" w:line="340" w:lineRule="exact"/>
                    <w:rPr>
                      <w:rFonts w:hint="eastAsia" w:ascii="Times New Roman" w:hAnsi="Times New Roman" w:eastAsia="宋体"/>
                      <w:bCs/>
                      <w:color w:val="auto"/>
                      <w:szCs w:val="21"/>
                      <w:lang w:val="en-US" w:eastAsia="zh-CN"/>
                    </w:rPr>
                  </w:pPr>
                  <w:r>
                    <w:rPr>
                      <w:rFonts w:ascii="Times New Roman" w:hAnsi="Times New Roman"/>
                      <w:bCs/>
                      <w:color w:val="auto"/>
                      <w:szCs w:val="21"/>
                    </w:rPr>
                    <w:t>昼间</w:t>
                  </w:r>
                </w:p>
              </w:tc>
              <w:tc>
                <w:tcPr>
                  <w:tcW w:w="688" w:type="pct"/>
                  <w:vMerge w:val="continue"/>
                  <w:noWrap w:val="0"/>
                  <w:vAlign w:val="center"/>
                </w:tcPr>
                <w:p w14:paraId="72149CD4">
                  <w:pPr>
                    <w:pStyle w:val="43"/>
                    <w:spacing w:before="24" w:after="24" w:line="340" w:lineRule="exact"/>
                    <w:rPr>
                      <w:rFonts w:ascii="Times New Roman" w:hAnsi="Times New Roman"/>
                      <w:bCs/>
                      <w:color w:val="auto"/>
                      <w:szCs w:val="21"/>
                    </w:rPr>
                  </w:pPr>
                </w:p>
              </w:tc>
            </w:tr>
            <w:tr w14:paraId="5673A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noWrap w:val="0"/>
                  <w:vAlign w:val="center"/>
                </w:tcPr>
                <w:p w14:paraId="07B93680">
                  <w:pPr>
                    <w:pStyle w:val="43"/>
                    <w:spacing w:before="24" w:after="24" w:line="340" w:lineRule="exact"/>
                    <w:rPr>
                      <w:rFonts w:ascii="Times New Roman" w:hAnsi="Times New Roman"/>
                      <w:bCs/>
                      <w:color w:val="auto"/>
                      <w:szCs w:val="21"/>
                    </w:rPr>
                  </w:pPr>
                  <w:r>
                    <w:rPr>
                      <w:rFonts w:ascii="Times New Roman" w:hAnsi="Times New Roman"/>
                      <w:bCs/>
                      <w:color w:val="auto"/>
                      <w:szCs w:val="21"/>
                    </w:rPr>
                    <w:t>1</w:t>
                  </w:r>
                </w:p>
              </w:tc>
              <w:tc>
                <w:tcPr>
                  <w:tcW w:w="683" w:type="pct"/>
                  <w:noWrap w:val="0"/>
                  <w:vAlign w:val="center"/>
                </w:tcPr>
                <w:p w14:paraId="44F0180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ascii="Times New Roman" w:hAnsi="Times New Roman"/>
                      <w:bCs/>
                      <w:color w:val="auto"/>
                      <w:szCs w:val="21"/>
                    </w:rPr>
                  </w:pPr>
                  <w:r>
                    <w:rPr>
                      <w:rFonts w:hint="eastAsia" w:ascii="Times New Roman" w:hAnsi="Times New Roman"/>
                      <w:color w:val="auto"/>
                      <w:szCs w:val="21"/>
                      <w:lang w:val="en-US" w:eastAsia="zh-CN"/>
                    </w:rPr>
                    <w:t>东侧厂界</w:t>
                  </w:r>
                </w:p>
              </w:tc>
              <w:tc>
                <w:tcPr>
                  <w:tcW w:w="930" w:type="pct"/>
                  <w:noWrap w:val="0"/>
                  <w:vAlign w:val="center"/>
                </w:tcPr>
                <w:p w14:paraId="3F934FFE">
                  <w:pPr>
                    <w:widowControl/>
                    <w:spacing w:line="340" w:lineRule="exact"/>
                    <w:jc w:val="center"/>
                    <w:rPr>
                      <w:rFonts w:hint="default" w:ascii="Times New Roman" w:hAnsi="Times New Roman" w:eastAsia="宋体"/>
                      <w:bCs/>
                      <w:color w:val="auto"/>
                      <w:kern w:val="2"/>
                      <w:sz w:val="21"/>
                      <w:szCs w:val="21"/>
                      <w:lang w:val="en-US" w:eastAsia="zh-CN" w:bidi="ar-SA"/>
                    </w:rPr>
                  </w:pPr>
                  <w:r>
                    <w:rPr>
                      <w:rFonts w:hint="eastAsia" w:ascii="Times New Roman" w:hAnsi="Times New Roman" w:eastAsia="宋体"/>
                      <w:bCs/>
                      <w:color w:val="auto"/>
                      <w:kern w:val="2"/>
                      <w:sz w:val="21"/>
                      <w:szCs w:val="21"/>
                      <w:lang w:val="en-US" w:eastAsia="zh-CN" w:bidi="ar-SA"/>
                    </w:rPr>
                    <w:t>58.9</w:t>
                  </w:r>
                </w:p>
              </w:tc>
              <w:tc>
                <w:tcPr>
                  <w:tcW w:w="1465" w:type="pct"/>
                  <w:vMerge w:val="restart"/>
                  <w:noWrap w:val="0"/>
                  <w:vAlign w:val="center"/>
                </w:tcPr>
                <w:p w14:paraId="73ABEF3B">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bCs/>
                      <w:color w:val="auto"/>
                      <w:highlight w:val="none"/>
                    </w:rPr>
                  </w:pPr>
                  <w:r>
                    <w:rPr>
                      <w:rFonts w:hint="eastAsia" w:ascii="Times New Roman" w:hAnsi="Times New Roman" w:cs="Times New Roman"/>
                      <w:bCs/>
                      <w:color w:val="auto"/>
                      <w:highlight w:val="none"/>
                      <w:lang w:eastAsia="zh-CN"/>
                    </w:rPr>
                    <w:t>东</w:t>
                  </w:r>
                  <w:r>
                    <w:rPr>
                      <w:rFonts w:hint="default" w:ascii="Times New Roman" w:hAnsi="Times New Roman" w:cs="Times New Roman"/>
                      <w:bCs/>
                      <w:color w:val="auto"/>
                      <w:highlight w:val="none"/>
                    </w:rPr>
                    <w:t>侧厂界</w:t>
                  </w:r>
                </w:p>
                <w:p w14:paraId="02BFA320">
                  <w:pPr>
                    <w:spacing w:line="340" w:lineRule="exact"/>
                    <w:jc w:val="center"/>
                    <w:rPr>
                      <w:rFonts w:hint="default" w:ascii="Times New Roman" w:hAnsi="Times New Roman"/>
                      <w:bCs/>
                      <w:color w:val="auto"/>
                      <w:szCs w:val="21"/>
                      <w:lang w:val="en-US" w:eastAsia="zh-CN"/>
                    </w:rPr>
                  </w:pPr>
                  <w:r>
                    <w:rPr>
                      <w:rFonts w:hint="eastAsia" w:ascii="Times New Roman" w:hAnsi="Times New Roman" w:cs="Times New Roman"/>
                      <w:bCs/>
                      <w:color w:val="auto"/>
                      <w:highlight w:val="none"/>
                      <w:lang w:val="en-US" w:eastAsia="zh-CN"/>
                    </w:rPr>
                    <w:t>58.9</w:t>
                  </w:r>
                </w:p>
              </w:tc>
              <w:tc>
                <w:tcPr>
                  <w:tcW w:w="775" w:type="pct"/>
                  <w:vMerge w:val="restart"/>
                  <w:noWrap w:val="0"/>
                  <w:vAlign w:val="center"/>
                </w:tcPr>
                <w:p w14:paraId="15E77DFB">
                  <w:pPr>
                    <w:widowControl/>
                    <w:spacing w:line="340" w:lineRule="exact"/>
                    <w:jc w:val="center"/>
                    <w:rPr>
                      <w:rFonts w:hint="default" w:ascii="Times New Roman" w:hAnsi="Times New Roman" w:eastAsia="宋体"/>
                      <w:bCs/>
                      <w:color w:val="auto"/>
                      <w:szCs w:val="21"/>
                      <w:lang w:val="en-US" w:eastAsia="zh-CN"/>
                    </w:rPr>
                  </w:pPr>
                  <w:r>
                    <w:rPr>
                      <w:rFonts w:hint="eastAsia" w:ascii="Times New Roman" w:hAnsi="Times New Roman" w:eastAsia="宋体"/>
                      <w:bCs/>
                      <w:color w:val="auto"/>
                      <w:szCs w:val="21"/>
                      <w:lang w:val="en-US" w:eastAsia="zh-CN"/>
                    </w:rPr>
                    <w:t>60</w:t>
                  </w:r>
                </w:p>
              </w:tc>
              <w:tc>
                <w:tcPr>
                  <w:tcW w:w="688" w:type="pct"/>
                  <w:noWrap w:val="0"/>
                  <w:vAlign w:val="center"/>
                </w:tcPr>
                <w:p w14:paraId="49CCA295">
                  <w:pPr>
                    <w:widowControl/>
                    <w:spacing w:line="340" w:lineRule="exact"/>
                    <w:jc w:val="center"/>
                    <w:rPr>
                      <w:rFonts w:ascii="Times New Roman" w:hAnsi="Times New Roman"/>
                      <w:bCs/>
                      <w:color w:val="auto"/>
                      <w:szCs w:val="21"/>
                    </w:rPr>
                  </w:pPr>
                  <w:r>
                    <w:rPr>
                      <w:rFonts w:ascii="Times New Roman" w:hAnsi="Times New Roman"/>
                      <w:bCs/>
                      <w:color w:val="auto"/>
                      <w:szCs w:val="21"/>
                    </w:rPr>
                    <w:t>达标</w:t>
                  </w:r>
                </w:p>
              </w:tc>
            </w:tr>
            <w:tr w14:paraId="036BE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noWrap w:val="0"/>
                  <w:vAlign w:val="center"/>
                </w:tcPr>
                <w:p w14:paraId="149B8C6D">
                  <w:pPr>
                    <w:pStyle w:val="43"/>
                    <w:spacing w:before="24" w:after="24" w:line="340" w:lineRule="exact"/>
                    <w:rPr>
                      <w:rFonts w:ascii="Times New Roman" w:hAnsi="Times New Roman"/>
                      <w:bCs/>
                      <w:color w:val="auto"/>
                      <w:szCs w:val="21"/>
                    </w:rPr>
                  </w:pPr>
                  <w:r>
                    <w:rPr>
                      <w:rFonts w:ascii="Times New Roman" w:hAnsi="Times New Roman"/>
                      <w:bCs/>
                      <w:color w:val="auto"/>
                      <w:szCs w:val="21"/>
                    </w:rPr>
                    <w:t>2</w:t>
                  </w:r>
                </w:p>
              </w:tc>
              <w:tc>
                <w:tcPr>
                  <w:tcW w:w="683" w:type="pct"/>
                  <w:noWrap w:val="0"/>
                  <w:vAlign w:val="center"/>
                </w:tcPr>
                <w:p w14:paraId="428AB85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ascii="Times New Roman" w:hAnsi="Times New Roman"/>
                      <w:bCs/>
                      <w:color w:val="auto"/>
                      <w:szCs w:val="21"/>
                    </w:rPr>
                  </w:pPr>
                  <w:r>
                    <w:rPr>
                      <w:rFonts w:hint="eastAsia" w:ascii="Times New Roman" w:hAnsi="Times New Roman"/>
                      <w:color w:val="auto"/>
                      <w:szCs w:val="21"/>
                      <w:lang w:val="en-US" w:eastAsia="zh-CN"/>
                    </w:rPr>
                    <w:t>西侧厂界</w:t>
                  </w:r>
                </w:p>
              </w:tc>
              <w:tc>
                <w:tcPr>
                  <w:tcW w:w="930" w:type="pct"/>
                  <w:noWrap w:val="0"/>
                  <w:vAlign w:val="center"/>
                </w:tcPr>
                <w:p w14:paraId="4C96F248">
                  <w:pPr>
                    <w:widowControl/>
                    <w:spacing w:line="340" w:lineRule="exact"/>
                    <w:jc w:val="center"/>
                    <w:rPr>
                      <w:rFonts w:hint="default" w:ascii="Times New Roman" w:hAnsi="Times New Roman" w:eastAsia="宋体"/>
                      <w:bCs/>
                      <w:color w:val="auto"/>
                      <w:kern w:val="2"/>
                      <w:sz w:val="21"/>
                      <w:szCs w:val="21"/>
                      <w:lang w:val="en-US" w:eastAsia="zh-CN" w:bidi="ar-SA"/>
                    </w:rPr>
                  </w:pPr>
                  <w:r>
                    <w:rPr>
                      <w:rFonts w:hint="eastAsia" w:ascii="Times New Roman" w:hAnsi="Times New Roman" w:eastAsia="宋体" w:cs="Times New Roman"/>
                      <w:bCs/>
                      <w:color w:val="auto"/>
                      <w:highlight w:val="none"/>
                      <w:lang w:val="en-US" w:eastAsia="zh-CN"/>
                    </w:rPr>
                    <w:t>56.3</w:t>
                  </w:r>
                </w:p>
              </w:tc>
              <w:tc>
                <w:tcPr>
                  <w:tcW w:w="1465" w:type="pct"/>
                  <w:vMerge w:val="continue"/>
                  <w:noWrap w:val="0"/>
                  <w:vAlign w:val="center"/>
                </w:tcPr>
                <w:p w14:paraId="49A176FA">
                  <w:pPr>
                    <w:spacing w:line="340" w:lineRule="exact"/>
                    <w:jc w:val="center"/>
                    <w:rPr>
                      <w:rFonts w:ascii="Times New Roman" w:hAnsi="Times New Roman"/>
                      <w:bCs/>
                      <w:color w:val="auto"/>
                      <w:szCs w:val="21"/>
                    </w:rPr>
                  </w:pPr>
                </w:p>
              </w:tc>
              <w:tc>
                <w:tcPr>
                  <w:tcW w:w="775" w:type="pct"/>
                  <w:vMerge w:val="continue"/>
                  <w:noWrap w:val="0"/>
                  <w:vAlign w:val="center"/>
                </w:tcPr>
                <w:p w14:paraId="5137A749">
                  <w:pPr>
                    <w:pStyle w:val="43"/>
                    <w:spacing w:before="24" w:after="24" w:line="340" w:lineRule="exact"/>
                    <w:rPr>
                      <w:rFonts w:ascii="Times New Roman" w:hAnsi="Times New Roman"/>
                      <w:bCs/>
                      <w:color w:val="auto"/>
                      <w:szCs w:val="21"/>
                    </w:rPr>
                  </w:pPr>
                </w:p>
              </w:tc>
              <w:tc>
                <w:tcPr>
                  <w:tcW w:w="688" w:type="pct"/>
                  <w:noWrap w:val="0"/>
                  <w:vAlign w:val="center"/>
                </w:tcPr>
                <w:p w14:paraId="5AD41389">
                  <w:pPr>
                    <w:pStyle w:val="43"/>
                    <w:spacing w:before="24" w:after="24" w:line="340" w:lineRule="exact"/>
                    <w:rPr>
                      <w:rFonts w:ascii="Times New Roman" w:hAnsi="Times New Roman"/>
                      <w:bCs/>
                      <w:color w:val="auto"/>
                      <w:szCs w:val="21"/>
                    </w:rPr>
                  </w:pPr>
                  <w:r>
                    <w:rPr>
                      <w:rFonts w:ascii="Times New Roman" w:hAnsi="Times New Roman"/>
                      <w:bCs/>
                      <w:color w:val="auto"/>
                      <w:szCs w:val="21"/>
                    </w:rPr>
                    <w:t>达标</w:t>
                  </w:r>
                </w:p>
              </w:tc>
            </w:tr>
            <w:tr w14:paraId="28E26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noWrap w:val="0"/>
                  <w:vAlign w:val="center"/>
                </w:tcPr>
                <w:p w14:paraId="163F15B2">
                  <w:pPr>
                    <w:pStyle w:val="43"/>
                    <w:spacing w:before="24" w:after="24" w:line="340" w:lineRule="exact"/>
                    <w:rPr>
                      <w:rFonts w:hint="eastAsia" w:ascii="Times New Roman" w:hAnsi="Times New Roman" w:eastAsia="宋体"/>
                      <w:bCs/>
                      <w:color w:val="auto"/>
                      <w:szCs w:val="21"/>
                      <w:lang w:val="en-US" w:eastAsia="zh-CN"/>
                    </w:rPr>
                  </w:pPr>
                  <w:r>
                    <w:rPr>
                      <w:rFonts w:hint="eastAsia" w:ascii="Times New Roman" w:hAnsi="Times New Roman"/>
                      <w:bCs/>
                      <w:color w:val="auto"/>
                      <w:szCs w:val="21"/>
                      <w:lang w:val="en-US" w:eastAsia="zh-CN"/>
                    </w:rPr>
                    <w:t>3</w:t>
                  </w:r>
                </w:p>
              </w:tc>
              <w:tc>
                <w:tcPr>
                  <w:tcW w:w="683" w:type="pct"/>
                  <w:noWrap w:val="0"/>
                  <w:vAlign w:val="center"/>
                </w:tcPr>
                <w:p w14:paraId="2FF74BBB">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bCs/>
                      <w:color w:val="auto"/>
                      <w:szCs w:val="21"/>
                      <w:lang w:val="en-US" w:eastAsia="zh-CN"/>
                    </w:rPr>
                  </w:pPr>
                  <w:r>
                    <w:rPr>
                      <w:rFonts w:hint="eastAsia" w:ascii="Times New Roman" w:hAnsi="Times New Roman"/>
                      <w:color w:val="auto"/>
                      <w:szCs w:val="21"/>
                      <w:lang w:val="en-US" w:eastAsia="zh-CN"/>
                    </w:rPr>
                    <w:t>南侧厂界</w:t>
                  </w:r>
                </w:p>
              </w:tc>
              <w:tc>
                <w:tcPr>
                  <w:tcW w:w="930" w:type="pct"/>
                  <w:noWrap w:val="0"/>
                  <w:vAlign w:val="center"/>
                </w:tcPr>
                <w:p w14:paraId="42FA4A97">
                  <w:pPr>
                    <w:widowControl/>
                    <w:spacing w:line="340" w:lineRule="exact"/>
                    <w:jc w:val="center"/>
                    <w:rPr>
                      <w:rFonts w:hint="default" w:ascii="Times New Roman" w:hAnsi="Times New Roman" w:eastAsia="宋体"/>
                      <w:bCs/>
                      <w:color w:val="auto"/>
                      <w:kern w:val="2"/>
                      <w:sz w:val="21"/>
                      <w:szCs w:val="21"/>
                      <w:lang w:val="en-US" w:eastAsia="zh-CN" w:bidi="ar-SA"/>
                    </w:rPr>
                  </w:pPr>
                  <w:r>
                    <w:rPr>
                      <w:rFonts w:hint="eastAsia" w:ascii="Times New Roman" w:hAnsi="Times New Roman" w:eastAsia="宋体" w:cs="Times New Roman"/>
                      <w:bCs/>
                      <w:color w:val="auto"/>
                      <w:highlight w:val="none"/>
                      <w:lang w:val="en-US" w:eastAsia="zh-CN"/>
                    </w:rPr>
                    <w:t>57.8</w:t>
                  </w:r>
                </w:p>
              </w:tc>
              <w:tc>
                <w:tcPr>
                  <w:tcW w:w="1465" w:type="pct"/>
                  <w:vMerge w:val="continue"/>
                  <w:noWrap w:val="0"/>
                  <w:vAlign w:val="center"/>
                </w:tcPr>
                <w:p w14:paraId="7355F421">
                  <w:pPr>
                    <w:spacing w:line="340" w:lineRule="exact"/>
                    <w:jc w:val="center"/>
                    <w:rPr>
                      <w:rFonts w:ascii="Times New Roman" w:hAnsi="Times New Roman"/>
                      <w:bCs/>
                      <w:color w:val="auto"/>
                      <w:szCs w:val="21"/>
                    </w:rPr>
                  </w:pPr>
                </w:p>
              </w:tc>
              <w:tc>
                <w:tcPr>
                  <w:tcW w:w="775" w:type="pct"/>
                  <w:vMerge w:val="continue"/>
                  <w:noWrap w:val="0"/>
                  <w:vAlign w:val="center"/>
                </w:tcPr>
                <w:p w14:paraId="10696549">
                  <w:pPr>
                    <w:pStyle w:val="43"/>
                    <w:spacing w:before="24" w:after="24" w:line="340" w:lineRule="exact"/>
                    <w:rPr>
                      <w:rFonts w:ascii="Times New Roman" w:hAnsi="Times New Roman"/>
                      <w:bCs/>
                      <w:color w:val="auto"/>
                      <w:szCs w:val="21"/>
                    </w:rPr>
                  </w:pPr>
                </w:p>
              </w:tc>
              <w:tc>
                <w:tcPr>
                  <w:tcW w:w="688" w:type="pct"/>
                  <w:noWrap w:val="0"/>
                  <w:vAlign w:val="center"/>
                </w:tcPr>
                <w:p w14:paraId="6620D832">
                  <w:pPr>
                    <w:spacing w:before="24" w:after="24" w:line="340" w:lineRule="exact"/>
                    <w:jc w:val="center"/>
                    <w:rPr>
                      <w:rFonts w:ascii="Times New Roman" w:hAnsi="Times New Roman"/>
                      <w:bCs/>
                      <w:color w:val="auto"/>
                      <w:szCs w:val="21"/>
                    </w:rPr>
                  </w:pPr>
                  <w:r>
                    <w:rPr>
                      <w:rFonts w:ascii="Times New Roman" w:hAnsi="Times New Roman"/>
                      <w:bCs/>
                      <w:color w:val="auto"/>
                      <w:szCs w:val="21"/>
                    </w:rPr>
                    <w:t>达标</w:t>
                  </w:r>
                </w:p>
              </w:tc>
            </w:tr>
            <w:tr w14:paraId="2841E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pct"/>
                  <w:noWrap w:val="0"/>
                  <w:vAlign w:val="center"/>
                </w:tcPr>
                <w:p w14:paraId="139443F0">
                  <w:pPr>
                    <w:pStyle w:val="43"/>
                    <w:spacing w:before="24" w:after="24" w:line="340" w:lineRule="exact"/>
                    <w:rPr>
                      <w:rFonts w:hint="default" w:ascii="Times New Roman" w:hAnsi="Times New Roman"/>
                      <w:bCs/>
                      <w:color w:val="auto"/>
                      <w:szCs w:val="21"/>
                      <w:lang w:val="en-US" w:eastAsia="zh-CN"/>
                    </w:rPr>
                  </w:pPr>
                  <w:r>
                    <w:rPr>
                      <w:rFonts w:hint="eastAsia" w:ascii="Times New Roman" w:hAnsi="Times New Roman"/>
                      <w:bCs/>
                      <w:color w:val="auto"/>
                      <w:szCs w:val="21"/>
                      <w:lang w:val="en-US" w:eastAsia="zh-CN"/>
                    </w:rPr>
                    <w:t>4</w:t>
                  </w:r>
                </w:p>
              </w:tc>
              <w:tc>
                <w:tcPr>
                  <w:tcW w:w="683" w:type="pct"/>
                  <w:noWrap w:val="0"/>
                  <w:vAlign w:val="center"/>
                </w:tcPr>
                <w:p w14:paraId="68A01873">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bCs/>
                      <w:color w:val="auto"/>
                      <w:szCs w:val="21"/>
                      <w:lang w:val="en-US" w:eastAsia="zh-CN"/>
                    </w:rPr>
                  </w:pPr>
                  <w:r>
                    <w:rPr>
                      <w:rFonts w:hint="eastAsia" w:ascii="Times New Roman" w:hAnsi="Times New Roman"/>
                      <w:color w:val="auto"/>
                      <w:szCs w:val="21"/>
                      <w:lang w:val="en-US" w:eastAsia="zh-CN"/>
                    </w:rPr>
                    <w:t>北侧厂界</w:t>
                  </w:r>
                </w:p>
              </w:tc>
              <w:tc>
                <w:tcPr>
                  <w:tcW w:w="930" w:type="pct"/>
                  <w:noWrap w:val="0"/>
                  <w:vAlign w:val="center"/>
                </w:tcPr>
                <w:p w14:paraId="529740F8">
                  <w:pPr>
                    <w:widowControl/>
                    <w:spacing w:line="340" w:lineRule="exact"/>
                    <w:jc w:val="center"/>
                    <w:rPr>
                      <w:rFonts w:hint="default" w:ascii="Times New Roman" w:hAnsi="Times New Roman" w:eastAsia="宋体"/>
                      <w:bCs/>
                      <w:color w:val="auto"/>
                      <w:szCs w:val="21"/>
                      <w:lang w:val="en-US" w:eastAsia="zh-CN"/>
                    </w:rPr>
                  </w:pPr>
                  <w:r>
                    <w:rPr>
                      <w:rFonts w:hint="eastAsia" w:ascii="Times New Roman" w:hAnsi="Times New Roman" w:eastAsia="宋体" w:cs="Times New Roman"/>
                      <w:bCs/>
                      <w:color w:val="auto"/>
                      <w:highlight w:val="none"/>
                      <w:lang w:val="en-US" w:eastAsia="zh-CN"/>
                    </w:rPr>
                    <w:t>54.5</w:t>
                  </w:r>
                </w:p>
              </w:tc>
              <w:tc>
                <w:tcPr>
                  <w:tcW w:w="1465" w:type="pct"/>
                  <w:vMerge w:val="continue"/>
                  <w:noWrap w:val="0"/>
                  <w:vAlign w:val="center"/>
                </w:tcPr>
                <w:p w14:paraId="19BC5AFF">
                  <w:pPr>
                    <w:spacing w:line="340" w:lineRule="exact"/>
                    <w:jc w:val="center"/>
                    <w:rPr>
                      <w:rFonts w:ascii="Times New Roman" w:hAnsi="Times New Roman"/>
                      <w:bCs/>
                      <w:color w:val="auto"/>
                      <w:szCs w:val="21"/>
                    </w:rPr>
                  </w:pPr>
                </w:p>
              </w:tc>
              <w:tc>
                <w:tcPr>
                  <w:tcW w:w="775" w:type="pct"/>
                  <w:vMerge w:val="continue"/>
                  <w:noWrap w:val="0"/>
                  <w:vAlign w:val="center"/>
                </w:tcPr>
                <w:p w14:paraId="56ADAD19">
                  <w:pPr>
                    <w:pStyle w:val="43"/>
                    <w:spacing w:before="24" w:after="24" w:line="340" w:lineRule="exact"/>
                    <w:rPr>
                      <w:rFonts w:ascii="Times New Roman" w:hAnsi="Times New Roman"/>
                      <w:bCs/>
                      <w:color w:val="auto"/>
                      <w:szCs w:val="21"/>
                    </w:rPr>
                  </w:pPr>
                </w:p>
              </w:tc>
              <w:tc>
                <w:tcPr>
                  <w:tcW w:w="688" w:type="pct"/>
                  <w:noWrap w:val="0"/>
                  <w:vAlign w:val="center"/>
                </w:tcPr>
                <w:p w14:paraId="543852E4">
                  <w:pPr>
                    <w:spacing w:before="24" w:after="24" w:line="340" w:lineRule="exact"/>
                    <w:jc w:val="center"/>
                    <w:rPr>
                      <w:rFonts w:ascii="Times New Roman" w:hAnsi="Times New Roman"/>
                      <w:bCs/>
                      <w:color w:val="auto"/>
                      <w:szCs w:val="21"/>
                    </w:rPr>
                  </w:pPr>
                  <w:r>
                    <w:rPr>
                      <w:rFonts w:ascii="Times New Roman" w:hAnsi="Times New Roman"/>
                      <w:bCs/>
                      <w:color w:val="auto"/>
                      <w:szCs w:val="21"/>
                    </w:rPr>
                    <w:t>达标</w:t>
                  </w:r>
                </w:p>
              </w:tc>
            </w:tr>
          </w:tbl>
          <w:p w14:paraId="37897068">
            <w:pPr>
              <w:pStyle w:val="39"/>
              <w:keepNext w:val="0"/>
              <w:keepLines w:val="0"/>
              <w:pageBreakBefore w:val="0"/>
              <w:widowControl/>
              <w:kinsoku/>
              <w:wordWrap/>
              <w:overflowPunct/>
              <w:topLinePunct w:val="0"/>
              <w:autoSpaceDE/>
              <w:autoSpaceDN/>
              <w:bidi w:val="0"/>
              <w:adjustRightInd/>
              <w:snapToGrid/>
              <w:spacing w:before="157" w:beforeLines="50"/>
              <w:ind w:firstLine="480"/>
              <w:textAlignment w:val="auto"/>
              <w:rPr>
                <w:rFonts w:ascii="Times New Roman" w:hAnsi="Times New Roman"/>
                <w:color w:val="auto"/>
                <w:sz w:val="24"/>
              </w:rPr>
            </w:pPr>
            <w:r>
              <w:rPr>
                <w:rFonts w:ascii="Times New Roman" w:hAnsi="Times New Roman"/>
                <w:color w:val="auto"/>
                <w:sz w:val="24"/>
              </w:rPr>
              <w:t>厂界达标分析：本项目实行白班制，夜间不运营</w:t>
            </w:r>
            <w:r>
              <w:rPr>
                <w:rFonts w:hint="eastAsia" w:ascii="Times New Roman" w:hAnsi="Times New Roman"/>
                <w:color w:val="auto"/>
                <w:sz w:val="24"/>
                <w:lang w:eastAsia="zh-CN"/>
              </w:rPr>
              <w:t>，</w:t>
            </w:r>
            <w:r>
              <w:rPr>
                <w:rFonts w:ascii="Times New Roman" w:hAnsi="Times New Roman"/>
                <w:color w:val="auto"/>
                <w:sz w:val="24"/>
              </w:rPr>
              <w:t>根据表</w:t>
            </w:r>
            <w:r>
              <w:rPr>
                <w:rFonts w:hint="eastAsia" w:ascii="Times New Roman" w:hAnsi="Times New Roman"/>
                <w:color w:val="auto"/>
                <w:sz w:val="24"/>
              </w:rPr>
              <w:t>4.</w:t>
            </w:r>
            <w:r>
              <w:rPr>
                <w:rFonts w:hint="eastAsia" w:ascii="Times New Roman" w:hAnsi="Times New Roman"/>
                <w:color w:val="auto"/>
                <w:sz w:val="24"/>
                <w:lang w:val="en-US" w:eastAsia="zh-CN"/>
              </w:rPr>
              <w:t>4-3</w:t>
            </w:r>
            <w:r>
              <w:rPr>
                <w:rFonts w:ascii="Times New Roman" w:hAnsi="Times New Roman"/>
                <w:color w:val="auto"/>
                <w:sz w:val="24"/>
              </w:rPr>
              <w:t>预测结果，项目主要噪声源在采取有效的降噪措施前提下，项目</w:t>
            </w:r>
            <w:r>
              <w:rPr>
                <w:rFonts w:hint="eastAsia" w:ascii="Times New Roman" w:hAnsi="Times New Roman"/>
                <w:color w:val="auto"/>
                <w:sz w:val="24"/>
                <w:lang w:val="en-US" w:eastAsia="zh-CN"/>
              </w:rPr>
              <w:t>昼间</w:t>
            </w:r>
            <w:r>
              <w:rPr>
                <w:rFonts w:ascii="Times New Roman" w:hAnsi="Times New Roman"/>
                <w:color w:val="auto"/>
                <w:sz w:val="24"/>
              </w:rPr>
              <w:t>厂界噪声均可满足《工业企业厂界环境噪声排放标准》(GB12348-2008)中</w:t>
            </w:r>
            <w:r>
              <w:rPr>
                <w:rFonts w:hint="eastAsia" w:ascii="Times New Roman" w:hAnsi="Times New Roman"/>
                <w:color w:val="auto"/>
                <w:sz w:val="24"/>
                <w:lang w:val="en-US" w:eastAsia="zh-CN"/>
              </w:rPr>
              <w:t>2</w:t>
            </w:r>
            <w:r>
              <w:rPr>
                <w:rFonts w:ascii="Times New Roman" w:hAnsi="Times New Roman"/>
                <w:color w:val="auto"/>
                <w:sz w:val="24"/>
              </w:rPr>
              <w:t>类标准</w:t>
            </w:r>
            <w:r>
              <w:rPr>
                <w:rFonts w:hint="eastAsia" w:ascii="Times New Roman" w:hAnsi="Times New Roman"/>
                <w:color w:val="auto"/>
                <w:sz w:val="24"/>
                <w:lang w:eastAsia="zh-CN"/>
              </w:rPr>
              <w:t>（昼间≤</w:t>
            </w:r>
            <w:r>
              <w:rPr>
                <w:rFonts w:hint="eastAsia" w:ascii="Times New Roman" w:hAnsi="Times New Roman"/>
                <w:color w:val="auto"/>
                <w:sz w:val="24"/>
                <w:lang w:val="en-US" w:eastAsia="zh-CN"/>
              </w:rPr>
              <w:t>60dB（A），夜间不生产</w:t>
            </w:r>
            <w:r>
              <w:rPr>
                <w:rFonts w:hint="eastAsia" w:ascii="Times New Roman" w:hAnsi="Times New Roman"/>
                <w:color w:val="auto"/>
                <w:sz w:val="24"/>
                <w:lang w:eastAsia="zh-CN"/>
              </w:rPr>
              <w:t>）</w:t>
            </w:r>
            <w:r>
              <w:rPr>
                <w:rFonts w:ascii="Times New Roman" w:hAnsi="Times New Roman"/>
                <w:color w:val="auto"/>
                <w:sz w:val="24"/>
              </w:rPr>
              <w:t>。</w:t>
            </w:r>
          </w:p>
          <w:p w14:paraId="54A1EC32">
            <w:pPr>
              <w:pStyle w:val="39"/>
              <w:ind w:firstLine="480"/>
              <w:rPr>
                <w:rFonts w:ascii="Times New Roman" w:hAnsi="Times New Roman"/>
                <w:color w:val="auto"/>
                <w:sz w:val="24"/>
                <w:szCs w:val="24"/>
                <w:lang w:val="zh-CN"/>
              </w:rPr>
            </w:pPr>
            <w:r>
              <w:rPr>
                <w:rFonts w:hint="eastAsia" w:ascii="Times New Roman" w:hAnsi="Times New Roman"/>
                <w:color w:val="auto"/>
                <w:sz w:val="24"/>
                <w:szCs w:val="24"/>
              </w:rPr>
              <w:t>②</w:t>
            </w:r>
            <w:r>
              <w:rPr>
                <w:rFonts w:ascii="Times New Roman" w:hAnsi="Times New Roman"/>
                <w:color w:val="auto"/>
                <w:sz w:val="24"/>
                <w:szCs w:val="24"/>
                <w:lang w:val="zh-CN"/>
              </w:rPr>
              <w:t>敏感点噪声预测结果分析</w:t>
            </w:r>
          </w:p>
          <w:p w14:paraId="700C7CE9">
            <w:pPr>
              <w:spacing w:line="360" w:lineRule="auto"/>
              <w:ind w:firstLine="48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利用上述模式计算本项目噪声源同时工作时，预测项目周边</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0m范围内声环境</w:t>
            </w:r>
            <w:r>
              <w:rPr>
                <w:rFonts w:hint="eastAsia" w:ascii="Times New Roman" w:hAnsi="Times New Roman" w:cs="Times New Roman"/>
                <w:color w:val="auto"/>
                <w:sz w:val="24"/>
                <w:highlight w:val="none"/>
                <w:lang w:eastAsia="zh-CN"/>
              </w:rPr>
              <w:t>敏感点</w:t>
            </w:r>
            <w:r>
              <w:rPr>
                <w:rFonts w:hint="default" w:ascii="Times New Roman" w:hAnsi="Times New Roman" w:cs="Times New Roman"/>
                <w:color w:val="auto"/>
                <w:sz w:val="24"/>
                <w:highlight w:val="none"/>
                <w:lang w:val="zh-CN"/>
              </w:rPr>
              <w:t>位置的噪声贡献值，并与敏感点背景值进行叠加，预测结果见表</w:t>
            </w:r>
            <w:r>
              <w:rPr>
                <w:rFonts w:hint="eastAsia" w:ascii="Times New Roman" w:hAnsi="Times New Roman" w:cs="Times New Roman"/>
                <w:color w:val="auto"/>
                <w:sz w:val="24"/>
                <w:highlight w:val="none"/>
                <w:lang w:val="en-US" w:eastAsia="zh-CN"/>
              </w:rPr>
              <w:t>4.4</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val="zh-CN"/>
              </w:rPr>
              <w:t>所示。</w:t>
            </w:r>
          </w:p>
          <w:p w14:paraId="019D03B5">
            <w:pPr>
              <w:pStyle w:val="65"/>
              <w:spacing w:before="120"/>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表</w:t>
            </w:r>
            <w:r>
              <w:rPr>
                <w:rFonts w:hint="eastAsia" w:ascii="Times New Roman" w:hAnsi="Times New Roman" w:eastAsia="黑体" w:cs="Times New Roman"/>
                <w:b w:val="0"/>
                <w:bCs w:val="0"/>
                <w:color w:val="auto"/>
                <w:sz w:val="24"/>
                <w:szCs w:val="24"/>
                <w:highlight w:val="none"/>
                <w:lang w:val="en-US" w:eastAsia="zh-CN"/>
              </w:rPr>
              <w:t>4.4</w:t>
            </w:r>
            <w:r>
              <w:rPr>
                <w:rFonts w:hint="default" w:ascii="Times New Roman" w:hAnsi="Times New Roman" w:eastAsia="黑体" w:cs="Times New Roman"/>
                <w:b w:val="0"/>
                <w:bCs w:val="0"/>
                <w:color w:val="auto"/>
                <w:sz w:val="24"/>
                <w:szCs w:val="24"/>
                <w:highlight w:val="none"/>
              </w:rPr>
              <w:t>-</w:t>
            </w:r>
            <w:r>
              <w:rPr>
                <w:rFonts w:hint="eastAsia" w:ascii="Times New Roman" w:hAnsi="Times New Roman" w:eastAsia="黑体" w:cs="Times New Roman"/>
                <w:b w:val="0"/>
                <w:bCs w:val="0"/>
                <w:color w:val="auto"/>
                <w:sz w:val="24"/>
                <w:szCs w:val="24"/>
                <w:highlight w:val="none"/>
                <w:lang w:val="en-US" w:eastAsia="zh-CN"/>
              </w:rPr>
              <w:t>4</w:t>
            </w:r>
            <w:r>
              <w:rPr>
                <w:rFonts w:hint="default" w:ascii="Times New Roman" w:hAnsi="Times New Roman" w:eastAsia="黑体" w:cs="Times New Roman"/>
                <w:b w:val="0"/>
                <w:bCs w:val="0"/>
                <w:color w:val="auto"/>
                <w:sz w:val="24"/>
                <w:szCs w:val="24"/>
                <w:highlight w:val="none"/>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rPr>
              <w:t>敏感点噪声预测结果   单位：dB(A)</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0" w:type="dxa"/>
                <w:bottom w:w="0" w:type="dxa"/>
                <w:right w:w="0" w:type="dxa"/>
              </w:tblCellMar>
            </w:tblPr>
            <w:tblGrid>
              <w:gridCol w:w="469"/>
              <w:gridCol w:w="1411"/>
              <w:gridCol w:w="890"/>
              <w:gridCol w:w="744"/>
              <w:gridCol w:w="814"/>
              <w:gridCol w:w="838"/>
              <w:gridCol w:w="1079"/>
              <w:gridCol w:w="970"/>
              <w:gridCol w:w="808"/>
            </w:tblGrid>
            <w:tr w14:paraId="7A67EF8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jc w:val="center"/>
              </w:trPr>
              <w:tc>
                <w:tcPr>
                  <w:tcW w:w="293" w:type="pct"/>
                  <w:vMerge w:val="restart"/>
                  <w:noWrap w:val="0"/>
                  <w:vAlign w:val="center"/>
                </w:tcPr>
                <w:p w14:paraId="6EBBA53A">
                  <w:pPr>
                    <w:pStyle w:val="43"/>
                    <w:spacing w:line="340" w:lineRule="exact"/>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编号</w:t>
                  </w:r>
                </w:p>
              </w:tc>
              <w:tc>
                <w:tcPr>
                  <w:tcW w:w="1433" w:type="pct"/>
                  <w:gridSpan w:val="2"/>
                  <w:vMerge w:val="restart"/>
                  <w:noWrap w:val="0"/>
                  <w:vAlign w:val="center"/>
                </w:tcPr>
                <w:p w14:paraId="0EE3F160">
                  <w:pPr>
                    <w:pStyle w:val="43"/>
                    <w:spacing w:line="340" w:lineRule="exact"/>
                    <w:rPr>
                      <w:rFonts w:hint="default" w:ascii="Times New Roman" w:hAnsi="Times New Roman" w:eastAsia="宋体" w:cs="Times New Roman"/>
                      <w:bCs/>
                      <w:color w:val="auto"/>
                      <w:highlight w:val="none"/>
                    </w:rPr>
                  </w:pPr>
                  <w:r>
                    <w:rPr>
                      <w:rFonts w:hint="eastAsia" w:ascii="Times New Roman" w:hAnsi="Times New Roman" w:eastAsia="宋体" w:cs="Times New Roman"/>
                      <w:bCs/>
                      <w:color w:val="auto"/>
                      <w:highlight w:val="none"/>
                      <w:lang w:val="en-US" w:eastAsia="zh-CN"/>
                    </w:rPr>
                    <w:t>预测点</w:t>
                  </w:r>
                  <w:r>
                    <w:rPr>
                      <w:rFonts w:hint="default" w:ascii="Times New Roman" w:hAnsi="Times New Roman" w:eastAsia="宋体" w:cs="Times New Roman"/>
                      <w:bCs/>
                      <w:color w:val="auto"/>
                      <w:highlight w:val="none"/>
                    </w:rPr>
                    <w:t>位置</w:t>
                  </w:r>
                </w:p>
              </w:tc>
              <w:tc>
                <w:tcPr>
                  <w:tcW w:w="463" w:type="pct"/>
                  <w:vMerge w:val="restart"/>
                  <w:noWrap w:val="0"/>
                  <w:vAlign w:val="center"/>
                </w:tcPr>
                <w:p w14:paraId="5AFF7403">
                  <w:pPr>
                    <w:pStyle w:val="43"/>
                    <w:spacing w:line="340" w:lineRule="exact"/>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贡献值</w:t>
                  </w:r>
                </w:p>
              </w:tc>
              <w:tc>
                <w:tcPr>
                  <w:tcW w:w="507" w:type="pct"/>
                  <w:noWrap w:val="0"/>
                  <w:vAlign w:val="center"/>
                </w:tcPr>
                <w:p w14:paraId="74B019D6">
                  <w:pPr>
                    <w:spacing w:line="340" w:lineRule="exact"/>
                    <w:ind w:firstLine="0" w:firstLineChars="0"/>
                    <w:jc w:val="center"/>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背景值</w:t>
                  </w:r>
                </w:p>
              </w:tc>
              <w:tc>
                <w:tcPr>
                  <w:tcW w:w="522" w:type="pct"/>
                  <w:noWrap w:val="0"/>
                  <w:vAlign w:val="center"/>
                </w:tcPr>
                <w:p w14:paraId="639EAB26">
                  <w:pPr>
                    <w:pStyle w:val="43"/>
                    <w:spacing w:line="340" w:lineRule="exact"/>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预测值</w:t>
                  </w:r>
                </w:p>
              </w:tc>
              <w:tc>
                <w:tcPr>
                  <w:tcW w:w="672" w:type="pct"/>
                  <w:vMerge w:val="restart"/>
                  <w:noWrap w:val="0"/>
                  <w:vAlign w:val="center"/>
                </w:tcPr>
                <w:p w14:paraId="75513FDB">
                  <w:pPr>
                    <w:pStyle w:val="43"/>
                    <w:spacing w:line="340" w:lineRule="exact"/>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预测值与现状值差值</w:t>
                  </w:r>
                </w:p>
              </w:tc>
              <w:tc>
                <w:tcPr>
                  <w:tcW w:w="604" w:type="pct"/>
                  <w:noWrap w:val="0"/>
                  <w:vAlign w:val="center"/>
                </w:tcPr>
                <w:p w14:paraId="0B928F54">
                  <w:pPr>
                    <w:pStyle w:val="43"/>
                    <w:spacing w:line="340" w:lineRule="exact"/>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标准值</w:t>
                  </w:r>
                </w:p>
              </w:tc>
              <w:tc>
                <w:tcPr>
                  <w:tcW w:w="503" w:type="pct"/>
                  <w:vMerge w:val="restart"/>
                  <w:noWrap w:val="0"/>
                  <w:vAlign w:val="center"/>
                </w:tcPr>
                <w:p w14:paraId="540FC384">
                  <w:pPr>
                    <w:pStyle w:val="43"/>
                    <w:spacing w:line="340" w:lineRule="exact"/>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达标</w:t>
                  </w:r>
                </w:p>
                <w:p w14:paraId="52079013">
                  <w:pPr>
                    <w:pStyle w:val="43"/>
                    <w:spacing w:line="340" w:lineRule="exact"/>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情况</w:t>
                  </w:r>
                </w:p>
              </w:tc>
            </w:tr>
            <w:tr w14:paraId="1B21117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noWrap w:val="0"/>
                  <w:vAlign w:val="center"/>
                </w:tcPr>
                <w:p w14:paraId="57EAB590">
                  <w:pPr>
                    <w:pStyle w:val="43"/>
                    <w:spacing w:line="340" w:lineRule="exact"/>
                    <w:rPr>
                      <w:rFonts w:hint="default" w:ascii="Times New Roman" w:hAnsi="Times New Roman" w:eastAsia="宋体" w:cs="Times New Roman"/>
                      <w:bCs/>
                      <w:color w:val="auto"/>
                      <w:highlight w:val="none"/>
                    </w:rPr>
                  </w:pPr>
                </w:p>
              </w:tc>
              <w:tc>
                <w:tcPr>
                  <w:tcW w:w="1433" w:type="pct"/>
                  <w:gridSpan w:val="2"/>
                  <w:vMerge w:val="continue"/>
                  <w:noWrap w:val="0"/>
                  <w:vAlign w:val="center"/>
                </w:tcPr>
                <w:p w14:paraId="3DF31276">
                  <w:pPr>
                    <w:pStyle w:val="43"/>
                    <w:spacing w:line="340" w:lineRule="exact"/>
                    <w:rPr>
                      <w:rFonts w:hint="default" w:ascii="Times New Roman" w:hAnsi="Times New Roman" w:eastAsia="宋体" w:cs="Times New Roman"/>
                      <w:bCs/>
                      <w:color w:val="auto"/>
                      <w:highlight w:val="none"/>
                    </w:rPr>
                  </w:pPr>
                </w:p>
              </w:tc>
              <w:tc>
                <w:tcPr>
                  <w:tcW w:w="463" w:type="pct"/>
                  <w:vMerge w:val="continue"/>
                  <w:noWrap w:val="0"/>
                  <w:vAlign w:val="center"/>
                </w:tcPr>
                <w:p w14:paraId="7D9C25DF">
                  <w:pPr>
                    <w:pStyle w:val="43"/>
                    <w:spacing w:line="340" w:lineRule="exact"/>
                    <w:rPr>
                      <w:rFonts w:hint="default" w:ascii="Times New Roman" w:hAnsi="Times New Roman" w:eastAsia="宋体" w:cs="Times New Roman"/>
                      <w:bCs/>
                      <w:color w:val="auto"/>
                      <w:highlight w:val="none"/>
                    </w:rPr>
                  </w:pPr>
                </w:p>
              </w:tc>
              <w:tc>
                <w:tcPr>
                  <w:tcW w:w="507" w:type="pct"/>
                  <w:noWrap w:val="0"/>
                  <w:vAlign w:val="center"/>
                </w:tcPr>
                <w:p w14:paraId="09E77391">
                  <w:pPr>
                    <w:spacing w:line="340" w:lineRule="exact"/>
                    <w:ind w:firstLine="0" w:firstLineChars="0"/>
                    <w:jc w:val="center"/>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昼间</w:t>
                  </w:r>
                </w:p>
              </w:tc>
              <w:tc>
                <w:tcPr>
                  <w:tcW w:w="522" w:type="pct"/>
                  <w:noWrap w:val="0"/>
                  <w:vAlign w:val="center"/>
                </w:tcPr>
                <w:p w14:paraId="243D7EF5">
                  <w:pPr>
                    <w:pStyle w:val="43"/>
                    <w:spacing w:line="340" w:lineRule="exact"/>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672" w:type="pct"/>
                  <w:vMerge w:val="continue"/>
                  <w:noWrap w:val="0"/>
                  <w:vAlign w:val="center"/>
                </w:tcPr>
                <w:p w14:paraId="65A3F03F">
                  <w:pPr>
                    <w:pStyle w:val="43"/>
                    <w:spacing w:line="340" w:lineRule="exact"/>
                    <w:rPr>
                      <w:rFonts w:hint="default" w:ascii="Times New Roman" w:hAnsi="Times New Roman" w:eastAsia="宋体" w:cs="Times New Roman"/>
                      <w:bCs/>
                      <w:color w:val="auto"/>
                      <w:highlight w:val="none"/>
                    </w:rPr>
                  </w:pPr>
                </w:p>
              </w:tc>
              <w:tc>
                <w:tcPr>
                  <w:tcW w:w="604" w:type="pct"/>
                  <w:noWrap w:val="0"/>
                  <w:vAlign w:val="center"/>
                </w:tcPr>
                <w:p w14:paraId="5C91D4BF">
                  <w:pPr>
                    <w:pStyle w:val="43"/>
                    <w:spacing w:line="340" w:lineRule="exact"/>
                    <w:rPr>
                      <w:rFonts w:hint="eastAsia"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rPr>
                    <w:t>昼间</w:t>
                  </w:r>
                </w:p>
              </w:tc>
              <w:tc>
                <w:tcPr>
                  <w:tcW w:w="503" w:type="pct"/>
                  <w:vMerge w:val="continue"/>
                  <w:noWrap w:val="0"/>
                  <w:vAlign w:val="center"/>
                </w:tcPr>
                <w:p w14:paraId="14620D60">
                  <w:pPr>
                    <w:pStyle w:val="43"/>
                    <w:spacing w:line="340" w:lineRule="exact"/>
                    <w:rPr>
                      <w:rFonts w:hint="default" w:ascii="Times New Roman" w:hAnsi="Times New Roman" w:eastAsia="宋体" w:cs="Times New Roman"/>
                      <w:bCs/>
                      <w:color w:val="auto"/>
                      <w:highlight w:val="none"/>
                    </w:rPr>
                  </w:pPr>
                </w:p>
              </w:tc>
            </w:tr>
            <w:tr w14:paraId="07E3076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293" w:type="pct"/>
                  <w:noWrap w:val="0"/>
                  <w:vAlign w:val="center"/>
                </w:tcPr>
                <w:p w14:paraId="15AC2D48">
                  <w:pPr>
                    <w:pStyle w:val="43"/>
                    <w:spacing w:line="340" w:lineRule="exact"/>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w:t>
                  </w:r>
                </w:p>
              </w:tc>
              <w:tc>
                <w:tcPr>
                  <w:tcW w:w="879" w:type="pct"/>
                  <w:noWrap w:val="0"/>
                  <w:vAlign w:val="center"/>
                </w:tcPr>
                <w:p w14:paraId="6B59D115">
                  <w:pPr>
                    <w:spacing w:line="3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山前村（西）</w:t>
                  </w:r>
                </w:p>
              </w:tc>
              <w:tc>
                <w:tcPr>
                  <w:tcW w:w="553" w:type="pct"/>
                  <w:noWrap w:val="0"/>
                  <w:vAlign w:val="center"/>
                </w:tcPr>
                <w:p w14:paraId="1AD95EAF">
                  <w:pPr>
                    <w:spacing w:line="3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西侧20m</w:t>
                  </w:r>
                </w:p>
              </w:tc>
              <w:tc>
                <w:tcPr>
                  <w:tcW w:w="463" w:type="pct"/>
                  <w:noWrap w:val="0"/>
                  <w:vAlign w:val="center"/>
                </w:tcPr>
                <w:p w14:paraId="7BE3C8D6">
                  <w:pPr>
                    <w:widowControl/>
                    <w:spacing w:line="340" w:lineRule="exact"/>
                    <w:jc w:val="center"/>
                    <w:rPr>
                      <w:rFonts w:hint="default" w:ascii="Times New Roman" w:hAnsi="Times New Roman" w:eastAsia="宋体" w:cs="Times New Roman"/>
                      <w:bCs/>
                      <w:color w:val="auto"/>
                      <w:highlight w:val="none"/>
                      <w:lang w:val="en-US" w:eastAsia="zh-CN"/>
                    </w:rPr>
                  </w:pPr>
                  <w:r>
                    <w:rPr>
                      <w:rFonts w:hint="eastAsia" w:ascii="Times New Roman" w:hAnsi="Times New Roman" w:cs="Times New Roman"/>
                      <w:bCs/>
                      <w:color w:val="auto"/>
                      <w:highlight w:val="none"/>
                      <w:lang w:val="en-US" w:eastAsia="zh-CN"/>
                    </w:rPr>
                    <w:t>43.3</w:t>
                  </w:r>
                </w:p>
              </w:tc>
              <w:tc>
                <w:tcPr>
                  <w:tcW w:w="507" w:type="pct"/>
                  <w:noWrap w:val="0"/>
                  <w:vAlign w:val="center"/>
                </w:tcPr>
                <w:p w14:paraId="3B9EEDDC">
                  <w:pPr>
                    <w:spacing w:line="340" w:lineRule="exact"/>
                    <w:ind w:firstLine="0" w:firstLineChars="0"/>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54.6</w:t>
                  </w:r>
                </w:p>
              </w:tc>
              <w:tc>
                <w:tcPr>
                  <w:tcW w:w="522" w:type="pct"/>
                  <w:noWrap w:val="0"/>
                  <w:vAlign w:val="center"/>
                </w:tcPr>
                <w:p w14:paraId="3BE724BA">
                  <w:pPr>
                    <w:spacing w:line="340" w:lineRule="exact"/>
                    <w:ind w:firstLine="0" w:firstLineChars="0"/>
                    <w:jc w:val="center"/>
                    <w:rPr>
                      <w:rFonts w:hint="default" w:ascii="Times New Roman" w:hAnsi="Times New Roman" w:eastAsia="宋体" w:cs="Times New Roman"/>
                      <w:bCs/>
                      <w:color w:val="auto"/>
                      <w:highlight w:val="none"/>
                      <w:lang w:val="en-US" w:eastAsia="zh-CN"/>
                    </w:rPr>
                  </w:pPr>
                  <w:r>
                    <w:rPr>
                      <w:rFonts w:hint="eastAsia" w:ascii="Times New Roman" w:hAnsi="Times New Roman" w:cs="Times New Roman"/>
                      <w:bCs/>
                      <w:color w:val="auto"/>
                      <w:highlight w:val="none"/>
                      <w:lang w:val="en-US" w:eastAsia="zh-CN"/>
                    </w:rPr>
                    <w:t>54.9</w:t>
                  </w:r>
                </w:p>
              </w:tc>
              <w:tc>
                <w:tcPr>
                  <w:tcW w:w="672" w:type="pct"/>
                  <w:noWrap w:val="0"/>
                  <w:vAlign w:val="center"/>
                </w:tcPr>
                <w:p w14:paraId="510473F7">
                  <w:pPr>
                    <w:widowControl/>
                    <w:spacing w:line="340" w:lineRule="exact"/>
                    <w:jc w:val="center"/>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rPr>
                    <w:t>+</w:t>
                  </w:r>
                  <w:r>
                    <w:rPr>
                      <w:rFonts w:hint="eastAsia" w:ascii="Times New Roman" w:hAnsi="Times New Roman" w:cs="Times New Roman"/>
                      <w:bCs/>
                      <w:color w:val="auto"/>
                      <w:highlight w:val="none"/>
                      <w:lang w:val="en-US" w:eastAsia="zh-CN"/>
                    </w:rPr>
                    <w:t>0.3</w:t>
                  </w:r>
                </w:p>
              </w:tc>
              <w:tc>
                <w:tcPr>
                  <w:tcW w:w="604" w:type="pct"/>
                  <w:noWrap w:val="0"/>
                  <w:vAlign w:val="center"/>
                </w:tcPr>
                <w:p w14:paraId="5A3276C2">
                  <w:pPr>
                    <w:widowControl/>
                    <w:spacing w:line="340" w:lineRule="exact"/>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60</w:t>
                  </w:r>
                </w:p>
              </w:tc>
              <w:tc>
                <w:tcPr>
                  <w:tcW w:w="503" w:type="pct"/>
                  <w:noWrap w:val="0"/>
                  <w:vAlign w:val="center"/>
                </w:tcPr>
                <w:p w14:paraId="57734BFC">
                  <w:pPr>
                    <w:widowControl/>
                    <w:spacing w:line="340" w:lineRule="exact"/>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达标</w:t>
                  </w:r>
                </w:p>
              </w:tc>
            </w:tr>
            <w:tr w14:paraId="515135F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293" w:type="pct"/>
                  <w:noWrap w:val="0"/>
                  <w:vAlign w:val="center"/>
                </w:tcPr>
                <w:p w14:paraId="0BF66871">
                  <w:pPr>
                    <w:pStyle w:val="43"/>
                    <w:spacing w:line="340" w:lineRule="exact"/>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2</w:t>
                  </w:r>
                </w:p>
              </w:tc>
              <w:tc>
                <w:tcPr>
                  <w:tcW w:w="879" w:type="pct"/>
                  <w:noWrap w:val="0"/>
                  <w:vAlign w:val="center"/>
                </w:tcPr>
                <w:p w14:paraId="171C2D8D">
                  <w:pPr>
                    <w:spacing w:line="34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山前村（北）</w:t>
                  </w:r>
                </w:p>
              </w:tc>
              <w:tc>
                <w:tcPr>
                  <w:tcW w:w="553" w:type="pct"/>
                  <w:noWrap w:val="0"/>
                  <w:vAlign w:val="center"/>
                </w:tcPr>
                <w:p w14:paraId="6CB4BB73">
                  <w:pPr>
                    <w:spacing w:line="3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北侧25m</w:t>
                  </w:r>
                </w:p>
              </w:tc>
              <w:tc>
                <w:tcPr>
                  <w:tcW w:w="463" w:type="pct"/>
                  <w:noWrap w:val="0"/>
                  <w:vAlign w:val="center"/>
                </w:tcPr>
                <w:p w14:paraId="1684A00E">
                  <w:pPr>
                    <w:widowControl/>
                    <w:spacing w:line="340" w:lineRule="exact"/>
                    <w:jc w:val="center"/>
                    <w:rPr>
                      <w:rFonts w:hint="default" w:ascii="Times New Roman" w:hAnsi="Times New Roman" w:cs="Times New Roman"/>
                      <w:bCs/>
                      <w:color w:val="auto"/>
                      <w:highlight w:val="none"/>
                      <w:lang w:val="en-US" w:eastAsia="zh-CN"/>
                    </w:rPr>
                  </w:pPr>
                  <w:r>
                    <w:rPr>
                      <w:rFonts w:hint="eastAsia" w:ascii="Times New Roman" w:hAnsi="Times New Roman" w:cs="Times New Roman"/>
                      <w:bCs/>
                      <w:color w:val="auto"/>
                      <w:highlight w:val="none"/>
                      <w:lang w:val="en-US" w:eastAsia="zh-CN"/>
                    </w:rPr>
                    <w:t>26.5</w:t>
                  </w:r>
                </w:p>
              </w:tc>
              <w:tc>
                <w:tcPr>
                  <w:tcW w:w="507" w:type="pct"/>
                  <w:noWrap w:val="0"/>
                  <w:vAlign w:val="center"/>
                </w:tcPr>
                <w:p w14:paraId="297CF4BE">
                  <w:pPr>
                    <w:spacing w:line="340" w:lineRule="exact"/>
                    <w:ind w:firstLine="0" w:firstLineChars="0"/>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55.7</w:t>
                  </w:r>
                </w:p>
              </w:tc>
              <w:tc>
                <w:tcPr>
                  <w:tcW w:w="522" w:type="pct"/>
                  <w:noWrap w:val="0"/>
                  <w:vAlign w:val="center"/>
                </w:tcPr>
                <w:p w14:paraId="40E1A2A5">
                  <w:pPr>
                    <w:spacing w:line="340" w:lineRule="exact"/>
                    <w:ind w:firstLine="0" w:firstLineChars="0"/>
                    <w:jc w:val="center"/>
                    <w:rPr>
                      <w:rFonts w:hint="default" w:ascii="Times New Roman" w:hAnsi="Times New Roman" w:cs="Times New Roman"/>
                      <w:bCs/>
                      <w:color w:val="auto"/>
                      <w:highlight w:val="none"/>
                      <w:lang w:val="en-US" w:eastAsia="zh-CN"/>
                    </w:rPr>
                  </w:pPr>
                  <w:r>
                    <w:rPr>
                      <w:rFonts w:hint="eastAsia" w:ascii="Times New Roman" w:hAnsi="Times New Roman" w:cs="Times New Roman"/>
                      <w:bCs/>
                      <w:color w:val="auto"/>
                      <w:highlight w:val="none"/>
                      <w:lang w:val="en-US" w:eastAsia="zh-CN"/>
                    </w:rPr>
                    <w:t>55.7</w:t>
                  </w:r>
                </w:p>
              </w:tc>
              <w:tc>
                <w:tcPr>
                  <w:tcW w:w="672" w:type="pct"/>
                  <w:noWrap w:val="0"/>
                  <w:vAlign w:val="center"/>
                </w:tcPr>
                <w:p w14:paraId="361DAD67">
                  <w:pPr>
                    <w:widowControl/>
                    <w:spacing w:line="340" w:lineRule="exact"/>
                    <w:jc w:val="center"/>
                    <w:rPr>
                      <w:rFonts w:hint="default" w:ascii="Times New Roman" w:hAnsi="Times New Roman" w:eastAsia="宋体" w:cs="Times New Roman"/>
                      <w:bCs/>
                      <w:color w:val="auto"/>
                      <w:highlight w:val="none"/>
                      <w:lang w:val="en-US" w:eastAsia="zh-CN"/>
                    </w:rPr>
                  </w:pPr>
                  <w:r>
                    <w:rPr>
                      <w:rFonts w:hint="eastAsia" w:ascii="Times New Roman" w:hAnsi="Times New Roman" w:cs="Times New Roman"/>
                      <w:bCs/>
                      <w:color w:val="auto"/>
                      <w:highlight w:val="none"/>
                      <w:lang w:val="en-US" w:eastAsia="zh-CN"/>
                    </w:rPr>
                    <w:t>+0.0</w:t>
                  </w:r>
                </w:p>
              </w:tc>
              <w:tc>
                <w:tcPr>
                  <w:tcW w:w="604" w:type="pct"/>
                  <w:noWrap w:val="0"/>
                  <w:vAlign w:val="center"/>
                </w:tcPr>
                <w:p w14:paraId="4F9E42B7">
                  <w:pPr>
                    <w:widowControl/>
                    <w:spacing w:line="340" w:lineRule="exact"/>
                    <w:jc w:val="center"/>
                    <w:rPr>
                      <w:rFonts w:hint="default" w:ascii="Times New Roman" w:hAnsi="Times New Roman" w:eastAsia="宋体" w:cs="Times New Roman"/>
                      <w:bCs/>
                      <w:color w:val="auto"/>
                      <w:highlight w:val="none"/>
                      <w:lang w:val="en-US" w:eastAsia="zh-CN"/>
                    </w:rPr>
                  </w:pPr>
                  <w:r>
                    <w:rPr>
                      <w:rFonts w:hint="eastAsia" w:ascii="Times New Roman" w:hAnsi="Times New Roman" w:cs="Times New Roman"/>
                      <w:bCs/>
                      <w:color w:val="auto"/>
                      <w:highlight w:val="none"/>
                      <w:lang w:val="en-US" w:eastAsia="zh-CN"/>
                    </w:rPr>
                    <w:t>60</w:t>
                  </w:r>
                </w:p>
              </w:tc>
              <w:tc>
                <w:tcPr>
                  <w:tcW w:w="503" w:type="pct"/>
                  <w:noWrap w:val="0"/>
                  <w:vAlign w:val="center"/>
                </w:tcPr>
                <w:p w14:paraId="465EC2BF">
                  <w:pPr>
                    <w:widowControl/>
                    <w:spacing w:line="340" w:lineRule="exact"/>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达标</w:t>
                  </w:r>
                </w:p>
              </w:tc>
            </w:tr>
          </w:tbl>
          <w:p w14:paraId="018B4369">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color w:val="auto"/>
                <w:sz w:val="24"/>
                <w:highlight w:val="none"/>
                <w:lang w:val="en-GB" w:eastAsia="zh-CN"/>
              </w:rPr>
            </w:pPr>
            <w:r>
              <w:rPr>
                <w:rFonts w:hint="default" w:ascii="Times New Roman" w:hAnsi="Times New Roman" w:eastAsia="宋体" w:cs="Times New Roman"/>
                <w:color w:val="auto"/>
                <w:sz w:val="24"/>
                <w:highlight w:val="none"/>
                <w:lang w:val="en-GB"/>
              </w:rPr>
              <w:t>由表</w:t>
            </w:r>
            <w:r>
              <w:rPr>
                <w:rFonts w:hint="eastAsia" w:ascii="Times New Roman" w:hAnsi="Times New Roman" w:eastAsia="宋体" w:cs="Times New Roman"/>
                <w:color w:val="auto"/>
                <w:sz w:val="24"/>
                <w:highlight w:val="none"/>
                <w:lang w:val="en-US" w:eastAsia="zh-CN"/>
              </w:rPr>
              <w:t>4.4-4</w:t>
            </w:r>
            <w:r>
              <w:rPr>
                <w:rFonts w:hint="default" w:ascii="Times New Roman" w:hAnsi="Times New Roman" w:eastAsia="宋体" w:cs="Times New Roman"/>
                <w:color w:val="auto"/>
                <w:sz w:val="24"/>
                <w:highlight w:val="none"/>
                <w:lang w:val="en-GB"/>
              </w:rPr>
              <w:t>可知，</w:t>
            </w:r>
            <w:r>
              <w:rPr>
                <w:rFonts w:hint="eastAsia" w:ascii="Times New Roman" w:hAnsi="Times New Roman" w:eastAsia="宋体" w:cs="Times New Roman"/>
                <w:color w:val="auto"/>
                <w:sz w:val="24"/>
                <w:highlight w:val="none"/>
                <w:lang w:val="en-GB" w:eastAsia="zh-CN"/>
              </w:rPr>
              <w:t>本项目运营后，山前村（西）昼间噪声预测值为</w:t>
            </w:r>
            <w:r>
              <w:rPr>
                <w:rFonts w:hint="eastAsia" w:ascii="Times New Roman" w:hAnsi="Times New Roman" w:eastAsia="宋体" w:cs="Times New Roman"/>
                <w:color w:val="auto"/>
                <w:sz w:val="24"/>
                <w:highlight w:val="none"/>
                <w:lang w:val="en-US" w:eastAsia="zh-CN"/>
              </w:rPr>
              <w:t>54.9</w:t>
            </w:r>
            <w:r>
              <w:rPr>
                <w:rFonts w:hint="default" w:ascii="Times New Roman" w:hAnsi="Times New Roman" w:eastAsia="宋体" w:cs="Times New Roman"/>
                <w:color w:val="auto"/>
                <w:sz w:val="24"/>
                <w:highlight w:val="none"/>
                <w:lang w:val="zh-CN"/>
              </w:rPr>
              <w:t>dB(A)</w:t>
            </w:r>
            <w:r>
              <w:rPr>
                <w:rFonts w:hint="eastAsia" w:ascii="Times New Roman" w:hAnsi="Times New Roman" w:eastAsia="宋体" w:cs="Times New Roman"/>
                <w:color w:val="auto"/>
                <w:sz w:val="24"/>
                <w:highlight w:val="none"/>
                <w:lang w:val="zh-CN"/>
              </w:rPr>
              <w:t>，</w:t>
            </w:r>
            <w:r>
              <w:rPr>
                <w:rFonts w:hint="eastAsia" w:ascii="Times New Roman" w:hAnsi="Times New Roman" w:eastAsia="宋体" w:cs="Times New Roman"/>
                <w:color w:val="auto"/>
                <w:sz w:val="24"/>
                <w:highlight w:val="none"/>
                <w:lang w:val="en-GB" w:eastAsia="zh-CN"/>
              </w:rPr>
              <w:t>山前村（北）昼间噪声预测值为</w:t>
            </w:r>
            <w:r>
              <w:rPr>
                <w:rFonts w:hint="eastAsia" w:ascii="Times New Roman" w:hAnsi="Times New Roman" w:eastAsia="宋体" w:cs="Times New Roman"/>
                <w:color w:val="auto"/>
                <w:sz w:val="24"/>
                <w:highlight w:val="none"/>
                <w:lang w:val="en-US" w:eastAsia="zh-CN"/>
              </w:rPr>
              <w:t>55.7</w:t>
            </w:r>
            <w:r>
              <w:rPr>
                <w:rFonts w:hint="default" w:ascii="Times New Roman" w:hAnsi="Times New Roman" w:eastAsia="宋体" w:cs="Times New Roman"/>
                <w:color w:val="auto"/>
                <w:sz w:val="24"/>
                <w:highlight w:val="none"/>
                <w:lang w:val="zh-CN"/>
              </w:rPr>
              <w:t>B(A)</w:t>
            </w:r>
            <w:r>
              <w:rPr>
                <w:rFonts w:hint="default" w:ascii="Times New Roman" w:hAnsi="Times New Roman" w:eastAsia="宋体" w:cs="Times New Roman"/>
                <w:color w:val="auto"/>
                <w:sz w:val="24"/>
                <w:highlight w:val="none"/>
                <w:lang w:val="en-GB"/>
              </w:rPr>
              <w:t>，</w:t>
            </w:r>
            <w:r>
              <w:rPr>
                <w:rFonts w:hint="eastAsia" w:ascii="Times New Roman" w:hAnsi="Times New Roman" w:eastAsia="宋体" w:cs="Times New Roman"/>
                <w:color w:val="auto"/>
                <w:sz w:val="24"/>
                <w:highlight w:val="none"/>
                <w:lang w:val="en-US" w:eastAsia="zh-CN"/>
              </w:rPr>
              <w:t>可满足</w:t>
            </w:r>
            <w:r>
              <w:rPr>
                <w:rFonts w:hint="default" w:ascii="Times New Roman" w:hAnsi="Times New Roman" w:eastAsia="宋体" w:cs="Times New Roman"/>
                <w:color w:val="auto"/>
                <w:sz w:val="24"/>
                <w:highlight w:val="none"/>
                <w:lang w:val="en-GB"/>
              </w:rPr>
              <w:t>《声环境质量标准》(GB3096-2008)</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GB"/>
              </w:rPr>
              <w:t>类区标准</w:t>
            </w:r>
            <w:r>
              <w:rPr>
                <w:rFonts w:hint="eastAsia" w:ascii="Times New Roman" w:hAnsi="Times New Roman"/>
                <w:color w:val="auto"/>
                <w:sz w:val="24"/>
                <w:lang w:eastAsia="zh-CN"/>
              </w:rPr>
              <w:t>（昼间≤</w:t>
            </w:r>
            <w:r>
              <w:rPr>
                <w:rFonts w:hint="eastAsia" w:ascii="Times New Roman" w:hAnsi="Times New Roman"/>
                <w:color w:val="auto"/>
                <w:sz w:val="24"/>
                <w:lang w:val="en-US" w:eastAsia="zh-CN"/>
              </w:rPr>
              <w:t>60dB（A）</w:t>
            </w:r>
            <w:r>
              <w:rPr>
                <w:rFonts w:hint="eastAsia" w:ascii="Times New Roman" w:hAnsi="Times New Roman"/>
                <w:color w:val="auto"/>
                <w:sz w:val="24"/>
                <w:lang w:eastAsia="zh-CN"/>
              </w:rPr>
              <w:t>）</w:t>
            </w:r>
            <w:r>
              <w:rPr>
                <w:rFonts w:hint="default" w:ascii="Times New Roman" w:hAnsi="Times New Roman" w:eastAsia="宋体" w:cs="Times New Roman"/>
                <w:color w:val="auto"/>
                <w:sz w:val="24"/>
                <w:highlight w:val="none"/>
                <w:lang w:val="en-GB"/>
              </w:rPr>
              <w:t>，</w:t>
            </w:r>
            <w:r>
              <w:rPr>
                <w:rFonts w:hint="eastAsia" w:ascii="Times New Roman" w:hAnsi="Times New Roman" w:eastAsia="宋体" w:cs="Times New Roman"/>
                <w:color w:val="auto"/>
                <w:sz w:val="24"/>
                <w:highlight w:val="none"/>
                <w:lang w:val="en-US" w:eastAsia="zh-CN"/>
              </w:rPr>
              <w:t>因此，</w:t>
            </w:r>
            <w:r>
              <w:rPr>
                <w:rFonts w:hint="default" w:ascii="Times New Roman" w:hAnsi="Times New Roman" w:eastAsia="宋体" w:cs="Times New Roman"/>
                <w:color w:val="auto"/>
                <w:sz w:val="24"/>
                <w:highlight w:val="none"/>
                <w:lang w:val="zh-CN"/>
              </w:rPr>
              <w:t>项目主要噪声源在采取有效的降噪措施前提下</w:t>
            </w:r>
            <w:r>
              <w:rPr>
                <w:rFonts w:hint="eastAsia"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GB"/>
              </w:rPr>
              <w:t>项目对</w:t>
            </w:r>
            <w:r>
              <w:rPr>
                <w:rFonts w:hint="eastAsia" w:ascii="Times New Roman" w:hAnsi="Times New Roman" w:eastAsia="宋体" w:cs="Times New Roman"/>
                <w:color w:val="auto"/>
                <w:sz w:val="24"/>
                <w:highlight w:val="none"/>
                <w:lang w:val="en-GB" w:eastAsia="zh-CN"/>
              </w:rPr>
              <w:t>山前村</w:t>
            </w:r>
            <w:r>
              <w:rPr>
                <w:rFonts w:hint="default" w:ascii="Times New Roman" w:hAnsi="Times New Roman" w:eastAsia="宋体" w:cs="Times New Roman"/>
                <w:color w:val="auto"/>
                <w:sz w:val="24"/>
                <w:highlight w:val="none"/>
                <w:lang w:val="en-GB"/>
              </w:rPr>
              <w:t>声敏感</w:t>
            </w:r>
            <w:r>
              <w:rPr>
                <w:rFonts w:hint="eastAsia" w:ascii="Times New Roman" w:hAnsi="Times New Roman" w:eastAsia="宋体" w:cs="Times New Roman"/>
                <w:color w:val="auto"/>
                <w:sz w:val="24"/>
                <w:highlight w:val="none"/>
                <w:lang w:val="en-GB" w:eastAsia="zh-CN"/>
              </w:rPr>
              <w:t>点声</w:t>
            </w:r>
            <w:r>
              <w:rPr>
                <w:rFonts w:hint="default" w:ascii="Times New Roman" w:hAnsi="Times New Roman" w:eastAsia="宋体" w:cs="Times New Roman"/>
                <w:color w:val="auto"/>
                <w:sz w:val="24"/>
                <w:highlight w:val="none"/>
                <w:lang w:val="en-GB"/>
              </w:rPr>
              <w:t>环境影响</w:t>
            </w:r>
            <w:r>
              <w:rPr>
                <w:rFonts w:hint="default" w:ascii="Times New Roman" w:hAnsi="Times New Roman" w:eastAsia="宋体" w:cs="Times New Roman"/>
                <w:color w:val="auto"/>
                <w:sz w:val="24"/>
                <w:highlight w:val="none"/>
                <w:lang w:val="en-GB" w:eastAsia="zh-CN"/>
              </w:rPr>
              <w:t>小</w:t>
            </w:r>
            <w:r>
              <w:rPr>
                <w:rFonts w:hint="eastAsia" w:ascii="Times New Roman" w:hAnsi="Times New Roman" w:eastAsia="宋体" w:cs="Times New Roman"/>
                <w:color w:val="auto"/>
                <w:sz w:val="24"/>
                <w:highlight w:val="none"/>
                <w:lang w:val="en-GB" w:eastAsia="zh-CN"/>
              </w:rPr>
              <w:t>。</w:t>
            </w:r>
          </w:p>
          <w:p w14:paraId="1ED3C6C8">
            <w:pPr>
              <w:adjustRightInd w:val="0"/>
              <w:snapToGrid w:val="0"/>
              <w:spacing w:line="360" w:lineRule="auto"/>
              <w:rPr>
                <w:rFonts w:ascii="Times New Roman" w:hAnsi="Times New Roman"/>
                <w:b/>
                <w:bCs/>
                <w:color w:val="auto"/>
                <w:kern w:val="0"/>
                <w:sz w:val="24"/>
              </w:rPr>
            </w:pPr>
            <w:r>
              <w:rPr>
                <w:rFonts w:ascii="Times New Roman" w:hAnsi="Times New Roman"/>
                <w:b/>
                <w:bCs/>
                <w:color w:val="auto"/>
                <w:kern w:val="0"/>
                <w:sz w:val="24"/>
              </w:rPr>
              <w:t>4.</w:t>
            </w:r>
            <w:r>
              <w:rPr>
                <w:rFonts w:hint="eastAsia" w:ascii="Times New Roman" w:hAnsi="Times New Roman"/>
                <w:b/>
                <w:bCs/>
                <w:color w:val="auto"/>
                <w:kern w:val="0"/>
                <w:sz w:val="24"/>
                <w:lang w:val="en-US" w:eastAsia="zh-CN"/>
              </w:rPr>
              <w:t>4</w:t>
            </w:r>
            <w:r>
              <w:rPr>
                <w:rFonts w:ascii="Times New Roman" w:hAnsi="Times New Roman"/>
                <w:b/>
                <w:bCs/>
                <w:color w:val="auto"/>
                <w:kern w:val="0"/>
                <w:sz w:val="24"/>
              </w:rPr>
              <w:t>.3 运营期噪声</w:t>
            </w:r>
            <w:r>
              <w:rPr>
                <w:rFonts w:hint="eastAsia" w:ascii="Times New Roman" w:hAnsi="Times New Roman"/>
                <w:b/>
                <w:bCs/>
                <w:color w:val="auto"/>
                <w:kern w:val="0"/>
                <w:sz w:val="24"/>
                <w:lang w:val="en-US" w:eastAsia="zh-CN"/>
              </w:rPr>
              <w:t>控制</w:t>
            </w:r>
            <w:r>
              <w:rPr>
                <w:rFonts w:ascii="Times New Roman" w:hAnsi="Times New Roman"/>
                <w:b/>
                <w:bCs/>
                <w:color w:val="auto"/>
                <w:kern w:val="0"/>
                <w:sz w:val="24"/>
              </w:rPr>
              <w:t>措施</w:t>
            </w:r>
          </w:p>
          <w:p w14:paraId="78C8CD30">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lang w:val="zh-CN"/>
              </w:rPr>
              <w:t>（</w:t>
            </w:r>
            <w:r>
              <w:rPr>
                <w:rFonts w:hint="eastAsia" w:ascii="Times New Roman" w:hAnsi="Times New Roman"/>
                <w:bCs/>
                <w:color w:val="auto"/>
                <w:sz w:val="24"/>
                <w:lang w:val="en-US" w:eastAsia="zh-CN"/>
              </w:rPr>
              <w:t>1</w:t>
            </w:r>
            <w:r>
              <w:rPr>
                <w:rFonts w:hint="eastAsia" w:ascii="Times New Roman" w:hAnsi="Times New Roman"/>
                <w:bCs/>
                <w:color w:val="auto"/>
                <w:sz w:val="24"/>
                <w:lang w:val="zh-CN"/>
              </w:rPr>
              <w:t xml:space="preserve">）噪声源控制措施 </w:t>
            </w:r>
          </w:p>
          <w:p w14:paraId="1EF61A89">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①</w:t>
            </w:r>
            <w:r>
              <w:rPr>
                <w:rFonts w:ascii="Times New Roman" w:hAnsi="Times New Roman"/>
                <w:bCs/>
                <w:color w:val="auto"/>
                <w:sz w:val="24"/>
              </w:rPr>
              <w:t>项目选用低噪声生产设备，</w:t>
            </w:r>
            <w:r>
              <w:rPr>
                <w:rFonts w:hint="eastAsia" w:ascii="Times New Roman" w:hAnsi="Times New Roman"/>
                <w:bCs/>
                <w:color w:val="auto"/>
                <w:sz w:val="24"/>
              </w:rPr>
              <w:t>采用</w:t>
            </w:r>
            <w:r>
              <w:rPr>
                <w:rFonts w:ascii="Times New Roman" w:hAnsi="Times New Roman"/>
                <w:bCs/>
                <w:color w:val="auto"/>
                <w:sz w:val="24"/>
              </w:rPr>
              <w:t>低噪声</w:t>
            </w:r>
            <w:r>
              <w:rPr>
                <w:rFonts w:hint="eastAsia" w:ascii="Times New Roman" w:hAnsi="Times New Roman"/>
                <w:bCs/>
                <w:color w:val="auto"/>
                <w:sz w:val="24"/>
              </w:rPr>
              <w:t>生产</w:t>
            </w:r>
            <w:r>
              <w:rPr>
                <w:rFonts w:ascii="Times New Roman" w:hAnsi="Times New Roman"/>
                <w:bCs/>
                <w:color w:val="auto"/>
                <w:sz w:val="24"/>
              </w:rPr>
              <w:t>工艺</w:t>
            </w:r>
            <w:r>
              <w:rPr>
                <w:rFonts w:hint="eastAsia" w:ascii="Times New Roman" w:hAnsi="Times New Roman"/>
                <w:color w:val="auto"/>
                <w:sz w:val="24"/>
                <w:lang w:val="en-US" w:eastAsia="zh-CN"/>
              </w:rPr>
              <w:t>；夜间不运行；</w:t>
            </w:r>
          </w:p>
          <w:p w14:paraId="437C30AB">
            <w:pPr>
              <w:adjustRightInd w:val="0"/>
              <w:snapToGrid w:val="0"/>
              <w:spacing w:line="360" w:lineRule="auto"/>
              <w:ind w:firstLine="480" w:firstLineChars="200"/>
              <w:rPr>
                <w:rFonts w:hint="eastAsia" w:ascii="Times New Roman" w:hAnsi="Times New Roman" w:eastAsia="宋体"/>
                <w:bCs/>
                <w:color w:val="auto"/>
                <w:sz w:val="24"/>
                <w:lang w:eastAsia="zh-CN"/>
              </w:rPr>
            </w:pPr>
            <w:r>
              <w:rPr>
                <w:rFonts w:hint="eastAsia" w:ascii="Times New Roman" w:hAnsi="Times New Roman"/>
                <w:bCs/>
                <w:color w:val="auto"/>
                <w:sz w:val="24"/>
              </w:rPr>
              <w:t>②</w:t>
            </w:r>
            <w:r>
              <w:rPr>
                <w:rFonts w:ascii="Times New Roman" w:hAnsi="Times New Roman"/>
                <w:bCs/>
                <w:color w:val="auto"/>
                <w:sz w:val="24"/>
              </w:rPr>
              <w:t>采取声学控制措施，对</w:t>
            </w:r>
            <w:r>
              <w:rPr>
                <w:rFonts w:hint="eastAsia" w:ascii="Times New Roman" w:hAnsi="Times New Roman"/>
                <w:bCs/>
                <w:color w:val="auto"/>
                <w:sz w:val="24"/>
              </w:rPr>
              <w:t>项目</w:t>
            </w:r>
            <w:r>
              <w:rPr>
                <w:rFonts w:ascii="Times New Roman" w:hAnsi="Times New Roman"/>
                <w:bCs/>
                <w:color w:val="auto"/>
                <w:sz w:val="24"/>
              </w:rPr>
              <w:t>高噪声设备</w:t>
            </w:r>
            <w:r>
              <w:rPr>
                <w:rFonts w:hint="eastAsia" w:ascii="Times New Roman" w:hAnsi="Times New Roman"/>
                <w:bCs/>
                <w:color w:val="auto"/>
                <w:sz w:val="24"/>
              </w:rPr>
              <w:t>基础设置减振垫；</w:t>
            </w:r>
            <w:r>
              <w:rPr>
                <w:rFonts w:hint="eastAsia" w:ascii="Times New Roman" w:hAnsi="Times New Roman"/>
                <w:bCs/>
                <w:color w:val="auto"/>
                <w:sz w:val="24"/>
                <w:lang w:eastAsia="zh-CN"/>
              </w:rPr>
              <w:t>对空压机、风机配套消声元件；</w:t>
            </w:r>
          </w:p>
          <w:p w14:paraId="2CD9B170">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③</w:t>
            </w:r>
            <w:r>
              <w:rPr>
                <w:rFonts w:ascii="Times New Roman" w:hAnsi="Times New Roman"/>
                <w:bCs/>
                <w:color w:val="auto"/>
                <w:sz w:val="24"/>
              </w:rPr>
              <w:t>加强对设备的管理和维护，</w:t>
            </w:r>
            <w:r>
              <w:rPr>
                <w:rFonts w:hint="eastAsia" w:ascii="Times New Roman" w:hAnsi="Times New Roman"/>
                <w:bCs/>
                <w:color w:val="auto"/>
                <w:sz w:val="24"/>
              </w:rPr>
              <w:t>避免设备在异常情</w:t>
            </w:r>
            <w:r>
              <w:rPr>
                <w:rFonts w:hint="eastAsia" w:ascii="Times New Roman" w:hAnsi="Times New Roman"/>
                <w:bCs/>
                <w:color w:val="auto"/>
                <w:sz w:val="24"/>
                <w:lang w:eastAsia="zh-CN"/>
              </w:rPr>
              <w:t>况下</w:t>
            </w:r>
            <w:r>
              <w:rPr>
                <w:rFonts w:hint="eastAsia" w:ascii="Times New Roman" w:hAnsi="Times New Roman"/>
                <w:bCs/>
                <w:color w:val="auto"/>
                <w:sz w:val="24"/>
              </w:rPr>
              <w:t>运行；</w:t>
            </w:r>
          </w:p>
          <w:p w14:paraId="6E4FCE24">
            <w:pPr>
              <w:adjustRightInd w:val="0"/>
              <w:snapToGrid w:val="0"/>
              <w:spacing w:line="360" w:lineRule="auto"/>
              <w:ind w:firstLine="480" w:firstLineChars="200"/>
              <w:rPr>
                <w:rFonts w:hint="eastAsia" w:ascii="Times New Roman" w:hAnsi="Times New Roman" w:eastAsia="宋体"/>
                <w:bCs/>
                <w:color w:val="auto"/>
                <w:sz w:val="24"/>
                <w:lang w:eastAsia="zh-CN"/>
              </w:rPr>
            </w:pPr>
            <w:r>
              <w:rPr>
                <w:rFonts w:hint="eastAsia" w:ascii="Times New Roman" w:hAnsi="Times New Roman"/>
                <w:bCs/>
                <w:color w:val="auto"/>
                <w:sz w:val="24"/>
              </w:rPr>
              <w:t>④</w:t>
            </w:r>
            <w:r>
              <w:rPr>
                <w:rFonts w:ascii="Times New Roman" w:hAnsi="Times New Roman"/>
                <w:bCs/>
                <w:color w:val="auto"/>
                <w:sz w:val="24"/>
              </w:rPr>
              <w:t>优先选用低噪声车辆</w:t>
            </w:r>
            <w:r>
              <w:rPr>
                <w:rFonts w:hint="eastAsia" w:ascii="Times New Roman" w:hAnsi="Times New Roman"/>
                <w:bCs/>
                <w:color w:val="auto"/>
                <w:sz w:val="24"/>
              </w:rPr>
              <w:t>，</w:t>
            </w:r>
            <w:r>
              <w:rPr>
                <w:rFonts w:ascii="Times New Roman" w:hAnsi="Times New Roman"/>
                <w:bCs/>
                <w:color w:val="auto"/>
                <w:sz w:val="24"/>
              </w:rPr>
              <w:t>车辆运输物料</w:t>
            </w:r>
            <w:r>
              <w:rPr>
                <w:rFonts w:hint="eastAsia" w:ascii="Times New Roman" w:hAnsi="Times New Roman"/>
                <w:bCs/>
                <w:color w:val="auto"/>
                <w:sz w:val="24"/>
              </w:rPr>
              <w:t>时</w:t>
            </w:r>
            <w:r>
              <w:rPr>
                <w:rFonts w:ascii="Times New Roman" w:hAnsi="Times New Roman"/>
                <w:bCs/>
                <w:color w:val="auto"/>
                <w:sz w:val="24"/>
              </w:rPr>
              <w:t>，在靠近居民点等对声环境质量要求较高的地方，应减小车速，禁止或少鸣喇叭</w:t>
            </w:r>
            <w:r>
              <w:rPr>
                <w:rFonts w:hint="eastAsia" w:ascii="Times New Roman" w:hAnsi="Times New Roman"/>
                <w:bCs/>
                <w:color w:val="auto"/>
                <w:sz w:val="24"/>
                <w:lang w:eastAsia="zh-CN"/>
              </w:rPr>
              <w:t>。</w:t>
            </w:r>
          </w:p>
          <w:p w14:paraId="69D0C40C">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2</w:t>
            </w:r>
            <w:r>
              <w:rPr>
                <w:rFonts w:hint="eastAsia" w:ascii="Times New Roman" w:hAnsi="Times New Roman"/>
                <w:bCs/>
                <w:color w:val="auto"/>
                <w:sz w:val="24"/>
                <w:lang w:eastAsia="zh-CN"/>
              </w:rPr>
              <w:t>）</w:t>
            </w:r>
            <w:r>
              <w:rPr>
                <w:rFonts w:hint="eastAsia" w:ascii="Times New Roman" w:hAnsi="Times New Roman"/>
                <w:bCs/>
                <w:color w:val="auto"/>
                <w:sz w:val="24"/>
              </w:rPr>
              <w:t xml:space="preserve">噪声传播途径控制措施 </w:t>
            </w:r>
          </w:p>
          <w:p w14:paraId="3DFF71DF">
            <w:pPr>
              <w:adjustRightInd w:val="0"/>
              <w:snapToGrid w:val="0"/>
              <w:spacing w:line="360" w:lineRule="auto"/>
              <w:ind w:firstLine="480" w:firstLineChars="200"/>
              <w:rPr>
                <w:rFonts w:hint="eastAsia" w:ascii="Times New Roman" w:hAnsi="Times New Roman" w:eastAsia="宋体"/>
                <w:bCs/>
                <w:color w:val="auto"/>
                <w:sz w:val="24"/>
                <w:lang w:eastAsia="zh-CN"/>
              </w:rPr>
            </w:pPr>
            <w:r>
              <w:rPr>
                <w:rFonts w:hint="eastAsia" w:ascii="Times New Roman" w:hAnsi="Times New Roman"/>
                <w:bCs/>
                <w:color w:val="auto"/>
                <w:sz w:val="24"/>
              </w:rPr>
              <w:t>①合理规划平面布置，将高噪声设备设置</w:t>
            </w:r>
            <w:r>
              <w:rPr>
                <w:rFonts w:hint="eastAsia" w:ascii="Times New Roman" w:hAnsi="Times New Roman"/>
                <w:bCs/>
                <w:color w:val="auto"/>
                <w:sz w:val="24"/>
                <w:lang w:eastAsia="zh-CN"/>
              </w:rPr>
              <w:t>厂房内，并且不设置在靠近居民区侧</w:t>
            </w:r>
            <w:r>
              <w:rPr>
                <w:rFonts w:hint="eastAsia" w:ascii="Times New Roman" w:hAnsi="Times New Roman"/>
                <w:bCs/>
                <w:color w:val="auto"/>
                <w:sz w:val="24"/>
              </w:rPr>
              <w:t>，设备运转期间，关闭车间门窗，通过车间墙体等进行阻隔，降低噪声源强</w:t>
            </w:r>
            <w:r>
              <w:rPr>
                <w:rFonts w:hint="eastAsia" w:ascii="Times New Roman" w:hAnsi="Times New Roman"/>
                <w:bCs/>
                <w:color w:val="auto"/>
                <w:sz w:val="24"/>
                <w:lang w:eastAsia="zh-CN"/>
              </w:rPr>
              <w:t>；</w:t>
            </w:r>
          </w:p>
          <w:p w14:paraId="2F39AE08">
            <w:pPr>
              <w:adjustRightInd w:val="0"/>
              <w:snapToGrid w:val="0"/>
              <w:spacing w:line="360" w:lineRule="auto"/>
              <w:ind w:firstLine="480" w:firstLineChars="200"/>
              <w:rPr>
                <w:rFonts w:hint="eastAsia" w:ascii="Times New Roman" w:hAnsi="Times New Roman" w:eastAsia="宋体"/>
                <w:bCs/>
                <w:color w:val="auto"/>
                <w:sz w:val="24"/>
                <w:lang w:eastAsia="zh-CN"/>
              </w:rPr>
            </w:pPr>
            <w:r>
              <w:rPr>
                <w:rFonts w:hint="eastAsia" w:ascii="Times New Roman" w:hAnsi="Times New Roman"/>
                <w:bCs/>
                <w:color w:val="auto"/>
                <w:sz w:val="24"/>
              </w:rPr>
              <w:t>②</w:t>
            </w:r>
            <w:r>
              <w:rPr>
                <w:rFonts w:ascii="Times New Roman" w:hAnsi="Times New Roman"/>
                <w:bCs/>
                <w:color w:val="auto"/>
                <w:sz w:val="24"/>
              </w:rPr>
              <w:t>设置声屏障等措施，</w:t>
            </w:r>
            <w:r>
              <w:rPr>
                <w:rFonts w:hint="eastAsia" w:ascii="Times New Roman" w:hAnsi="Times New Roman"/>
                <w:bCs/>
                <w:color w:val="auto"/>
                <w:sz w:val="24"/>
              </w:rPr>
              <w:t>将高噪声设备设置专门设备隔间，通过设备隔间墙体隔声等进行降噪</w:t>
            </w:r>
            <w:r>
              <w:rPr>
                <w:rFonts w:hint="eastAsia" w:ascii="Times New Roman" w:hAnsi="Times New Roman"/>
                <w:bCs/>
                <w:color w:val="auto"/>
                <w:sz w:val="24"/>
                <w:lang w:eastAsia="zh-CN"/>
              </w:rPr>
              <w:t>。</w:t>
            </w:r>
          </w:p>
          <w:p w14:paraId="4A9A5AE2">
            <w:pPr>
              <w:adjustRightInd w:val="0"/>
              <w:snapToGrid w:val="0"/>
              <w:spacing w:line="360" w:lineRule="auto"/>
              <w:ind w:firstLine="480" w:firstLineChars="200"/>
              <w:rPr>
                <w:rFonts w:hint="eastAsia" w:ascii="Times New Roman" w:hAnsi="Times New Roman"/>
                <w:bCs/>
                <w:color w:val="auto"/>
                <w:sz w:val="24"/>
              </w:rPr>
            </w:pPr>
            <w:r>
              <w:rPr>
                <w:rFonts w:ascii="Times New Roman" w:hAnsi="Times New Roman"/>
                <w:bCs/>
                <w:color w:val="auto"/>
                <w:sz w:val="24"/>
              </w:rPr>
              <w:t>通过以上降噪措施，有效降低设备噪声对厂界的影响程度，确保</w:t>
            </w:r>
            <w:r>
              <w:rPr>
                <w:rFonts w:hint="eastAsia" w:ascii="Times New Roman" w:hAnsi="Times New Roman"/>
                <w:bCs/>
                <w:color w:val="auto"/>
                <w:sz w:val="24"/>
              </w:rPr>
              <w:t>厂</w:t>
            </w:r>
            <w:r>
              <w:rPr>
                <w:rFonts w:ascii="Times New Roman" w:hAnsi="Times New Roman"/>
                <w:bCs/>
                <w:color w:val="auto"/>
                <w:sz w:val="24"/>
              </w:rPr>
              <w:t>界噪声符合《工业企业厂界环境噪声排放标准》</w:t>
            </w:r>
            <w:r>
              <w:rPr>
                <w:rFonts w:hint="eastAsia" w:ascii="Times New Roman" w:hAnsi="Times New Roman"/>
                <w:bCs/>
                <w:color w:val="auto"/>
                <w:sz w:val="24"/>
              </w:rPr>
              <w:t>(</w:t>
            </w:r>
            <w:r>
              <w:rPr>
                <w:rFonts w:ascii="Times New Roman" w:hAnsi="Times New Roman"/>
                <w:bCs/>
                <w:color w:val="auto"/>
                <w:sz w:val="24"/>
              </w:rPr>
              <w:t>GB12348-2008</w:t>
            </w:r>
            <w:r>
              <w:rPr>
                <w:rFonts w:hint="eastAsia" w:ascii="Times New Roman" w:hAnsi="Times New Roman"/>
                <w:bCs/>
                <w:color w:val="auto"/>
                <w:sz w:val="24"/>
              </w:rPr>
              <w:t>)</w:t>
            </w:r>
            <w:r>
              <w:rPr>
                <w:rFonts w:ascii="Times New Roman" w:hAnsi="Times New Roman"/>
                <w:bCs/>
                <w:color w:val="auto"/>
                <w:sz w:val="24"/>
              </w:rPr>
              <w:t>中的</w:t>
            </w:r>
            <w:r>
              <w:rPr>
                <w:rFonts w:hint="eastAsia" w:ascii="Times New Roman" w:hAnsi="Times New Roman"/>
                <w:bCs/>
                <w:color w:val="auto"/>
                <w:sz w:val="24"/>
                <w:lang w:val="en-US" w:eastAsia="zh-CN"/>
              </w:rPr>
              <w:t>2</w:t>
            </w:r>
            <w:r>
              <w:rPr>
                <w:rFonts w:hint="eastAsia" w:ascii="Times New Roman" w:hAnsi="Times New Roman"/>
                <w:bCs/>
                <w:color w:val="auto"/>
                <w:sz w:val="24"/>
              </w:rPr>
              <w:t>类</w:t>
            </w:r>
            <w:r>
              <w:rPr>
                <w:rFonts w:ascii="Times New Roman" w:hAnsi="Times New Roman"/>
                <w:bCs/>
                <w:color w:val="auto"/>
                <w:sz w:val="24"/>
              </w:rPr>
              <w:t>标准要求，措施可行。</w:t>
            </w:r>
          </w:p>
          <w:p w14:paraId="5916FB72">
            <w:pPr>
              <w:adjustRightInd w:val="0"/>
              <w:snapToGrid w:val="0"/>
              <w:spacing w:line="360" w:lineRule="auto"/>
              <w:rPr>
                <w:rFonts w:ascii="Times New Roman" w:hAnsi="Times New Roman" w:eastAsia="黑体"/>
                <w:b/>
                <w:bCs/>
                <w:color w:val="auto"/>
                <w:kern w:val="0"/>
                <w:sz w:val="24"/>
              </w:rPr>
            </w:pPr>
            <w:r>
              <w:rPr>
                <w:rFonts w:ascii="Times New Roman" w:hAnsi="Times New Roman" w:eastAsia="黑体"/>
                <w:b/>
                <w:bCs/>
                <w:color w:val="auto"/>
                <w:kern w:val="0"/>
                <w:sz w:val="24"/>
              </w:rPr>
              <w:t>4.</w:t>
            </w:r>
            <w:r>
              <w:rPr>
                <w:rFonts w:hint="eastAsia" w:ascii="Times New Roman" w:hAnsi="Times New Roman" w:eastAsia="黑体"/>
                <w:b/>
                <w:bCs/>
                <w:color w:val="auto"/>
                <w:kern w:val="0"/>
                <w:sz w:val="24"/>
                <w:lang w:val="en-US" w:eastAsia="zh-CN"/>
              </w:rPr>
              <w:t>4</w:t>
            </w:r>
            <w:r>
              <w:rPr>
                <w:rFonts w:ascii="Times New Roman" w:hAnsi="Times New Roman" w:eastAsia="黑体"/>
                <w:b/>
                <w:bCs/>
                <w:color w:val="auto"/>
                <w:kern w:val="0"/>
                <w:sz w:val="24"/>
              </w:rPr>
              <w:t>.4 自行监测计划</w:t>
            </w:r>
          </w:p>
          <w:p w14:paraId="1614C0E3">
            <w:pPr>
              <w:pStyle w:val="57"/>
              <w:keepNext w:val="0"/>
              <w:keepLines w:val="0"/>
              <w:pageBreakBefore w:val="0"/>
              <w:widowControl w:val="0"/>
              <w:kinsoku/>
              <w:wordWrap/>
              <w:overflowPunct/>
              <w:topLinePunct w:val="0"/>
              <w:bidi w:val="0"/>
              <w:adjustRightInd w:val="0"/>
              <w:snapToGrid w:val="0"/>
              <w:spacing w:line="360" w:lineRule="auto"/>
              <w:ind w:firstLine="480"/>
              <w:jc w:val="both"/>
              <w:rPr>
                <w:rFonts w:hint="default" w:ascii="Times New Roman" w:hAnsi="Times New Roman" w:eastAsia="宋体" w:cs="Times New Roman"/>
                <w:color w:val="auto"/>
                <w:kern w:val="2"/>
                <w:highlight w:val="none"/>
                <w:lang w:val="en-US" w:eastAsia="zh-CN"/>
              </w:rPr>
            </w:pPr>
            <w:r>
              <w:rPr>
                <w:rFonts w:hint="eastAsia" w:ascii="Times New Roman" w:hAnsi="Times New Roman"/>
                <w:bCs/>
                <w:color w:val="auto"/>
                <w:sz w:val="24"/>
                <w:lang w:val="en-US" w:eastAsia="zh-CN"/>
              </w:rPr>
              <w:t>根据</w:t>
            </w:r>
            <w:r>
              <w:rPr>
                <w:rFonts w:hint="eastAsia" w:ascii="Times New Roman" w:hAnsi="Times New Roman" w:eastAsia="宋体" w:cs="Times New Roman"/>
                <w:color w:val="auto"/>
                <w:sz w:val="24"/>
                <w:shd w:val="clear" w:color="auto" w:fill="FFFFFF"/>
              </w:rPr>
              <w:t>《排污单位自行监测技术指南 总则》(HJ 819-2017)</w:t>
            </w:r>
            <w:r>
              <w:rPr>
                <w:rFonts w:hint="eastAsia" w:ascii="Times New Roman" w:hAnsi="Times New Roman" w:eastAsia="宋体" w:cs="Times New Roman"/>
                <w:color w:val="auto"/>
                <w:sz w:val="24"/>
                <w:shd w:val="clear" w:color="auto" w:fill="FFFFFF"/>
                <w:lang w:eastAsia="zh-CN"/>
              </w:rPr>
              <w:t>、</w:t>
            </w:r>
            <w:r>
              <w:rPr>
                <w:rFonts w:hint="eastAsia" w:ascii="Times New Roman" w:hAnsi="Times New Roman" w:eastAsia="宋体" w:cs="Times New Roman"/>
                <w:color w:val="auto"/>
                <w:sz w:val="24"/>
                <w:shd w:val="clear" w:color="auto" w:fill="FFFFFF"/>
              </w:rPr>
              <w:t>《排污许可证申请与核发技术规范 废弃资源加工工业》（HJ1034-2019）</w:t>
            </w:r>
            <w:r>
              <w:rPr>
                <w:rFonts w:hint="eastAsia" w:ascii="Times New Roman" w:hAnsi="Times New Roman"/>
                <w:bCs/>
                <w:color w:val="auto"/>
              </w:rPr>
              <w:t>等要求，</w:t>
            </w:r>
            <w:r>
              <w:rPr>
                <w:rFonts w:hint="eastAsia" w:ascii="Times New Roman" w:hAnsi="Times New Roman"/>
                <w:bCs/>
                <w:color w:val="auto"/>
                <w:sz w:val="24"/>
                <w:lang w:eastAsia="zh-CN"/>
              </w:rPr>
              <w:t>提出项目</w:t>
            </w:r>
            <w:r>
              <w:rPr>
                <w:rFonts w:hint="eastAsia" w:ascii="Times New Roman" w:hAnsi="Times New Roman"/>
                <w:bCs/>
                <w:color w:val="auto"/>
                <w:sz w:val="24"/>
              </w:rPr>
              <w:t>运营期</w:t>
            </w:r>
            <w:r>
              <w:rPr>
                <w:rFonts w:hint="eastAsia" w:ascii="Times New Roman" w:hAnsi="Times New Roman"/>
                <w:bCs/>
                <w:color w:val="auto"/>
                <w:sz w:val="24"/>
                <w:lang w:eastAsia="zh-CN"/>
              </w:rPr>
              <w:t>噪声自行监测计划，具体详见表</w:t>
            </w:r>
            <w:r>
              <w:rPr>
                <w:rFonts w:hint="eastAsia" w:ascii="Times New Roman" w:hAnsi="Times New Roman"/>
                <w:bCs/>
                <w:color w:val="auto"/>
                <w:sz w:val="24"/>
                <w:lang w:val="en-US" w:eastAsia="zh-CN"/>
              </w:rPr>
              <w:t>4.4-5。</w:t>
            </w:r>
          </w:p>
          <w:p w14:paraId="1F3A10E0">
            <w:pPr>
              <w:pStyle w:val="57"/>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ascii="Times New Roman" w:hAnsi="Times New Roman" w:eastAsia="黑体" w:cs="Times New Roman"/>
                <w:b w:val="0"/>
                <w:bCs w:val="0"/>
                <w:color w:val="auto"/>
                <w:kern w:val="2"/>
                <w:highlight w:val="none"/>
                <w:lang w:val="en-US" w:eastAsia="zh-CN"/>
              </w:rPr>
            </w:pPr>
            <w:r>
              <w:rPr>
                <w:rFonts w:hint="default" w:ascii="Times New Roman" w:hAnsi="Times New Roman" w:eastAsia="黑体" w:cs="Times New Roman"/>
                <w:b w:val="0"/>
                <w:bCs w:val="0"/>
                <w:color w:val="auto"/>
                <w:kern w:val="0"/>
                <w:sz w:val="24"/>
                <w:lang w:eastAsia="zh-CN"/>
              </w:rPr>
              <w:t>表</w:t>
            </w:r>
            <w:r>
              <w:rPr>
                <w:rFonts w:hint="default" w:ascii="Times New Roman" w:hAnsi="Times New Roman" w:eastAsia="黑体" w:cs="Times New Roman"/>
                <w:b w:val="0"/>
                <w:bCs w:val="0"/>
                <w:color w:val="auto"/>
                <w:kern w:val="0"/>
                <w:sz w:val="24"/>
                <w:lang w:val="en-US" w:eastAsia="zh-CN"/>
              </w:rPr>
              <w:t>4.</w:t>
            </w:r>
            <w:r>
              <w:rPr>
                <w:rFonts w:hint="eastAsia" w:ascii="Times New Roman" w:hAnsi="Times New Roman" w:eastAsia="黑体" w:cs="Times New Roman"/>
                <w:b w:val="0"/>
                <w:bCs w:val="0"/>
                <w:color w:val="auto"/>
                <w:kern w:val="0"/>
                <w:sz w:val="24"/>
                <w:lang w:val="en-US" w:eastAsia="zh-CN"/>
              </w:rPr>
              <w:t xml:space="preserve">4-5 </w:t>
            </w:r>
            <w:r>
              <w:rPr>
                <w:rFonts w:hint="default" w:ascii="Times New Roman" w:hAnsi="Times New Roman" w:eastAsia="黑体" w:cs="Times New Roman"/>
                <w:b w:val="0"/>
                <w:bCs w:val="0"/>
                <w:color w:val="auto"/>
                <w:kern w:val="0"/>
                <w:sz w:val="24"/>
                <w:lang w:val="en-US" w:eastAsia="zh-CN"/>
              </w:rPr>
              <w:t xml:space="preserve"> 项目</w:t>
            </w:r>
            <w:r>
              <w:rPr>
                <w:rFonts w:hint="eastAsia" w:ascii="Times New Roman" w:hAnsi="Times New Roman" w:eastAsia="黑体" w:cs="Times New Roman"/>
                <w:b w:val="0"/>
                <w:bCs w:val="0"/>
                <w:color w:val="auto"/>
                <w:kern w:val="0"/>
                <w:sz w:val="24"/>
                <w:lang w:val="en-US" w:eastAsia="zh-CN"/>
              </w:rPr>
              <w:t>噪声</w:t>
            </w:r>
            <w:r>
              <w:rPr>
                <w:rFonts w:hint="default" w:ascii="Times New Roman" w:hAnsi="Times New Roman" w:eastAsia="黑体" w:cs="Times New Roman"/>
                <w:b w:val="0"/>
                <w:bCs w:val="0"/>
                <w:color w:val="auto"/>
                <w:kern w:val="0"/>
                <w:sz w:val="24"/>
              </w:rPr>
              <w:t>自行监测计划</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426"/>
              <w:gridCol w:w="2049"/>
              <w:gridCol w:w="2737"/>
            </w:tblGrid>
            <w:tr w14:paraId="0D478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tcBorders>
                    <w:tl2br w:val="nil"/>
                    <w:tr2bl w:val="nil"/>
                  </w:tcBorders>
                  <w:noWrap w:val="0"/>
                  <w:vAlign w:val="center"/>
                </w:tcPr>
                <w:p w14:paraId="3FB5931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序号</w:t>
                  </w:r>
                </w:p>
              </w:tc>
              <w:tc>
                <w:tcPr>
                  <w:tcW w:w="1511" w:type="pct"/>
                  <w:tcBorders>
                    <w:tl2br w:val="nil"/>
                    <w:tr2bl w:val="nil"/>
                  </w:tcBorders>
                  <w:noWrap w:val="0"/>
                  <w:vAlign w:val="center"/>
                </w:tcPr>
                <w:p w14:paraId="0BA7A78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监测点位</w:t>
                  </w:r>
                </w:p>
              </w:tc>
              <w:tc>
                <w:tcPr>
                  <w:tcW w:w="1276" w:type="pct"/>
                  <w:tcBorders>
                    <w:tl2br w:val="nil"/>
                    <w:tr2bl w:val="nil"/>
                  </w:tcBorders>
                  <w:noWrap w:val="0"/>
                  <w:vAlign w:val="center"/>
                </w:tcPr>
                <w:p w14:paraId="57C0942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监测因子</w:t>
                  </w:r>
                </w:p>
              </w:tc>
              <w:tc>
                <w:tcPr>
                  <w:tcW w:w="1705" w:type="pct"/>
                  <w:tcBorders>
                    <w:tl2br w:val="nil"/>
                    <w:tr2bl w:val="nil"/>
                  </w:tcBorders>
                  <w:noWrap w:val="0"/>
                  <w:vAlign w:val="center"/>
                </w:tcPr>
                <w:p w14:paraId="1ED86BB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eastAsia="zh-CN"/>
                    </w:rPr>
                  </w:pPr>
                  <w:r>
                    <w:rPr>
                      <w:rFonts w:hint="eastAsia" w:ascii="Times New Roman" w:hAnsi="Times New Roman" w:eastAsia="宋体" w:cs="Times New Roman"/>
                      <w:b w:val="0"/>
                      <w:bCs/>
                      <w:color w:val="auto"/>
                      <w:sz w:val="21"/>
                      <w:szCs w:val="21"/>
                      <w:vertAlign w:val="baseline"/>
                      <w:lang w:eastAsia="zh-CN"/>
                    </w:rPr>
                    <w:t>监测</w:t>
                  </w:r>
                  <w:r>
                    <w:rPr>
                      <w:rFonts w:hint="default" w:ascii="Times New Roman" w:hAnsi="Times New Roman" w:eastAsia="宋体" w:cs="Times New Roman"/>
                      <w:b w:val="0"/>
                      <w:bCs/>
                      <w:color w:val="auto"/>
                      <w:sz w:val="21"/>
                      <w:szCs w:val="21"/>
                      <w:vertAlign w:val="baseline"/>
                      <w:lang w:eastAsia="zh-CN"/>
                    </w:rPr>
                    <w:t>频次</w:t>
                  </w:r>
                </w:p>
              </w:tc>
            </w:tr>
            <w:tr w14:paraId="170FF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tcBorders>
                    <w:tl2br w:val="nil"/>
                    <w:tr2bl w:val="nil"/>
                  </w:tcBorders>
                  <w:noWrap w:val="0"/>
                  <w:vAlign w:val="center"/>
                </w:tcPr>
                <w:p w14:paraId="6840ABD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1511" w:type="pct"/>
                  <w:tcBorders>
                    <w:tl2br w:val="nil"/>
                    <w:tr2bl w:val="nil"/>
                  </w:tcBorders>
                  <w:noWrap w:val="0"/>
                  <w:vAlign w:val="center"/>
                </w:tcPr>
                <w:p w14:paraId="0F082BD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厂界四周</w:t>
                  </w:r>
                </w:p>
              </w:tc>
              <w:tc>
                <w:tcPr>
                  <w:tcW w:w="1276" w:type="pct"/>
                  <w:tcBorders>
                    <w:tl2br w:val="nil"/>
                    <w:tr2bl w:val="nil"/>
                  </w:tcBorders>
                  <w:noWrap w:val="0"/>
                  <w:vAlign w:val="center"/>
                </w:tcPr>
                <w:p w14:paraId="6873FB11">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等效</w:t>
                  </w:r>
                  <w:r>
                    <w:rPr>
                      <w:rFonts w:hint="eastAsia" w:ascii="Times New Roman" w:hAnsi="Times New Roman" w:eastAsia="宋体" w:cs="Times New Roman"/>
                      <w:color w:val="auto"/>
                      <w:sz w:val="21"/>
                      <w:szCs w:val="21"/>
                      <w:lang w:val="en-US" w:eastAsia="zh-CN"/>
                    </w:rPr>
                    <w:t>A声级</w:t>
                  </w:r>
                </w:p>
              </w:tc>
              <w:tc>
                <w:tcPr>
                  <w:tcW w:w="1705" w:type="pct"/>
                  <w:tcBorders>
                    <w:tl2br w:val="nil"/>
                    <w:tr2bl w:val="nil"/>
                  </w:tcBorders>
                  <w:noWrap w:val="0"/>
                  <w:vAlign w:val="center"/>
                </w:tcPr>
                <w:p w14:paraId="72912477">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1天/季度、1次/天</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昼间</w:t>
                  </w:r>
                  <w:r>
                    <w:rPr>
                      <w:rFonts w:hint="eastAsia" w:ascii="Times New Roman" w:hAnsi="Times New Roman" w:eastAsia="宋体" w:cs="Times New Roman"/>
                      <w:color w:val="auto"/>
                      <w:kern w:val="2"/>
                      <w:sz w:val="21"/>
                      <w:szCs w:val="21"/>
                      <w:lang w:val="en-US" w:eastAsia="zh-CN" w:bidi="ar-SA"/>
                    </w:rPr>
                    <w:t>）</w:t>
                  </w:r>
                </w:p>
              </w:tc>
            </w:tr>
          </w:tbl>
          <w:p w14:paraId="65929DA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8"/>
                <w:szCs w:val="28"/>
              </w:rPr>
              <w:t>4.</w:t>
            </w:r>
            <w:r>
              <w:rPr>
                <w:rFonts w:hint="eastAsia" w:ascii="Times New Roman" w:hAnsi="Times New Roman" w:eastAsia="宋体" w:cs="Times New Roman"/>
                <w:b/>
                <w:bCs w:val="0"/>
                <w:color w:val="auto"/>
                <w:sz w:val="28"/>
                <w:szCs w:val="28"/>
                <w:lang w:val="en-US" w:eastAsia="zh-CN"/>
              </w:rPr>
              <w:t>5</w:t>
            </w:r>
            <w:r>
              <w:rPr>
                <w:rFonts w:hint="default" w:ascii="Times New Roman" w:hAnsi="Times New Roman" w:eastAsia="宋体" w:cs="Times New Roman"/>
                <w:b/>
                <w:bCs w:val="0"/>
                <w:color w:val="auto"/>
                <w:sz w:val="28"/>
                <w:szCs w:val="28"/>
              </w:rPr>
              <w:t>运营期固体废物影响分析和污染防治措施</w:t>
            </w:r>
          </w:p>
          <w:p w14:paraId="350CC88C">
            <w:pPr>
              <w:adjustRightInd w:val="0"/>
              <w:snapToGrid w:val="0"/>
              <w:spacing w:line="360" w:lineRule="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w:t>
            </w:r>
            <w:r>
              <w:rPr>
                <w:rFonts w:hint="eastAsia" w:ascii="Times New Roman" w:hAnsi="Times New Roman" w:eastAsia="宋体" w:cs="Times New Roman"/>
                <w:b/>
                <w:bCs/>
                <w:color w:val="auto"/>
                <w:kern w:val="0"/>
                <w:sz w:val="24"/>
                <w:lang w:val="en-US" w:eastAsia="zh-CN"/>
              </w:rPr>
              <w:t>5</w:t>
            </w:r>
            <w:r>
              <w:rPr>
                <w:rFonts w:hint="default" w:ascii="Times New Roman" w:hAnsi="Times New Roman" w:eastAsia="宋体" w:cs="Times New Roman"/>
                <w:b/>
                <w:bCs/>
                <w:color w:val="auto"/>
                <w:kern w:val="0"/>
                <w:sz w:val="24"/>
              </w:rPr>
              <w:t>.1 运营期固废物源强核算</w:t>
            </w:r>
          </w:p>
          <w:p w14:paraId="195EAE73">
            <w:pPr>
              <w:spacing w:line="360" w:lineRule="auto"/>
              <w:ind w:firstLine="480" w:firstLineChars="200"/>
              <w:rPr>
                <w:rFonts w:hint="eastAsia" w:ascii="Times New Roman" w:hAnsi="Times New Roman" w:cs="Times New Roman"/>
                <w:b w:val="0"/>
                <w:bCs w:val="0"/>
                <w:color w:val="auto"/>
                <w:sz w:val="24"/>
                <w:szCs w:val="24"/>
                <w:highlight w:val="none"/>
                <w:lang w:val="en-US" w:eastAsia="zh-CN" w:bidi="ar"/>
              </w:rPr>
            </w:pPr>
            <w:r>
              <w:rPr>
                <w:rFonts w:hint="eastAsia" w:ascii="Times New Roman" w:hAnsi="Times New Roman" w:cs="Times New Roman"/>
                <w:b w:val="0"/>
                <w:bCs w:val="0"/>
                <w:color w:val="auto"/>
                <w:sz w:val="24"/>
                <w:szCs w:val="24"/>
                <w:highlight w:val="none"/>
                <w:lang w:val="en-US" w:eastAsia="zh-CN" w:bidi="ar"/>
              </w:rPr>
              <w:t>作为报废机动车、废机电、废变压器拆解项目，由于其行业特征，生产过程中产生大量的固体物质，其中大部分以目前的技术水平是可利用的，即作为产品，包括可利用的钢材、有色金属、塑料、橡胶、玻璃等，根据前文物料分析，产生总量约78672.696t/a，在厂区内仓库区分类分区收集暂存后，作为产品出售给合规资质单位利用，根据《报废机动车回收管理办法》（国务院令第 715 号），外售符合保障人身和财产安全等强制性国家标准的零部件必须标明“报废汽车回用件”。</w:t>
            </w:r>
          </w:p>
          <w:p w14:paraId="082B863B">
            <w:pPr>
              <w:spacing w:line="360" w:lineRule="auto"/>
              <w:ind w:firstLine="480" w:firstLineChars="200"/>
              <w:rPr>
                <w:rFonts w:hint="eastAsia" w:ascii="Times New Roman" w:hAnsi="Times New Roman" w:cs="Times New Roman"/>
                <w:b w:val="0"/>
                <w:bCs w:val="0"/>
                <w:color w:val="auto"/>
                <w:sz w:val="24"/>
                <w:szCs w:val="24"/>
                <w:highlight w:val="none"/>
                <w:lang w:val="en-US" w:eastAsia="zh-CN" w:bidi="ar"/>
              </w:rPr>
            </w:pPr>
            <w:r>
              <w:rPr>
                <w:rFonts w:hint="eastAsia" w:ascii="Times New Roman" w:hAnsi="Times New Roman" w:cs="Times New Roman"/>
                <w:b w:val="0"/>
                <w:bCs w:val="0"/>
                <w:color w:val="auto"/>
                <w:sz w:val="24"/>
                <w:szCs w:val="24"/>
                <w:highlight w:val="none"/>
                <w:lang w:val="en-US" w:eastAsia="zh-CN" w:bidi="ar"/>
              </w:rPr>
              <w:t>其余不可利用的为固废，包括一般工业固废、危废废物及职工生活垃圾。</w:t>
            </w:r>
          </w:p>
          <w:p w14:paraId="4BC46C3D">
            <w:pPr>
              <w:spacing w:line="360" w:lineRule="auto"/>
              <w:ind w:firstLine="482" w:firstLineChars="200"/>
              <w:rPr>
                <w:rFonts w:hint="default" w:ascii="Times New Roman" w:hAnsi="Times New Roman" w:eastAsia="宋体"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eastAsia="zh-CN" w:bidi="ar"/>
              </w:rPr>
              <w:t>（</w:t>
            </w:r>
            <w:r>
              <w:rPr>
                <w:rFonts w:hint="eastAsia" w:ascii="Times New Roman" w:hAnsi="Times New Roman" w:cs="Times New Roman"/>
                <w:b/>
                <w:bCs/>
                <w:color w:val="auto"/>
                <w:sz w:val="24"/>
                <w:szCs w:val="24"/>
                <w:highlight w:val="none"/>
                <w:lang w:val="en-US" w:eastAsia="zh-CN" w:bidi="ar"/>
              </w:rPr>
              <w:t>1</w:t>
            </w:r>
            <w:r>
              <w:rPr>
                <w:rFonts w:hint="eastAsia" w:ascii="Times New Roman" w:hAnsi="Times New Roman" w:cs="Times New Roman"/>
                <w:b/>
                <w:bCs/>
                <w:color w:val="auto"/>
                <w:sz w:val="24"/>
                <w:szCs w:val="24"/>
                <w:highlight w:val="none"/>
                <w:lang w:eastAsia="zh-CN" w:bidi="ar"/>
              </w:rPr>
              <w:t>）</w:t>
            </w:r>
            <w:r>
              <w:rPr>
                <w:rFonts w:hint="default" w:ascii="Times New Roman" w:hAnsi="Times New Roman" w:cs="Times New Roman"/>
                <w:b/>
                <w:bCs/>
                <w:color w:val="auto"/>
                <w:sz w:val="24"/>
                <w:szCs w:val="24"/>
                <w:highlight w:val="none"/>
                <w:lang w:eastAsia="zh-CN" w:bidi="ar"/>
              </w:rPr>
              <w:t>一般工业固废</w:t>
            </w:r>
          </w:p>
          <w:p w14:paraId="4DD3E8CA">
            <w:pPr>
              <w:spacing w:line="360" w:lineRule="auto"/>
              <w:ind w:firstLine="480" w:firstLineChars="200"/>
              <w:rPr>
                <w:rFonts w:hint="eastAsia" w:ascii="Times New Roman" w:hAnsi="Times New Roman" w:eastAsia="宋体" w:cs="Times New Roman"/>
                <w:color w:val="auto"/>
                <w:spacing w:val="0"/>
                <w:sz w:val="24"/>
                <w:szCs w:val="24"/>
                <w:highlight w:val="none"/>
                <w:lang w:eastAsia="zh-CN"/>
              </w:rPr>
            </w:pPr>
            <w:r>
              <w:rPr>
                <w:rFonts w:hint="eastAsia" w:ascii="Times New Roman" w:hAnsi="Times New Roman" w:eastAsia="宋体" w:cs="Times New Roman"/>
                <w:color w:val="auto"/>
                <w:spacing w:val="0"/>
                <w:sz w:val="24"/>
                <w:szCs w:val="24"/>
                <w:highlight w:val="none"/>
                <w:lang w:eastAsia="zh-CN"/>
              </w:rPr>
              <w:t>①动力蓄电池</w:t>
            </w:r>
          </w:p>
          <w:p w14:paraId="5894381D">
            <w:pPr>
              <w:spacing w:line="360" w:lineRule="auto"/>
              <w:ind w:firstLine="480" w:firstLineChars="200"/>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根据《关于印发《新能源汽车动力蓄电池回收利用管理暂行办法》的通知》（工信部联节（2018）43 号），动力蓄电池是指为新能源汽车动力系统提供能量的蓄电池，由蓄电池包（组）及蓄电池管理系统组成，包括锂离子动力蓄电池、金属氢化物/镍动力蓄电池等，不含铅酸蓄电池。根据前文物料平衡，本次项目废动力蓄电池产生约为340t/a，厂内仅对动力蓄电池进行拆除，不进行深度拆解。</w:t>
            </w:r>
          </w:p>
          <w:p w14:paraId="105E60B7">
            <w:pPr>
              <w:spacing w:line="360" w:lineRule="auto"/>
              <w:ind w:firstLine="480" w:firstLineChars="200"/>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参考《国家危险废物名录》（2021 版）、《报废机动车拆解企业污染控制技术规范》（HJ348-2022），废动力蓄电池不属于危险废物，但根据《报废机动车回收拆解企业技术规范》（GB 22128-2019）要求，废动力蓄电池需要设置专门的贮存场地，建设单位拟将废动力蓄电池用塑料槽装存防渗漏后暂存于动力蓄电池暂存间内，定期交由回收服务网点处理。</w:t>
            </w:r>
          </w:p>
          <w:p w14:paraId="6FDA47BB">
            <w:pPr>
              <w:spacing w:line="360" w:lineRule="auto"/>
              <w:ind w:firstLine="480" w:firstLineChars="200"/>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②不可利用其他材料</w:t>
            </w:r>
          </w:p>
          <w:p w14:paraId="37AD709D">
            <w:pPr>
              <w:spacing w:line="360" w:lineRule="auto"/>
              <w:ind w:firstLine="480" w:firstLineChars="200"/>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报废机动车拆解过程中产生的其他不可利用物主要为引爆后废安全气囊、废皮革、废布料、废海绵、碎玻璃等，无回收利用价值，根据前文物料平衡，不可利用其他材料产生量约为857.08t/a，在厂区一般固废暂存区分区暂存后，交由环卫部门统一清运处置。</w:t>
            </w:r>
          </w:p>
          <w:p w14:paraId="3814C396">
            <w:pPr>
              <w:spacing w:line="360" w:lineRule="auto"/>
              <w:ind w:firstLine="480" w:firstLineChars="200"/>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③废燃料罐</w:t>
            </w:r>
          </w:p>
          <w:p w14:paraId="5340672E">
            <w:pPr>
              <w:spacing w:line="360" w:lineRule="auto"/>
              <w:ind w:firstLine="480" w:firstLineChars="200"/>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项目部分废旧机动车涉及液化气使用，拆解产生废液化气燃料罐，</w:t>
            </w:r>
            <w:r>
              <w:rPr>
                <w:rFonts w:hint="default" w:ascii="Times New Roman" w:hAnsi="Times New Roman" w:eastAsia="宋体" w:cs="Times New Roman"/>
                <w:color w:val="auto"/>
                <w:spacing w:val="0"/>
                <w:sz w:val="24"/>
                <w:szCs w:val="24"/>
                <w:highlight w:val="none"/>
                <w:lang w:val="en-US" w:eastAsia="zh-CN"/>
              </w:rPr>
              <w:t>根据前文物料平衡，</w:t>
            </w:r>
            <w:r>
              <w:rPr>
                <w:rFonts w:hint="eastAsia" w:ascii="Times New Roman" w:hAnsi="Times New Roman" w:eastAsia="宋体" w:cs="Times New Roman"/>
                <w:color w:val="auto"/>
                <w:spacing w:val="0"/>
                <w:sz w:val="24"/>
                <w:szCs w:val="24"/>
                <w:highlight w:val="none"/>
                <w:lang w:val="en-US" w:eastAsia="zh-CN"/>
              </w:rPr>
              <w:t>项目</w:t>
            </w:r>
            <w:r>
              <w:rPr>
                <w:rFonts w:hint="default" w:ascii="Times New Roman" w:hAnsi="Times New Roman" w:eastAsia="宋体" w:cs="Times New Roman"/>
                <w:color w:val="auto"/>
                <w:spacing w:val="0"/>
                <w:sz w:val="24"/>
                <w:szCs w:val="24"/>
                <w:highlight w:val="none"/>
                <w:lang w:val="en-US" w:eastAsia="zh-CN"/>
              </w:rPr>
              <w:t>废</w:t>
            </w:r>
            <w:r>
              <w:rPr>
                <w:rFonts w:hint="eastAsia" w:ascii="Times New Roman" w:hAnsi="Times New Roman" w:eastAsia="宋体" w:cs="Times New Roman"/>
                <w:color w:val="auto"/>
                <w:spacing w:val="0"/>
                <w:sz w:val="24"/>
                <w:szCs w:val="24"/>
                <w:highlight w:val="none"/>
                <w:lang w:val="en-US" w:eastAsia="zh-CN"/>
              </w:rPr>
              <w:t>燃料罐产生量约为9t/a，根据《报废机动车拆解企业污染控制技术规范》（HJ348-2022），废燃料液化气罐不属于危险废物，经收集后在厂区一般固废暂存区分区暂存，交由具有相应资质的单位利用和处置。</w:t>
            </w:r>
          </w:p>
          <w:p w14:paraId="6100A768">
            <w:pPr>
              <w:spacing w:line="360" w:lineRule="auto"/>
              <w:ind w:firstLine="480" w:firstLineChars="200"/>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④布袋收集尘及地面清扫尘</w:t>
            </w:r>
          </w:p>
          <w:p w14:paraId="3566EAC4">
            <w:pPr>
              <w:spacing w:line="360" w:lineRule="auto"/>
              <w:ind w:firstLine="480" w:firstLineChars="200"/>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项目切割等产尘点配套移动布袋除尘器处理，将产生收集尘，未被布袋捕集的切割、剪切、打包等粉尘降尘在车间地面，被定期清扫收集，根据前文污染源强分析，移动布袋除尘器收集尘及地面清扫降尘的产生总量约为0.2502t/a，在厂区一般固废暂存区分区暂存后，委托合规处置单位回收处置。</w:t>
            </w:r>
          </w:p>
          <w:p w14:paraId="7ECA824F">
            <w:pPr>
              <w:spacing w:line="360" w:lineRule="auto"/>
              <w:ind w:firstLine="480" w:firstLineChars="200"/>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⑤水处理废过滤材料</w:t>
            </w:r>
          </w:p>
          <w:p w14:paraId="6EFC3735">
            <w:pPr>
              <w:spacing w:line="360" w:lineRule="auto"/>
              <w:ind w:firstLine="480" w:firstLineChars="200"/>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项目对经油水分离、混凝沉淀处理后的废水采用石英砂、活性炭双层过滤进一步处理，根据建设单位提供设计资料和类比分析，项目年需更换下约10t/a废过滤材料（废石英砂、废活性炭），经收集后在一般固废暂存间内暂存，委托合规处置单位回收处置。</w:t>
            </w:r>
          </w:p>
          <w:p w14:paraId="2F093618">
            <w:pPr>
              <w:spacing w:line="360" w:lineRule="auto"/>
              <w:ind w:firstLine="482" w:firstLineChars="200"/>
              <w:rPr>
                <w:rFonts w:hint="default" w:ascii="Times New Roman" w:hAnsi="Times New Roman" w:eastAsia="宋体" w:cs="Times New Roman"/>
                <w:b/>
                <w:bCs/>
                <w:color w:val="auto"/>
                <w:spacing w:val="0"/>
                <w:sz w:val="24"/>
                <w:szCs w:val="24"/>
                <w:highlight w:val="none"/>
                <w:lang w:eastAsia="zh-CN"/>
              </w:rPr>
            </w:pPr>
            <w:r>
              <w:rPr>
                <w:rFonts w:hint="eastAsia" w:ascii="Times New Roman" w:hAnsi="Times New Roman" w:eastAsia="宋体" w:cs="Times New Roman"/>
                <w:b/>
                <w:bCs/>
                <w:color w:val="auto"/>
                <w:spacing w:val="0"/>
                <w:sz w:val="24"/>
                <w:szCs w:val="24"/>
                <w:highlight w:val="none"/>
                <w:lang w:eastAsia="zh-CN"/>
              </w:rPr>
              <w:t>（</w:t>
            </w:r>
            <w:r>
              <w:rPr>
                <w:rFonts w:hint="eastAsia" w:ascii="Times New Roman" w:hAnsi="Times New Roman" w:eastAsia="宋体" w:cs="Times New Roman"/>
                <w:b/>
                <w:bCs/>
                <w:color w:val="auto"/>
                <w:spacing w:val="0"/>
                <w:sz w:val="24"/>
                <w:szCs w:val="24"/>
                <w:highlight w:val="none"/>
                <w:lang w:val="en-US" w:eastAsia="zh-CN"/>
              </w:rPr>
              <w:t>2</w:t>
            </w:r>
            <w:r>
              <w:rPr>
                <w:rFonts w:hint="eastAsia" w:ascii="Times New Roman" w:hAnsi="Times New Roman" w:eastAsia="宋体" w:cs="Times New Roman"/>
                <w:b/>
                <w:bCs/>
                <w:color w:val="auto"/>
                <w:spacing w:val="0"/>
                <w:sz w:val="24"/>
                <w:szCs w:val="24"/>
                <w:highlight w:val="none"/>
                <w:lang w:eastAsia="zh-CN"/>
              </w:rPr>
              <w:t>）</w:t>
            </w:r>
            <w:r>
              <w:rPr>
                <w:rFonts w:hint="default" w:ascii="Times New Roman" w:hAnsi="Times New Roman" w:eastAsia="宋体" w:cs="Times New Roman"/>
                <w:b/>
                <w:bCs/>
                <w:color w:val="auto"/>
                <w:spacing w:val="0"/>
                <w:sz w:val="24"/>
                <w:szCs w:val="24"/>
                <w:highlight w:val="none"/>
                <w:lang w:eastAsia="zh-CN"/>
              </w:rPr>
              <w:t>危险废物</w:t>
            </w:r>
          </w:p>
          <w:p w14:paraId="1156D45F">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①废铅酸蓄电池</w:t>
            </w:r>
          </w:p>
          <w:p w14:paraId="3DACA5AE">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铅酸蓄电池中含有铅、硫酸，厂内仅对铅酸蓄电池进行拆除，不进行深度拆解，因此铅酸蓄电池内废铅板、废铅膏、酸液等均随废铅酸蓄电池一并委托处置，不单独产生。参照《国家危险废物名录（202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年版）》，废铅酸蓄电池属于危险废物，危废类别为“HW31 含铅废物”，危废代码为“900-052-31：废铅蓄电池及废铅蓄电池拆解过程中产生的废铅板、废铅膏和酸液类”。根据前文的物料平衡可知，</w:t>
            </w:r>
            <w:r>
              <w:rPr>
                <w:rFonts w:hint="eastAsia" w:ascii="Times New Roman" w:hAnsi="Times New Roman" w:eastAsia="宋体" w:cs="Times New Roman"/>
                <w:color w:val="auto"/>
                <w:spacing w:val="0"/>
                <w:sz w:val="24"/>
                <w:szCs w:val="24"/>
                <w:highlight w:val="none"/>
                <w:lang w:eastAsia="zh-CN"/>
              </w:rPr>
              <w:t>本项目废铅酸蓄电池产生量约为</w:t>
            </w:r>
            <w:r>
              <w:rPr>
                <w:rFonts w:hint="eastAsia" w:ascii="Times New Roman" w:hAnsi="Times New Roman" w:eastAsia="宋体" w:cs="Times New Roman"/>
                <w:color w:val="auto"/>
                <w:spacing w:val="0"/>
                <w:sz w:val="24"/>
                <w:szCs w:val="24"/>
                <w:highlight w:val="none"/>
                <w:lang w:val="en-US" w:eastAsia="zh-CN"/>
              </w:rPr>
              <w:t>412t/a</w:t>
            </w:r>
            <w:r>
              <w:rPr>
                <w:rFonts w:hint="default" w:ascii="Times New Roman" w:hAnsi="Times New Roman" w:eastAsia="宋体" w:cs="Times New Roman"/>
                <w:color w:val="auto"/>
                <w:spacing w:val="0"/>
                <w:sz w:val="24"/>
                <w:szCs w:val="24"/>
                <w:highlight w:val="none"/>
                <w:lang w:eastAsia="zh-CN"/>
              </w:rPr>
              <w:t>，经收集后置于耐酸塑料槽中，</w:t>
            </w:r>
            <w:r>
              <w:rPr>
                <w:rFonts w:hint="eastAsia" w:ascii="Times New Roman" w:hAnsi="Times New Roman" w:eastAsia="宋体" w:cs="Times New Roman"/>
                <w:color w:val="auto"/>
                <w:spacing w:val="0"/>
                <w:sz w:val="24"/>
                <w:szCs w:val="24"/>
                <w:highlight w:val="none"/>
                <w:lang w:eastAsia="zh-CN"/>
              </w:rPr>
              <w:t>在</w:t>
            </w:r>
            <w:r>
              <w:rPr>
                <w:rFonts w:hint="default" w:ascii="Times New Roman" w:hAnsi="Times New Roman" w:eastAsia="宋体" w:cs="Times New Roman"/>
                <w:color w:val="auto"/>
                <w:spacing w:val="0"/>
                <w:sz w:val="24"/>
                <w:szCs w:val="24"/>
                <w:highlight w:val="none"/>
                <w:lang w:eastAsia="zh-CN"/>
              </w:rPr>
              <w:t>危险废物暂存间内</w:t>
            </w:r>
            <w:r>
              <w:rPr>
                <w:rFonts w:hint="eastAsia" w:ascii="Times New Roman" w:hAnsi="Times New Roman" w:eastAsia="宋体" w:cs="Times New Roman"/>
                <w:color w:val="auto"/>
                <w:spacing w:val="0"/>
                <w:sz w:val="24"/>
                <w:szCs w:val="24"/>
                <w:highlight w:val="none"/>
                <w:lang w:eastAsia="zh-CN"/>
              </w:rPr>
              <w:t>分区暂存</w:t>
            </w:r>
            <w:r>
              <w:rPr>
                <w:rFonts w:hint="default" w:ascii="Times New Roman" w:hAnsi="Times New Roman" w:eastAsia="宋体" w:cs="Times New Roman"/>
                <w:color w:val="auto"/>
                <w:spacing w:val="0"/>
                <w:sz w:val="24"/>
                <w:szCs w:val="24"/>
                <w:highlight w:val="none"/>
                <w:lang w:eastAsia="zh-CN"/>
              </w:rPr>
              <w:t>中，定期委托有资质单位清运处置。</w:t>
            </w:r>
          </w:p>
          <w:p w14:paraId="66C0CCBC">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②</w:t>
            </w:r>
            <w:r>
              <w:rPr>
                <w:rFonts w:hint="eastAsia" w:ascii="Times New Roman" w:hAnsi="Times New Roman" w:eastAsia="宋体" w:cs="Times New Roman"/>
                <w:color w:val="auto"/>
                <w:spacing w:val="0"/>
                <w:sz w:val="24"/>
                <w:szCs w:val="24"/>
                <w:highlight w:val="none"/>
                <w:lang w:eastAsia="zh-CN"/>
              </w:rPr>
              <w:t>废油液（</w:t>
            </w:r>
            <w:r>
              <w:rPr>
                <w:rFonts w:hint="eastAsia" w:ascii="Times New Roman" w:hAnsi="Times New Roman" w:eastAsia="宋体" w:cs="Times New Roman"/>
                <w:color w:val="auto"/>
                <w:spacing w:val="0"/>
                <w:sz w:val="24"/>
                <w:szCs w:val="24"/>
                <w:highlight w:val="none"/>
                <w:lang w:val="en-US" w:eastAsia="zh-CN"/>
              </w:rPr>
              <w:t>机动车拆解</w:t>
            </w:r>
            <w:r>
              <w:rPr>
                <w:rFonts w:hint="eastAsia" w:ascii="Times New Roman" w:hAnsi="Times New Roman" w:eastAsia="宋体" w:cs="Times New Roman"/>
                <w:color w:val="auto"/>
                <w:spacing w:val="0"/>
                <w:sz w:val="24"/>
                <w:szCs w:val="24"/>
                <w:highlight w:val="none"/>
                <w:lang w:eastAsia="zh-CN"/>
              </w:rPr>
              <w:t>）</w:t>
            </w:r>
          </w:p>
          <w:p w14:paraId="0A6E0CC2">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eastAsia" w:ascii="Times New Roman" w:hAnsi="Times New Roman" w:eastAsia="宋体" w:cs="Times New Roman"/>
                <w:color w:val="auto"/>
                <w:spacing w:val="0"/>
                <w:sz w:val="24"/>
                <w:szCs w:val="24"/>
                <w:highlight w:val="none"/>
                <w:lang w:eastAsia="zh-CN"/>
              </w:rPr>
              <w:t>机动车</w:t>
            </w:r>
            <w:r>
              <w:rPr>
                <w:rFonts w:hint="default" w:ascii="Times New Roman" w:hAnsi="Times New Roman" w:eastAsia="宋体" w:cs="Times New Roman"/>
                <w:color w:val="auto"/>
                <w:spacing w:val="0"/>
                <w:sz w:val="24"/>
                <w:szCs w:val="24"/>
                <w:highlight w:val="none"/>
                <w:lang w:eastAsia="zh-CN"/>
              </w:rPr>
              <w:t>废油液主要包括油箱残存的汽油、柴油，以及各部件抽取出的机油、润滑剂、液压油、制动液、防冻剂等，主要产生于发动机、气缸等部位，参照《国家危险废物名录（202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年版）》，废油液属于危险废物，危废类别为“HW08废矿物油与含矿物油废物”，危废代码为“900-199-08 内燃机、汽车、轮船等集中拆解过程中产生的废矿物油及油泥”。根据前文物料平衡</w:t>
            </w:r>
            <w:r>
              <w:rPr>
                <w:rFonts w:hint="eastAsia" w:ascii="Times New Roman" w:hAnsi="Times New Roman" w:eastAsia="宋体" w:cs="Times New Roman"/>
                <w:color w:val="auto"/>
                <w:spacing w:val="0"/>
                <w:sz w:val="24"/>
                <w:szCs w:val="24"/>
                <w:highlight w:val="none"/>
                <w:lang w:eastAsia="zh-CN"/>
              </w:rPr>
              <w:t>，本项目机动车</w:t>
            </w:r>
            <w:r>
              <w:rPr>
                <w:rFonts w:hint="default" w:ascii="Times New Roman" w:hAnsi="Times New Roman" w:eastAsia="宋体" w:cs="Times New Roman"/>
                <w:color w:val="auto"/>
                <w:spacing w:val="0"/>
                <w:sz w:val="24"/>
                <w:szCs w:val="24"/>
                <w:highlight w:val="none"/>
                <w:lang w:eastAsia="zh-CN"/>
              </w:rPr>
              <w:t>废油液产生量约为</w:t>
            </w:r>
            <w:r>
              <w:rPr>
                <w:rFonts w:hint="eastAsia" w:ascii="Times New Roman" w:hAnsi="Times New Roman" w:eastAsia="宋体" w:cs="Times New Roman"/>
                <w:color w:val="auto"/>
                <w:spacing w:val="0"/>
                <w:sz w:val="24"/>
                <w:szCs w:val="24"/>
                <w:highlight w:val="none"/>
                <w:lang w:val="en-US" w:eastAsia="zh-CN"/>
              </w:rPr>
              <w:t>157.046t/a，</w:t>
            </w:r>
            <w:r>
              <w:rPr>
                <w:rFonts w:hint="default" w:ascii="Times New Roman" w:hAnsi="Times New Roman" w:eastAsia="宋体" w:cs="Times New Roman"/>
                <w:color w:val="auto"/>
                <w:spacing w:val="0"/>
                <w:sz w:val="24"/>
                <w:szCs w:val="24"/>
                <w:highlight w:val="none"/>
                <w:lang w:eastAsia="zh-CN"/>
              </w:rPr>
              <w:t>经收集后置于密闭专用容器中，分区暂存于危险废物暂存间内，委托有资质的单位清运处置。</w:t>
            </w:r>
          </w:p>
          <w:p w14:paraId="60727BB3">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③</w:t>
            </w:r>
            <w:r>
              <w:rPr>
                <w:rFonts w:hint="eastAsia" w:ascii="Times New Roman" w:hAnsi="Times New Roman" w:eastAsia="宋体" w:cs="Times New Roman"/>
                <w:color w:val="auto"/>
                <w:spacing w:val="0"/>
                <w:sz w:val="24"/>
                <w:szCs w:val="24"/>
                <w:highlight w:val="none"/>
                <w:lang w:eastAsia="zh-CN"/>
              </w:rPr>
              <w:t>废制冷剂</w:t>
            </w:r>
          </w:p>
          <w:p w14:paraId="27415BF4">
            <w:pPr>
              <w:spacing w:line="360" w:lineRule="auto"/>
              <w:ind w:firstLine="480" w:firstLineChars="200"/>
              <w:rPr>
                <w:rFonts w:hint="eastAsia"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eastAsia="zh-CN"/>
              </w:rPr>
              <w:t>废制冷剂中含有氟利昂，其中 R22、R32、R133a等属于《危险化学品名录（2018 版）》中所列危险化学品</w:t>
            </w:r>
            <w:r>
              <w:rPr>
                <w:rFonts w:hint="eastAsia"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eastAsia="zh-CN"/>
              </w:rPr>
              <w:t>参考《国家危险废物名录（202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年版）》，废制冷剂可判定属“淘汰、伪劣、过期失效的危险化学品”，废物类别为“HW49其他废物”，废物代码为“900-999-49 ：被所有者申报废弃的，或未申报废弃但被非法排放、倾倒、利用、处置的，以及有关部门依法收缴或接收且需要销毁的列入《危险化学品目录》的危险化学品（不含该目录中仅具有“加压气体”物理危险性的危险化学品</w:t>
            </w:r>
            <w:r>
              <w:rPr>
                <w:rFonts w:hint="eastAsia"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eastAsia="zh-CN"/>
              </w:rPr>
              <w:t>”。根据前文物料平衡，</w:t>
            </w:r>
            <w:r>
              <w:rPr>
                <w:rFonts w:hint="eastAsia" w:ascii="Times New Roman" w:hAnsi="Times New Roman" w:eastAsia="宋体" w:cs="Times New Roman"/>
                <w:color w:val="auto"/>
                <w:spacing w:val="0"/>
                <w:sz w:val="24"/>
                <w:szCs w:val="24"/>
                <w:highlight w:val="none"/>
                <w:lang w:eastAsia="zh-CN"/>
              </w:rPr>
              <w:t>项目废制冷剂产生量约为</w:t>
            </w:r>
            <w:r>
              <w:rPr>
                <w:rFonts w:hint="eastAsia" w:ascii="Times New Roman" w:hAnsi="Times New Roman" w:eastAsia="宋体" w:cs="Times New Roman"/>
                <w:color w:val="auto"/>
                <w:spacing w:val="0"/>
                <w:sz w:val="24"/>
                <w:szCs w:val="24"/>
                <w:highlight w:val="none"/>
                <w:lang w:val="en-US" w:eastAsia="zh-CN"/>
              </w:rPr>
              <w:t>10.486t/a，经收集后置于密闭专用容器中，分区暂存于危险废物暂存间内，委托有资质的单位处理处置。</w:t>
            </w:r>
          </w:p>
          <w:p w14:paraId="414F822C">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④</w:t>
            </w:r>
            <w:r>
              <w:rPr>
                <w:rFonts w:hint="eastAsia" w:ascii="Times New Roman" w:hAnsi="Times New Roman" w:eastAsia="宋体" w:cs="Times New Roman"/>
                <w:color w:val="auto"/>
                <w:spacing w:val="0"/>
                <w:sz w:val="24"/>
                <w:szCs w:val="24"/>
                <w:highlight w:val="none"/>
                <w:lang w:eastAsia="zh-CN"/>
              </w:rPr>
              <w:t>废尾气净化装置及催化剂</w:t>
            </w:r>
          </w:p>
          <w:p w14:paraId="00C153D0">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尾气催化转化器中催化剂含铂、钯、铑、镍等，厂内不对废尾气净化装置进行深度拆解，废催化剂随废尾气净化装置一并委托处置。参考《国家危险废物名录（202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年版）》，废尾气净化装置及催化剂属于危险废物，危废类别为“HW50废催化剂”，危废代码为“900-049-50 机动车和非道路移动机械尾气净化废催化剂”。根据前文的物料平衡可知，废尾气净化装置及催化剂产生量为</w:t>
            </w:r>
            <w:r>
              <w:rPr>
                <w:rFonts w:hint="eastAsia" w:ascii="Times New Roman" w:hAnsi="Times New Roman" w:eastAsia="宋体" w:cs="Times New Roman"/>
                <w:color w:val="auto"/>
                <w:spacing w:val="0"/>
                <w:sz w:val="24"/>
                <w:szCs w:val="24"/>
                <w:highlight w:val="none"/>
                <w:lang w:val="en-US" w:eastAsia="zh-CN"/>
              </w:rPr>
              <w:t>3.9</w:t>
            </w:r>
            <w:r>
              <w:rPr>
                <w:rFonts w:hint="default" w:ascii="Times New Roman" w:hAnsi="Times New Roman" w:eastAsia="宋体" w:cs="Times New Roman"/>
                <w:color w:val="auto"/>
                <w:spacing w:val="0"/>
                <w:sz w:val="24"/>
                <w:szCs w:val="24"/>
                <w:highlight w:val="none"/>
                <w:lang w:eastAsia="zh-CN"/>
              </w:rPr>
              <w:t>t/a，经收集后置于专用容器中，分区暂存于危险废物暂存间内，定期委托有资质单位清运处置</w:t>
            </w:r>
          </w:p>
          <w:p w14:paraId="4457C278">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⑤废滤清器</w:t>
            </w:r>
          </w:p>
          <w:p w14:paraId="3DBAEF80">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滤清器为机油、燃油的过滤系统，因此报废机动车拆解下的废滤清器沾染机油中的有害杂质，参考《国家危险废物名录（202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年版）》，废滤清器属于危险废物，危废类别为“HW49 其他废物”，危废代码为“900-041-49：含有或沾染毒性、感染性危险废物的废弃包装物、容器、过滤吸附介质”。根据前文物料平衡，</w:t>
            </w:r>
            <w:r>
              <w:rPr>
                <w:rFonts w:hint="eastAsia" w:ascii="Times New Roman" w:hAnsi="Times New Roman" w:eastAsia="宋体" w:cs="Times New Roman"/>
                <w:color w:val="auto"/>
                <w:spacing w:val="0"/>
                <w:sz w:val="24"/>
                <w:szCs w:val="24"/>
                <w:highlight w:val="none"/>
                <w:lang w:eastAsia="zh-CN"/>
              </w:rPr>
              <w:t>项目</w:t>
            </w:r>
            <w:r>
              <w:rPr>
                <w:rFonts w:hint="default" w:ascii="Times New Roman" w:hAnsi="Times New Roman" w:eastAsia="宋体" w:cs="Times New Roman"/>
                <w:color w:val="auto"/>
                <w:spacing w:val="0"/>
                <w:sz w:val="24"/>
                <w:szCs w:val="24"/>
                <w:highlight w:val="none"/>
                <w:lang w:eastAsia="zh-CN"/>
              </w:rPr>
              <w:t>废滤清器产生量为</w:t>
            </w:r>
            <w:r>
              <w:rPr>
                <w:rFonts w:hint="eastAsia" w:ascii="Times New Roman" w:hAnsi="Times New Roman" w:eastAsia="宋体" w:cs="Times New Roman"/>
                <w:color w:val="auto"/>
                <w:spacing w:val="0"/>
                <w:sz w:val="24"/>
                <w:szCs w:val="24"/>
                <w:highlight w:val="none"/>
                <w:lang w:val="en-US" w:eastAsia="zh-CN"/>
              </w:rPr>
              <w:t>32</w:t>
            </w:r>
            <w:r>
              <w:rPr>
                <w:rFonts w:hint="default" w:ascii="Times New Roman" w:hAnsi="Times New Roman" w:eastAsia="宋体" w:cs="Times New Roman"/>
                <w:color w:val="auto"/>
                <w:spacing w:val="0"/>
                <w:sz w:val="24"/>
                <w:szCs w:val="24"/>
                <w:highlight w:val="none"/>
                <w:lang w:eastAsia="zh-CN"/>
              </w:rPr>
              <w:t>t/a，经收集后置于密闭专用容器中，分区暂存于危废暂存间内，定期委托有资质单位清运处置。</w:t>
            </w:r>
          </w:p>
          <w:p w14:paraId="348EEAB6">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⑥</w:t>
            </w:r>
            <w:r>
              <w:rPr>
                <w:rFonts w:hint="eastAsia" w:ascii="Times New Roman" w:hAnsi="Times New Roman" w:eastAsia="宋体" w:cs="Times New Roman"/>
                <w:color w:val="auto"/>
                <w:spacing w:val="0"/>
                <w:sz w:val="24"/>
                <w:szCs w:val="24"/>
                <w:highlight w:val="none"/>
                <w:lang w:eastAsia="zh-CN"/>
              </w:rPr>
              <w:t>废电容（</w:t>
            </w:r>
            <w:r>
              <w:rPr>
                <w:rFonts w:hint="eastAsia" w:ascii="Times New Roman" w:hAnsi="Times New Roman" w:eastAsia="宋体" w:cs="Times New Roman"/>
                <w:color w:val="auto"/>
                <w:spacing w:val="0"/>
                <w:sz w:val="24"/>
                <w:szCs w:val="24"/>
                <w:highlight w:val="none"/>
                <w:lang w:val="en-US" w:eastAsia="zh-CN"/>
              </w:rPr>
              <w:t>含多氯联苯</w:t>
            </w:r>
            <w:r>
              <w:rPr>
                <w:rFonts w:hint="eastAsia" w:ascii="Times New Roman" w:hAnsi="Times New Roman" w:eastAsia="宋体" w:cs="Times New Roman"/>
                <w:color w:val="auto"/>
                <w:spacing w:val="0"/>
                <w:sz w:val="24"/>
                <w:szCs w:val="24"/>
                <w:highlight w:val="none"/>
                <w:lang w:eastAsia="zh-CN"/>
              </w:rPr>
              <w:t>）</w:t>
            </w:r>
          </w:p>
          <w:p w14:paraId="72BBB07B">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eastAsia" w:ascii="Times New Roman" w:hAnsi="Times New Roman" w:eastAsia="宋体" w:cs="Times New Roman"/>
                <w:color w:val="auto"/>
                <w:spacing w:val="0"/>
                <w:sz w:val="24"/>
                <w:szCs w:val="24"/>
                <w:highlight w:val="none"/>
                <w:lang w:eastAsia="zh-CN"/>
              </w:rPr>
              <w:t>项目在对报废机动车拆解时将产生一定量含多氯联苯的电容器，参考《国家危险废物名录（202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eastAsia" w:ascii="Times New Roman" w:hAnsi="Times New Roman" w:eastAsia="宋体" w:cs="Times New Roman"/>
                <w:color w:val="auto"/>
                <w:spacing w:val="0"/>
                <w:sz w:val="24"/>
                <w:szCs w:val="24"/>
                <w:highlight w:val="none"/>
                <w:lang w:eastAsia="zh-CN"/>
              </w:rPr>
              <w:t>年版）》，废电容器属于</w:t>
            </w:r>
            <w:r>
              <w:rPr>
                <w:rFonts w:hint="eastAsia" w:ascii="Times New Roman" w:hAnsi="Times New Roman" w:eastAsia="宋体" w:cs="Times New Roman"/>
                <w:color w:val="auto"/>
                <w:spacing w:val="0"/>
                <w:sz w:val="24"/>
                <w:szCs w:val="24"/>
                <w:highlight w:val="none"/>
                <w:lang w:val="en-US" w:eastAsia="zh-CN"/>
              </w:rPr>
              <w:t>危险</w:t>
            </w:r>
            <w:r>
              <w:rPr>
                <w:rFonts w:hint="eastAsia" w:ascii="Times New Roman" w:hAnsi="Times New Roman" w:eastAsia="宋体" w:cs="Times New Roman"/>
                <w:color w:val="auto"/>
                <w:spacing w:val="0"/>
                <w:sz w:val="24"/>
                <w:szCs w:val="24"/>
                <w:highlight w:val="none"/>
                <w:lang w:eastAsia="zh-CN"/>
              </w:rPr>
              <w:t>废物，危废类别为“HW10多氯（溴）联苯类废物”，危废代码为“900-008-10：含多氯联苯（PCBs）、多氯三联苯（PCTs）、多溴联苯（PBBs）的</w:t>
            </w:r>
            <w:r>
              <w:rPr>
                <w:rFonts w:hint="eastAsia" w:ascii="Times New Roman" w:hAnsi="Times New Roman" w:eastAsia="宋体" w:cs="Times New Roman"/>
                <w:color w:val="auto"/>
                <w:spacing w:val="0"/>
                <w:sz w:val="24"/>
                <w:szCs w:val="24"/>
                <w:highlight w:val="none"/>
                <w:lang w:val="en-US" w:eastAsia="zh-CN"/>
              </w:rPr>
              <w:t>废弃的</w:t>
            </w:r>
            <w:r>
              <w:rPr>
                <w:rFonts w:hint="eastAsia" w:ascii="Times New Roman" w:hAnsi="Times New Roman" w:eastAsia="宋体" w:cs="Times New Roman"/>
                <w:color w:val="auto"/>
                <w:spacing w:val="0"/>
                <w:sz w:val="24"/>
                <w:szCs w:val="24"/>
                <w:highlight w:val="none"/>
                <w:lang w:eastAsia="zh-CN"/>
              </w:rPr>
              <w:t>电容器、变压器”。根据前文的物料平衡，废电容器（含多氯联苯）产生量约为</w:t>
            </w:r>
            <w:r>
              <w:rPr>
                <w:rFonts w:hint="eastAsia" w:ascii="Times New Roman" w:hAnsi="Times New Roman" w:eastAsia="宋体" w:cs="Times New Roman"/>
                <w:color w:val="auto"/>
                <w:spacing w:val="0"/>
                <w:sz w:val="24"/>
                <w:szCs w:val="24"/>
                <w:highlight w:val="none"/>
                <w:lang w:val="en-US" w:eastAsia="zh-CN"/>
              </w:rPr>
              <w:t>4.74</w:t>
            </w:r>
            <w:r>
              <w:rPr>
                <w:rFonts w:hint="eastAsia" w:ascii="Times New Roman" w:hAnsi="Times New Roman" w:eastAsia="宋体" w:cs="Times New Roman"/>
                <w:color w:val="auto"/>
                <w:spacing w:val="0"/>
                <w:sz w:val="24"/>
                <w:szCs w:val="24"/>
                <w:highlight w:val="none"/>
                <w:lang w:eastAsia="zh-CN"/>
              </w:rPr>
              <w:t>t/a，经收集后置于专用容器中，分区暂存于危险废物暂存间内，定期委托有资质单位外运处置。</w:t>
            </w:r>
          </w:p>
          <w:p w14:paraId="38F7BDF8">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⑦含汞部件</w:t>
            </w:r>
          </w:p>
          <w:p w14:paraId="5BE4DE20">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报废机动车拆解下的含汞部件主要为温控器、传感器、开关等，参考《国家危险废物名录（202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年版）》，含汞部件属于危险废物，危废类别“</w:t>
            </w:r>
            <w:r>
              <w:rPr>
                <w:rFonts w:hint="eastAsia" w:ascii="Times New Roman" w:hAnsi="Times New Roman" w:eastAsia="宋体" w:cs="Times New Roman"/>
                <w:color w:val="auto"/>
                <w:spacing w:val="0"/>
                <w:sz w:val="24"/>
                <w:szCs w:val="24"/>
                <w:highlight w:val="none"/>
                <w:lang w:val="en-US" w:eastAsia="zh-CN"/>
              </w:rPr>
              <w:t>HW29含汞废物</w:t>
            </w:r>
            <w:r>
              <w:rPr>
                <w:rFonts w:hint="default" w:ascii="Times New Roman" w:hAnsi="Times New Roman" w:eastAsia="宋体" w:cs="Times New Roman"/>
                <w:color w:val="auto"/>
                <w:spacing w:val="0"/>
                <w:sz w:val="24"/>
                <w:szCs w:val="24"/>
                <w:highlight w:val="none"/>
                <w:lang w:eastAsia="zh-CN"/>
              </w:rPr>
              <w:t>”，危废代码为“</w:t>
            </w:r>
            <w:r>
              <w:rPr>
                <w:rFonts w:hint="eastAsia" w:ascii="Times New Roman" w:hAnsi="Times New Roman" w:eastAsia="宋体" w:cs="Times New Roman"/>
                <w:color w:val="auto"/>
                <w:spacing w:val="0"/>
                <w:sz w:val="24"/>
                <w:szCs w:val="24"/>
                <w:highlight w:val="none"/>
                <w:lang w:val="en-US" w:eastAsia="zh-CN"/>
              </w:rPr>
              <w:t>900-024-29</w:t>
            </w:r>
            <w:r>
              <w:rPr>
                <w:rFonts w:hint="default" w:ascii="Times New Roman" w:hAnsi="Times New Roman" w:eastAsia="宋体" w:cs="Times New Roman"/>
                <w:color w:val="auto"/>
                <w:spacing w:val="0"/>
                <w:sz w:val="24"/>
                <w:szCs w:val="24"/>
                <w:highlight w:val="none"/>
                <w:lang w:eastAsia="zh-CN"/>
              </w:rPr>
              <w:t>：生产、销售及使用过程中产生的废含汞温度计、废含汞血压计、废含汞真空表、废含汞压力计、废氧化汞电池和废汞开关</w:t>
            </w:r>
            <w:r>
              <w:rPr>
                <w:rFonts w:hint="eastAsia" w:ascii="Times New Roman" w:hAnsi="Times New Roman" w:eastAsia="宋体" w:cs="Times New Roman"/>
                <w:color w:val="auto"/>
                <w:spacing w:val="0"/>
                <w:sz w:val="24"/>
                <w:szCs w:val="24"/>
                <w:highlight w:val="none"/>
                <w:lang w:eastAsia="zh-CN"/>
              </w:rPr>
              <w:t>，以及《关于汞的水俣公约》管控的其他废含汞非电子测量仪器</w:t>
            </w:r>
            <w:r>
              <w:rPr>
                <w:rFonts w:hint="default" w:ascii="Times New Roman" w:hAnsi="Times New Roman" w:eastAsia="宋体" w:cs="Times New Roman"/>
                <w:color w:val="auto"/>
                <w:spacing w:val="0"/>
                <w:sz w:val="24"/>
                <w:szCs w:val="24"/>
                <w:highlight w:val="none"/>
                <w:lang w:eastAsia="zh-CN"/>
              </w:rPr>
              <w:t>”。根据前文物料平衡，含汞部件产生量约为</w:t>
            </w:r>
            <w:r>
              <w:rPr>
                <w:rFonts w:hint="eastAsia" w:ascii="Times New Roman" w:hAnsi="Times New Roman" w:eastAsia="宋体" w:cs="Times New Roman"/>
                <w:color w:val="auto"/>
                <w:spacing w:val="0"/>
                <w:sz w:val="24"/>
                <w:szCs w:val="24"/>
                <w:highlight w:val="none"/>
                <w:lang w:val="en-US" w:eastAsia="zh-CN"/>
              </w:rPr>
              <w:t>2.68</w:t>
            </w:r>
            <w:r>
              <w:rPr>
                <w:rFonts w:hint="default" w:ascii="Times New Roman" w:hAnsi="Times New Roman" w:eastAsia="宋体" w:cs="Times New Roman"/>
                <w:color w:val="auto"/>
                <w:spacing w:val="0"/>
                <w:sz w:val="24"/>
                <w:szCs w:val="24"/>
                <w:highlight w:val="none"/>
                <w:lang w:eastAsia="zh-CN"/>
              </w:rPr>
              <w:t>t/a，经收集后置于专用容器中，分区暂存于危险废物暂存间内，定期委托有资质单位外运处置。</w:t>
            </w:r>
          </w:p>
          <w:p w14:paraId="6A095930">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⑧废电路板</w:t>
            </w:r>
          </w:p>
          <w:p w14:paraId="54D62CB7">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废电路板含有铅、树脂、印刷</w:t>
            </w:r>
            <w:r>
              <w:rPr>
                <w:rFonts w:hint="eastAsia" w:ascii="Times New Roman" w:hAnsi="Times New Roman" w:eastAsia="宋体" w:cs="Times New Roman"/>
                <w:color w:val="auto"/>
                <w:spacing w:val="0"/>
                <w:sz w:val="24"/>
                <w:szCs w:val="24"/>
                <w:highlight w:val="none"/>
                <w:lang w:eastAsia="zh-CN"/>
              </w:rPr>
              <w:t>元件</w:t>
            </w:r>
            <w:r>
              <w:rPr>
                <w:rFonts w:hint="default" w:ascii="Times New Roman" w:hAnsi="Times New Roman" w:eastAsia="宋体" w:cs="Times New Roman"/>
                <w:color w:val="auto"/>
                <w:spacing w:val="0"/>
                <w:sz w:val="24"/>
                <w:szCs w:val="24"/>
                <w:highlight w:val="none"/>
                <w:lang w:eastAsia="zh-CN"/>
              </w:rPr>
              <w:t>等，厂内仅对废电路板进行拆除，不进行深度拆解，因此废电路板及</w:t>
            </w:r>
            <w:r>
              <w:rPr>
                <w:rFonts w:hint="eastAsia" w:ascii="Times New Roman" w:hAnsi="Times New Roman" w:eastAsia="宋体" w:cs="Times New Roman"/>
                <w:color w:val="auto"/>
                <w:spacing w:val="0"/>
                <w:sz w:val="24"/>
                <w:szCs w:val="24"/>
                <w:highlight w:val="none"/>
                <w:lang w:eastAsia="zh-CN"/>
              </w:rPr>
              <w:t>其</w:t>
            </w:r>
            <w:r>
              <w:rPr>
                <w:rFonts w:hint="default" w:ascii="Times New Roman" w:hAnsi="Times New Roman" w:eastAsia="宋体" w:cs="Times New Roman"/>
                <w:color w:val="auto"/>
                <w:spacing w:val="0"/>
                <w:sz w:val="24"/>
                <w:szCs w:val="24"/>
                <w:highlight w:val="none"/>
                <w:lang w:eastAsia="zh-CN"/>
              </w:rPr>
              <w:t>电子元器件内CPU、连接件等均随废电路板一并委托处置，不单独产生。参考《国家危险废物名录（202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年）》，废电路板属于危险废物，废物类别为“HW49 其他废物”，危废代码为“900-045-49：废电路板（包括已拆除或未拆除元器件的废弃电路板），及废电路板拆解过程产生的废弃CPU、显卡、声卡、内存、含电解液的电容器、含金等贵金属的连接件”。根据前文的物料平衡可知，</w:t>
            </w:r>
            <w:r>
              <w:rPr>
                <w:rFonts w:hint="eastAsia" w:ascii="Times New Roman" w:hAnsi="Times New Roman" w:eastAsia="宋体" w:cs="Times New Roman"/>
                <w:color w:val="auto"/>
                <w:spacing w:val="0"/>
                <w:sz w:val="24"/>
                <w:szCs w:val="24"/>
                <w:highlight w:val="none"/>
                <w:lang w:eastAsia="zh-CN"/>
              </w:rPr>
              <w:t>非机动车拆解废电路板产生量约为</w:t>
            </w:r>
            <w:r>
              <w:rPr>
                <w:rFonts w:hint="eastAsia" w:ascii="Times New Roman" w:hAnsi="Times New Roman" w:eastAsia="宋体" w:cs="Times New Roman"/>
                <w:color w:val="auto"/>
                <w:spacing w:val="0"/>
                <w:sz w:val="24"/>
                <w:szCs w:val="24"/>
                <w:highlight w:val="none"/>
                <w:lang w:val="en-US" w:eastAsia="zh-CN"/>
              </w:rPr>
              <w:t>10.7t/a，废电机拆解废电路板产生量约为50t/a，总产生量约60.7t/a，</w:t>
            </w:r>
            <w:r>
              <w:rPr>
                <w:rFonts w:hint="default" w:ascii="Times New Roman" w:hAnsi="Times New Roman" w:eastAsia="宋体" w:cs="Times New Roman"/>
                <w:color w:val="auto"/>
                <w:spacing w:val="0"/>
                <w:sz w:val="24"/>
                <w:szCs w:val="24"/>
                <w:highlight w:val="none"/>
                <w:lang w:eastAsia="zh-CN"/>
              </w:rPr>
              <w:t>经收集后置于专用容器中，分区暂存于危险废物暂存间内，定期委托有资质单位清运处置。</w:t>
            </w:r>
          </w:p>
          <w:p w14:paraId="3401371E">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⑨</w:t>
            </w:r>
            <w:r>
              <w:rPr>
                <w:rFonts w:hint="eastAsia" w:ascii="Times New Roman" w:hAnsi="Times New Roman" w:eastAsia="宋体" w:cs="Times New Roman"/>
                <w:color w:val="auto"/>
                <w:spacing w:val="0"/>
                <w:sz w:val="24"/>
                <w:szCs w:val="24"/>
                <w:highlight w:val="none"/>
                <w:lang w:eastAsia="zh-CN"/>
              </w:rPr>
              <w:t>废石棉刹车片</w:t>
            </w:r>
          </w:p>
          <w:p w14:paraId="519FC772">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报废机动车拆除刹车片时将产生一定量的含石棉废刹车片，参考《国家危险废物名录（202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年版）》，废</w:t>
            </w:r>
            <w:r>
              <w:rPr>
                <w:rFonts w:hint="eastAsia" w:ascii="Times New Roman" w:hAnsi="Times New Roman" w:eastAsia="宋体" w:cs="Times New Roman"/>
                <w:color w:val="auto"/>
                <w:spacing w:val="0"/>
                <w:sz w:val="24"/>
                <w:szCs w:val="24"/>
                <w:highlight w:val="none"/>
                <w:lang w:eastAsia="zh-CN"/>
              </w:rPr>
              <w:t>石棉</w:t>
            </w:r>
            <w:r>
              <w:rPr>
                <w:rFonts w:hint="default" w:ascii="Times New Roman" w:hAnsi="Times New Roman" w:eastAsia="宋体" w:cs="Times New Roman"/>
                <w:color w:val="auto"/>
                <w:spacing w:val="0"/>
                <w:sz w:val="24"/>
                <w:szCs w:val="24"/>
                <w:highlight w:val="none"/>
                <w:lang w:eastAsia="zh-CN"/>
              </w:rPr>
              <w:t>刹车片属于危险废物，废物类别为“HW36石棉废物”，危废代码为“900-032-36：含有隔膜、热绝缘体等石棉材料的设施保养拆换及车辆制动器衬片的更换产生的石棉废物”。根据前文物料平衡，</w:t>
            </w:r>
            <w:r>
              <w:rPr>
                <w:rFonts w:hint="eastAsia" w:ascii="Times New Roman" w:hAnsi="Times New Roman" w:eastAsia="宋体" w:cs="Times New Roman"/>
                <w:color w:val="auto"/>
                <w:spacing w:val="0"/>
                <w:sz w:val="24"/>
                <w:szCs w:val="24"/>
                <w:highlight w:val="none"/>
                <w:lang w:eastAsia="zh-CN"/>
              </w:rPr>
              <w:t>项目</w:t>
            </w:r>
            <w:r>
              <w:rPr>
                <w:rFonts w:hint="default" w:ascii="Times New Roman" w:hAnsi="Times New Roman" w:eastAsia="宋体" w:cs="Times New Roman"/>
                <w:color w:val="auto"/>
                <w:spacing w:val="0"/>
                <w:sz w:val="24"/>
                <w:szCs w:val="24"/>
                <w:highlight w:val="none"/>
                <w:lang w:eastAsia="zh-CN"/>
              </w:rPr>
              <w:t>废石棉刹车片产生量约为</w:t>
            </w:r>
            <w:r>
              <w:rPr>
                <w:rFonts w:hint="eastAsia" w:ascii="Times New Roman" w:hAnsi="Times New Roman" w:eastAsia="宋体" w:cs="Times New Roman"/>
                <w:color w:val="auto"/>
                <w:spacing w:val="0"/>
                <w:sz w:val="24"/>
                <w:szCs w:val="24"/>
                <w:highlight w:val="none"/>
                <w:lang w:val="en-US" w:eastAsia="zh-CN"/>
              </w:rPr>
              <w:t>47</w:t>
            </w:r>
            <w:r>
              <w:rPr>
                <w:rFonts w:hint="default" w:ascii="Times New Roman" w:hAnsi="Times New Roman" w:eastAsia="宋体" w:cs="Times New Roman"/>
                <w:color w:val="auto"/>
                <w:spacing w:val="0"/>
                <w:sz w:val="24"/>
                <w:szCs w:val="24"/>
                <w:highlight w:val="none"/>
                <w:lang w:eastAsia="zh-CN"/>
              </w:rPr>
              <w:t>t/a，经收集后置于专用容器中，分区暂存于危险废物暂存间内，定期委托有资质单位外运处置。</w:t>
            </w:r>
          </w:p>
          <w:p w14:paraId="31D3A9C8">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⑩</w:t>
            </w:r>
            <w:r>
              <w:rPr>
                <w:rFonts w:hint="eastAsia" w:ascii="Times New Roman" w:hAnsi="Times New Roman" w:eastAsia="宋体" w:cs="Times New Roman"/>
                <w:color w:val="auto"/>
                <w:spacing w:val="0"/>
                <w:sz w:val="24"/>
                <w:szCs w:val="24"/>
                <w:highlight w:val="none"/>
                <w:lang w:eastAsia="zh-CN"/>
              </w:rPr>
              <w:t>废变压器油</w:t>
            </w:r>
          </w:p>
          <w:p w14:paraId="3ADE62EF">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eastAsia" w:ascii="Times New Roman" w:hAnsi="Times New Roman" w:eastAsia="宋体" w:cs="Times New Roman"/>
                <w:color w:val="auto"/>
                <w:spacing w:val="0"/>
                <w:sz w:val="24"/>
                <w:szCs w:val="24"/>
                <w:highlight w:val="none"/>
                <w:lang w:eastAsia="zh-CN"/>
              </w:rPr>
              <w:t>项目废变压器拆解抽油将产生废变压器油，</w:t>
            </w:r>
            <w:r>
              <w:rPr>
                <w:rFonts w:hint="default" w:ascii="Times New Roman" w:hAnsi="Times New Roman" w:eastAsia="宋体" w:cs="Times New Roman"/>
                <w:color w:val="auto"/>
                <w:spacing w:val="0"/>
                <w:sz w:val="24"/>
                <w:szCs w:val="24"/>
                <w:highlight w:val="none"/>
                <w:lang w:eastAsia="zh-CN"/>
              </w:rPr>
              <w:t>参考《国家危险废物名录（202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年版）》，废</w:t>
            </w:r>
            <w:r>
              <w:rPr>
                <w:rFonts w:hint="eastAsia" w:ascii="Times New Roman" w:hAnsi="Times New Roman" w:eastAsia="宋体" w:cs="Times New Roman"/>
                <w:color w:val="auto"/>
                <w:spacing w:val="0"/>
                <w:sz w:val="24"/>
                <w:szCs w:val="24"/>
                <w:highlight w:val="none"/>
                <w:lang w:eastAsia="zh-CN"/>
              </w:rPr>
              <w:t>变压器油属于危险废物</w:t>
            </w:r>
            <w:r>
              <w:rPr>
                <w:rFonts w:hint="default" w:ascii="Times New Roman" w:hAnsi="Times New Roman" w:eastAsia="宋体" w:cs="Times New Roman"/>
                <w:color w:val="auto"/>
                <w:spacing w:val="0"/>
                <w:sz w:val="24"/>
                <w:szCs w:val="24"/>
                <w:highlight w:val="none"/>
                <w:lang w:eastAsia="zh-CN"/>
              </w:rPr>
              <w:t>，废物类别为</w:t>
            </w:r>
            <w:r>
              <w:rPr>
                <w:rFonts w:hint="eastAsia"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eastAsia="zh-CN"/>
              </w:rPr>
              <w:t>HW</w:t>
            </w:r>
            <w:r>
              <w:rPr>
                <w:rFonts w:hint="eastAsia" w:ascii="Times New Roman" w:hAnsi="Times New Roman" w:eastAsia="宋体" w:cs="Times New Roman"/>
                <w:color w:val="auto"/>
                <w:spacing w:val="0"/>
                <w:sz w:val="24"/>
                <w:szCs w:val="24"/>
                <w:highlight w:val="none"/>
                <w:lang w:val="en-US" w:eastAsia="zh-CN"/>
              </w:rPr>
              <w:t>08废矿物油与含矿物油废物”</w:t>
            </w:r>
            <w:r>
              <w:rPr>
                <w:rFonts w:hint="default" w:ascii="Times New Roman" w:hAnsi="Times New Roman" w:eastAsia="宋体" w:cs="Times New Roman"/>
                <w:color w:val="auto"/>
                <w:spacing w:val="0"/>
                <w:sz w:val="24"/>
                <w:szCs w:val="24"/>
                <w:highlight w:val="none"/>
                <w:lang w:eastAsia="zh-CN"/>
              </w:rPr>
              <w:t>，危废代码为</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900-220-08 变压器维护、更换和拆解过程中产生的废变压器油”</w:t>
            </w:r>
            <w:r>
              <w:rPr>
                <w:rFonts w:hint="default" w:ascii="Times New Roman" w:hAnsi="Times New Roman" w:eastAsia="宋体" w:cs="Times New Roman"/>
                <w:color w:val="auto"/>
                <w:spacing w:val="0"/>
                <w:sz w:val="24"/>
                <w:szCs w:val="24"/>
                <w:highlight w:val="none"/>
                <w:lang w:eastAsia="zh-CN"/>
              </w:rPr>
              <w:t>。根据前文物料平衡，</w:t>
            </w:r>
            <w:r>
              <w:rPr>
                <w:rFonts w:hint="eastAsia" w:ascii="Times New Roman" w:hAnsi="Times New Roman" w:eastAsia="宋体" w:cs="Times New Roman"/>
                <w:color w:val="auto"/>
                <w:spacing w:val="0"/>
                <w:sz w:val="24"/>
                <w:szCs w:val="24"/>
                <w:highlight w:val="none"/>
                <w:lang w:eastAsia="zh-CN"/>
              </w:rPr>
              <w:t>项目废变压器油产生量约为</w:t>
            </w:r>
            <w:r>
              <w:rPr>
                <w:rFonts w:hint="eastAsia" w:ascii="Times New Roman" w:hAnsi="Times New Roman" w:eastAsia="宋体" w:cs="Times New Roman"/>
                <w:color w:val="auto"/>
                <w:spacing w:val="0"/>
                <w:sz w:val="24"/>
                <w:szCs w:val="24"/>
                <w:highlight w:val="none"/>
                <w:lang w:val="en-US" w:eastAsia="zh-CN"/>
              </w:rPr>
              <w:t>929.535t/a</w:t>
            </w:r>
            <w:r>
              <w:rPr>
                <w:rFonts w:hint="default" w:ascii="Times New Roman" w:hAnsi="Times New Roman" w:eastAsia="宋体" w:cs="Times New Roman"/>
                <w:color w:val="auto"/>
                <w:spacing w:val="0"/>
                <w:sz w:val="24"/>
                <w:szCs w:val="24"/>
                <w:highlight w:val="none"/>
                <w:lang w:eastAsia="zh-CN"/>
              </w:rPr>
              <w:t>，经收集后置于</w:t>
            </w:r>
            <w:r>
              <w:rPr>
                <w:rFonts w:hint="eastAsia" w:ascii="Times New Roman" w:hAnsi="Times New Roman" w:eastAsia="宋体" w:cs="Times New Roman"/>
                <w:color w:val="auto"/>
                <w:spacing w:val="0"/>
                <w:sz w:val="24"/>
                <w:szCs w:val="24"/>
                <w:highlight w:val="none"/>
                <w:lang w:eastAsia="zh-CN"/>
              </w:rPr>
              <w:t>密闭</w:t>
            </w:r>
            <w:r>
              <w:rPr>
                <w:rFonts w:hint="default" w:ascii="Times New Roman" w:hAnsi="Times New Roman" w:eastAsia="宋体" w:cs="Times New Roman"/>
                <w:color w:val="auto"/>
                <w:spacing w:val="0"/>
                <w:sz w:val="24"/>
                <w:szCs w:val="24"/>
                <w:highlight w:val="none"/>
                <w:lang w:eastAsia="zh-CN"/>
              </w:rPr>
              <w:t>专用容器中，分区暂存于危险废物暂存间内，定期委托有资质单位外运处置。</w:t>
            </w:r>
          </w:p>
          <w:p w14:paraId="18716869">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⑪</w:t>
            </w:r>
            <w:r>
              <w:rPr>
                <w:rFonts w:hint="eastAsia" w:ascii="Times New Roman" w:hAnsi="Times New Roman" w:eastAsia="宋体" w:cs="Times New Roman"/>
                <w:color w:val="auto"/>
                <w:spacing w:val="0"/>
                <w:sz w:val="24"/>
                <w:szCs w:val="24"/>
                <w:highlight w:val="none"/>
                <w:lang w:eastAsia="zh-CN"/>
              </w:rPr>
              <w:t>废液压油</w:t>
            </w:r>
          </w:p>
          <w:p w14:paraId="0E08E478">
            <w:pPr>
              <w:spacing w:line="360" w:lineRule="auto"/>
              <w:ind w:firstLine="480" w:firstLineChars="200"/>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eastAsia="zh-CN"/>
              </w:rPr>
              <w:t>项目液压剪切机、液压打包机运行过程中需要更换液压油，</w:t>
            </w:r>
            <w:r>
              <w:rPr>
                <w:rFonts w:hint="default" w:ascii="Times New Roman" w:hAnsi="Times New Roman" w:eastAsia="宋体" w:cs="Times New Roman"/>
                <w:color w:val="auto"/>
                <w:spacing w:val="0"/>
                <w:sz w:val="24"/>
                <w:szCs w:val="24"/>
                <w:highlight w:val="none"/>
                <w:lang w:eastAsia="zh-CN"/>
              </w:rPr>
              <w:t>参考《国家危险废物名录（202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年版）》，废</w:t>
            </w:r>
            <w:r>
              <w:rPr>
                <w:rFonts w:hint="eastAsia" w:ascii="Times New Roman" w:hAnsi="Times New Roman" w:eastAsia="宋体" w:cs="Times New Roman"/>
                <w:color w:val="auto"/>
                <w:spacing w:val="0"/>
                <w:sz w:val="24"/>
                <w:szCs w:val="24"/>
                <w:highlight w:val="none"/>
                <w:lang w:eastAsia="zh-CN"/>
              </w:rPr>
              <w:t>液压油属于危险废物</w:t>
            </w:r>
            <w:r>
              <w:rPr>
                <w:rFonts w:hint="default" w:ascii="Times New Roman" w:hAnsi="Times New Roman" w:eastAsia="宋体" w:cs="Times New Roman"/>
                <w:color w:val="auto"/>
                <w:spacing w:val="0"/>
                <w:sz w:val="24"/>
                <w:szCs w:val="24"/>
                <w:highlight w:val="none"/>
                <w:lang w:eastAsia="zh-CN"/>
              </w:rPr>
              <w:t>，废物类别为</w:t>
            </w:r>
            <w:r>
              <w:rPr>
                <w:rFonts w:hint="eastAsia"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eastAsia="zh-CN"/>
              </w:rPr>
              <w:t>HW</w:t>
            </w:r>
            <w:r>
              <w:rPr>
                <w:rFonts w:hint="eastAsia" w:ascii="Times New Roman" w:hAnsi="Times New Roman" w:eastAsia="宋体" w:cs="Times New Roman"/>
                <w:color w:val="auto"/>
                <w:spacing w:val="0"/>
                <w:sz w:val="24"/>
                <w:szCs w:val="24"/>
                <w:highlight w:val="none"/>
                <w:lang w:val="en-US" w:eastAsia="zh-CN"/>
              </w:rPr>
              <w:t>08废矿物油与含矿物油废物”</w:t>
            </w:r>
            <w:r>
              <w:rPr>
                <w:rFonts w:hint="default" w:ascii="Times New Roman" w:hAnsi="Times New Roman" w:eastAsia="宋体" w:cs="Times New Roman"/>
                <w:color w:val="auto"/>
                <w:spacing w:val="0"/>
                <w:sz w:val="24"/>
                <w:szCs w:val="24"/>
                <w:highlight w:val="none"/>
                <w:lang w:eastAsia="zh-CN"/>
              </w:rPr>
              <w:t>，危废代码为</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900-218-08 液压设备维护、更换和拆解过程中产生的废液压油”，根据建设单位提供资料，产生量约为0.05t/a，</w:t>
            </w:r>
            <w:r>
              <w:rPr>
                <w:rFonts w:hint="default" w:ascii="Times New Roman" w:hAnsi="Times New Roman" w:eastAsia="宋体" w:cs="Times New Roman"/>
                <w:color w:val="auto"/>
                <w:spacing w:val="0"/>
                <w:sz w:val="24"/>
                <w:szCs w:val="24"/>
                <w:highlight w:val="none"/>
                <w:lang w:eastAsia="zh-CN"/>
              </w:rPr>
              <w:t>经收集后置于</w:t>
            </w:r>
            <w:r>
              <w:rPr>
                <w:rFonts w:hint="eastAsia" w:ascii="Times New Roman" w:hAnsi="Times New Roman" w:eastAsia="宋体" w:cs="Times New Roman"/>
                <w:color w:val="auto"/>
                <w:spacing w:val="0"/>
                <w:sz w:val="24"/>
                <w:szCs w:val="24"/>
                <w:highlight w:val="none"/>
                <w:lang w:eastAsia="zh-CN"/>
              </w:rPr>
              <w:t>密闭</w:t>
            </w:r>
            <w:r>
              <w:rPr>
                <w:rFonts w:hint="default" w:ascii="Times New Roman" w:hAnsi="Times New Roman" w:eastAsia="宋体" w:cs="Times New Roman"/>
                <w:color w:val="auto"/>
                <w:spacing w:val="0"/>
                <w:sz w:val="24"/>
                <w:szCs w:val="24"/>
                <w:highlight w:val="none"/>
                <w:lang w:eastAsia="zh-CN"/>
              </w:rPr>
              <w:t>专用容器中，分区暂存于危险废物暂存间内，定期委托有资质单位外运处置。</w:t>
            </w:r>
          </w:p>
          <w:p w14:paraId="579A63C4">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⑫</w:t>
            </w:r>
            <w:r>
              <w:rPr>
                <w:rFonts w:hint="eastAsia" w:ascii="Times New Roman" w:hAnsi="Times New Roman" w:eastAsia="宋体" w:cs="Times New Roman"/>
                <w:color w:val="auto"/>
                <w:spacing w:val="0"/>
                <w:sz w:val="24"/>
                <w:szCs w:val="24"/>
                <w:highlight w:val="none"/>
                <w:lang w:eastAsia="zh-CN"/>
              </w:rPr>
              <w:t>废机油、废油桶</w:t>
            </w:r>
          </w:p>
          <w:p w14:paraId="56E0D49F">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项目机械设备日常维护保养过程会产生废机油、废油桶，根据建设单位提供资料，项目废机油产生量约为0.</w:t>
            </w:r>
            <w:r>
              <w:rPr>
                <w:rFonts w:hint="eastAsia" w:ascii="Times New Roman" w:hAnsi="Times New Roman" w:eastAsia="宋体" w:cs="Times New Roman"/>
                <w:color w:val="auto"/>
                <w:spacing w:val="0"/>
                <w:sz w:val="24"/>
                <w:szCs w:val="24"/>
                <w:highlight w:val="none"/>
                <w:lang w:val="en-US" w:eastAsia="zh-CN"/>
              </w:rPr>
              <w:t>1</w:t>
            </w:r>
            <w:r>
              <w:rPr>
                <w:rFonts w:hint="default" w:ascii="Times New Roman" w:hAnsi="Times New Roman" w:eastAsia="宋体" w:cs="Times New Roman"/>
                <w:color w:val="auto"/>
                <w:spacing w:val="0"/>
                <w:sz w:val="24"/>
                <w:szCs w:val="24"/>
                <w:highlight w:val="none"/>
                <w:lang w:eastAsia="zh-CN"/>
              </w:rPr>
              <w:t>t/a，废油桶产生量约为0.0</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t/a。</w:t>
            </w:r>
          </w:p>
          <w:p w14:paraId="4D910EEE">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根据《国家危险废物名录》（202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年版），废机油属于“HW08废矿物油与含矿物油废物，900-214-08，车辆、轮船</w:t>
            </w:r>
            <w:r>
              <w:rPr>
                <w:rFonts w:hint="eastAsia" w:ascii="Times New Roman" w:hAnsi="Times New Roman" w:eastAsia="宋体" w:cs="Times New Roman"/>
                <w:color w:val="auto"/>
                <w:spacing w:val="0"/>
                <w:sz w:val="24"/>
                <w:szCs w:val="24"/>
                <w:highlight w:val="none"/>
                <w:lang w:eastAsia="zh-CN"/>
              </w:rPr>
              <w:t>及其他</w:t>
            </w:r>
            <w:r>
              <w:rPr>
                <w:rFonts w:hint="default" w:ascii="Times New Roman" w:hAnsi="Times New Roman" w:eastAsia="宋体" w:cs="Times New Roman"/>
                <w:color w:val="auto"/>
                <w:spacing w:val="0"/>
                <w:sz w:val="24"/>
                <w:szCs w:val="24"/>
                <w:highlight w:val="none"/>
                <w:lang w:eastAsia="zh-CN"/>
              </w:rPr>
              <w:t>机械维修过程中产生的废发动机油、制动器油、自动变速器油、齿轮油等废润滑油”类危险废物，采用密闭容器桶密封贮存，</w:t>
            </w:r>
            <w:r>
              <w:rPr>
                <w:rFonts w:hint="eastAsia" w:ascii="Times New Roman" w:hAnsi="Times New Roman" w:eastAsia="宋体" w:cs="Times New Roman"/>
                <w:color w:val="auto"/>
                <w:spacing w:val="0"/>
                <w:sz w:val="24"/>
                <w:szCs w:val="24"/>
                <w:highlight w:val="none"/>
                <w:lang w:eastAsia="zh-CN"/>
              </w:rPr>
              <w:t>分区</w:t>
            </w:r>
            <w:r>
              <w:rPr>
                <w:rFonts w:hint="default" w:ascii="Times New Roman" w:hAnsi="Times New Roman" w:eastAsia="宋体" w:cs="Times New Roman"/>
                <w:color w:val="auto"/>
                <w:spacing w:val="0"/>
                <w:sz w:val="24"/>
                <w:szCs w:val="24"/>
                <w:highlight w:val="none"/>
                <w:lang w:eastAsia="zh-CN"/>
              </w:rPr>
              <w:t>存放于厂区危废暂存间内，委托资质单位定期清运处置；废油桶属于“HW08废矿物油与含矿物油废物，900-249-08，其他生产、销售、使用过程中产生的废矿物油及沾染矿物油的废弃包装物”类危险废物，自身加盖密闭后，存放于厂区危废暂存间内，委托资质单位定期清运处置。</w:t>
            </w:r>
          </w:p>
          <w:p w14:paraId="5227695C">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⑬</w:t>
            </w:r>
            <w:r>
              <w:rPr>
                <w:rFonts w:hint="eastAsia" w:ascii="Times New Roman" w:hAnsi="Times New Roman" w:eastAsia="宋体" w:cs="Times New Roman"/>
                <w:color w:val="auto"/>
                <w:spacing w:val="0"/>
                <w:sz w:val="24"/>
                <w:szCs w:val="24"/>
                <w:highlight w:val="none"/>
                <w:lang w:eastAsia="zh-CN"/>
              </w:rPr>
              <w:t>含油废抹布及手套</w:t>
            </w:r>
          </w:p>
          <w:p w14:paraId="09443D2B">
            <w:pPr>
              <w:pStyle w:val="66"/>
              <w:spacing w:line="360" w:lineRule="auto"/>
              <w:ind w:firstLine="480" w:firstLineChars="200"/>
              <w:jc w:val="both"/>
              <w:rPr>
                <w:rFonts w:hint="default" w:ascii="Times New Roman" w:hAnsi="Times New Roman" w:eastAsia="宋体"/>
                <w:b w:val="0"/>
                <w:bCs w:val="0"/>
                <w:color w:val="auto"/>
                <w:sz w:val="24"/>
                <w:szCs w:val="24"/>
                <w:lang w:val="en-US" w:eastAsia="zh-CN"/>
              </w:rPr>
            </w:pPr>
            <w:r>
              <w:rPr>
                <w:rFonts w:hint="eastAsia" w:ascii="Times New Roman" w:hAnsi="Times New Roman" w:eastAsia="宋体" w:cs="Times New Roman"/>
                <w:color w:val="auto"/>
                <w:spacing w:val="0"/>
                <w:sz w:val="24"/>
                <w:szCs w:val="24"/>
                <w:highlight w:val="none"/>
                <w:lang w:eastAsia="zh-CN"/>
              </w:rPr>
              <w:t>项目运营期</w:t>
            </w:r>
            <w:r>
              <w:rPr>
                <w:rFonts w:hint="default" w:ascii="Times New Roman" w:hAnsi="Times New Roman" w:eastAsia="宋体" w:cs="Times New Roman"/>
                <w:color w:val="auto"/>
                <w:spacing w:val="0"/>
                <w:sz w:val="24"/>
                <w:szCs w:val="24"/>
                <w:highlight w:val="none"/>
                <w:lang w:eastAsia="zh-CN"/>
              </w:rPr>
              <w:t>油渍清理</w:t>
            </w:r>
            <w:r>
              <w:rPr>
                <w:rFonts w:hint="eastAsia" w:ascii="Times New Roman" w:hAnsi="Times New Roman" w:eastAsia="宋体" w:cs="Times New Roman"/>
                <w:color w:val="auto"/>
                <w:spacing w:val="0"/>
                <w:sz w:val="24"/>
                <w:szCs w:val="24"/>
                <w:highlight w:val="none"/>
                <w:lang w:eastAsia="zh-CN"/>
              </w:rPr>
              <w:t>及日常作业</w:t>
            </w:r>
            <w:r>
              <w:rPr>
                <w:rFonts w:hint="default" w:ascii="Times New Roman" w:hAnsi="Times New Roman" w:eastAsia="宋体" w:cs="Times New Roman"/>
                <w:color w:val="auto"/>
                <w:spacing w:val="0"/>
                <w:sz w:val="24"/>
                <w:szCs w:val="24"/>
                <w:highlight w:val="none"/>
                <w:lang w:eastAsia="zh-CN"/>
              </w:rPr>
              <w:t>过程中会产生含油抹布及手套，</w:t>
            </w:r>
            <w:r>
              <w:rPr>
                <w:rFonts w:hint="eastAsia" w:ascii="Times New Roman" w:hAnsi="Times New Roman" w:eastAsia="宋体" w:cs="Times New Roman"/>
                <w:color w:val="auto"/>
                <w:spacing w:val="0"/>
                <w:sz w:val="24"/>
                <w:szCs w:val="24"/>
                <w:highlight w:val="none"/>
                <w:lang w:eastAsia="zh-CN"/>
              </w:rPr>
              <w:t>根据建设单位提供资料及</w:t>
            </w:r>
            <w:r>
              <w:rPr>
                <w:rFonts w:hint="default" w:ascii="Times New Roman" w:hAnsi="Times New Roman" w:eastAsia="宋体" w:cs="Times New Roman"/>
                <w:color w:val="auto"/>
                <w:spacing w:val="0"/>
                <w:sz w:val="24"/>
                <w:szCs w:val="24"/>
                <w:highlight w:val="none"/>
                <w:lang w:eastAsia="zh-CN"/>
              </w:rPr>
              <w:t>类比同类</w:t>
            </w:r>
            <w:r>
              <w:rPr>
                <w:rFonts w:hint="eastAsia" w:ascii="Times New Roman" w:hAnsi="Times New Roman" w:eastAsia="宋体" w:cs="Times New Roman"/>
                <w:color w:val="auto"/>
                <w:spacing w:val="0"/>
                <w:sz w:val="24"/>
                <w:szCs w:val="24"/>
                <w:highlight w:val="none"/>
                <w:lang w:eastAsia="zh-CN"/>
              </w:rPr>
              <w:t>项目产生量</w:t>
            </w:r>
            <w:r>
              <w:rPr>
                <w:rFonts w:hint="default" w:ascii="Times New Roman" w:hAnsi="Times New Roman" w:eastAsia="宋体" w:cs="Times New Roman"/>
                <w:color w:val="auto"/>
                <w:spacing w:val="0"/>
                <w:sz w:val="24"/>
                <w:szCs w:val="24"/>
                <w:highlight w:val="none"/>
                <w:lang w:eastAsia="zh-CN"/>
              </w:rPr>
              <w:t>约0.5t/a</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b w:val="0"/>
                <w:bCs w:val="0"/>
                <w:color w:val="auto"/>
                <w:sz w:val="24"/>
                <w:szCs w:val="24"/>
                <w:lang w:eastAsia="zh-CN"/>
              </w:rPr>
              <w:t>含油废抹布及手套混入生活垃圾，由当地环卫部门统一清运处置，全过程未分类收集，根据</w:t>
            </w:r>
            <w:r>
              <w:rPr>
                <w:rFonts w:hint="eastAsia" w:ascii="Times New Roman" w:hAnsi="Times New Roman" w:eastAsia="宋体"/>
                <w:b w:val="0"/>
                <w:bCs w:val="0"/>
                <w:color w:val="auto"/>
                <w:sz w:val="24"/>
                <w:szCs w:val="24"/>
              </w:rPr>
              <w:t>《国家危险废物名录》（202</w:t>
            </w:r>
            <w:r>
              <w:rPr>
                <w:rFonts w:hint="eastAsia" w:ascii="Times New Roman" w:hAnsi="Times New Roman" w:eastAsia="宋体"/>
                <w:b w:val="0"/>
                <w:bCs w:val="0"/>
                <w:color w:val="auto"/>
                <w:sz w:val="24"/>
                <w:szCs w:val="24"/>
                <w:lang w:val="en-US" w:eastAsia="zh-CN"/>
              </w:rPr>
              <w:t>5</w:t>
            </w:r>
            <w:r>
              <w:rPr>
                <w:rFonts w:hint="eastAsia" w:ascii="Times New Roman" w:hAnsi="Times New Roman" w:eastAsia="宋体"/>
                <w:b w:val="0"/>
                <w:bCs w:val="0"/>
                <w:color w:val="auto"/>
                <w:sz w:val="24"/>
                <w:szCs w:val="24"/>
              </w:rPr>
              <w:t>年版）</w:t>
            </w:r>
            <w:r>
              <w:rPr>
                <w:rFonts w:hint="eastAsia" w:ascii="Times New Roman" w:hAnsi="Times New Roman" w:eastAsia="宋体"/>
                <w:b w:val="0"/>
                <w:bCs w:val="0"/>
                <w:color w:val="auto"/>
                <w:sz w:val="24"/>
                <w:szCs w:val="24"/>
                <w:lang w:eastAsia="zh-CN"/>
              </w:rPr>
              <w:t>，含油废抹布及手套属于</w:t>
            </w:r>
            <w:r>
              <w:rPr>
                <w:rFonts w:hint="eastAsia" w:ascii="Times New Roman" w:hAnsi="Times New Roman" w:eastAsia="宋体"/>
                <w:b w:val="0"/>
                <w:bCs w:val="0"/>
                <w:color w:val="auto"/>
                <w:sz w:val="24"/>
                <w:szCs w:val="24"/>
                <w:lang w:val="en-US" w:eastAsia="zh-CN"/>
              </w:rPr>
              <w:t>900-041-49类危险废物，未分类收集全过程不按危险废物管理。</w:t>
            </w:r>
          </w:p>
          <w:p w14:paraId="3720C52E">
            <w:pPr>
              <w:spacing w:line="360" w:lineRule="auto"/>
              <w:ind w:firstLine="480" w:firstLineChars="200"/>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⑭</w:t>
            </w:r>
            <w:r>
              <w:rPr>
                <w:rFonts w:hint="eastAsia" w:ascii="Times New Roman" w:hAnsi="Times New Roman" w:eastAsia="宋体" w:cs="Times New Roman"/>
                <w:color w:val="auto"/>
                <w:spacing w:val="0"/>
                <w:sz w:val="24"/>
                <w:szCs w:val="24"/>
                <w:highlight w:val="none"/>
                <w:lang w:eastAsia="zh-CN"/>
              </w:rPr>
              <w:t>废活性炭</w:t>
            </w:r>
          </w:p>
          <w:p w14:paraId="157EAD3B">
            <w:pPr>
              <w:spacing w:line="360" w:lineRule="auto"/>
              <w:ind w:firstLine="480" w:firstLineChars="200"/>
              <w:jc w:val="both"/>
              <w:rPr>
                <w:rFonts w:hint="eastAsia" w:ascii="Times New Roman" w:hAnsi="Times New Roman" w:eastAsia="宋体"/>
                <w:color w:val="auto"/>
                <w:sz w:val="24"/>
                <w:lang w:eastAsia="zh-CN"/>
              </w:rPr>
            </w:pPr>
            <w:r>
              <w:rPr>
                <w:rFonts w:hint="eastAsia" w:ascii="Times New Roman" w:hAnsi="Times New Roman"/>
                <w:color w:val="auto"/>
                <w:sz w:val="24"/>
                <w:lang w:eastAsia="zh-CN"/>
              </w:rPr>
              <w:t>项目废液抽取</w:t>
            </w:r>
            <w:r>
              <w:rPr>
                <w:rFonts w:hint="eastAsia" w:ascii="Times New Roman" w:hAnsi="Times New Roman"/>
                <w:color w:val="auto"/>
                <w:sz w:val="24"/>
                <w:lang w:val="en-US" w:eastAsia="zh-CN"/>
              </w:rPr>
              <w:t>等</w:t>
            </w:r>
            <w:r>
              <w:rPr>
                <w:rFonts w:hint="eastAsia" w:ascii="Times New Roman" w:hAnsi="Times New Roman"/>
                <w:color w:val="auto"/>
                <w:sz w:val="24"/>
                <w:lang w:eastAsia="zh-CN"/>
              </w:rPr>
              <w:t>过程中产生的有机废气采用活性炭吸附装置处理，产生吸附有机物的废活性炭，参考《国家危险废物名录(202</w:t>
            </w:r>
            <w:r>
              <w:rPr>
                <w:rFonts w:hint="eastAsia" w:ascii="Times New Roman" w:hAnsi="Times New Roman"/>
                <w:color w:val="auto"/>
                <w:sz w:val="24"/>
                <w:lang w:val="en-US" w:eastAsia="zh-CN"/>
              </w:rPr>
              <w:t>5年版</w:t>
            </w:r>
            <w:r>
              <w:rPr>
                <w:rFonts w:hint="eastAsia" w:ascii="Times New Roman" w:hAnsi="Times New Roman"/>
                <w:color w:val="auto"/>
                <w:sz w:val="24"/>
                <w:lang w:eastAsia="zh-CN"/>
              </w:rPr>
              <w:t>)》，废弃活性炭吸附饱和物属于危险废物，废物类别为“HW49其他废物”，废物代码为“900-039-49 烟气、VOCs 治理过程（不包括餐饮行业油烟治理过程）产生的废活性炭，化学原料和化学制品脱色（不包括有机合成食品添加剂脱色）、除杂、净化过程产生的废活性炭（不包括900-405-06、772-005-18、261-053-29 、265-002-29、384-003-29、387-001-29类废物）”。</w:t>
            </w:r>
          </w:p>
          <w:p w14:paraId="34F16C82">
            <w:pPr>
              <w:spacing w:line="360" w:lineRule="auto"/>
              <w:ind w:firstLine="480" w:firstLineChars="200"/>
              <w:jc w:val="both"/>
              <w:rPr>
                <w:rFonts w:hint="default" w:ascii="Times New Roman" w:hAnsi="Times New Roman" w:eastAsia="宋体"/>
                <w:color w:val="auto"/>
                <w:sz w:val="24"/>
                <w:highlight w:val="yellow"/>
                <w:lang w:val="en-US" w:eastAsia="zh-CN"/>
              </w:rPr>
            </w:pPr>
            <w:r>
              <w:rPr>
                <w:rFonts w:hint="eastAsia" w:ascii="Times New Roman" w:hAnsi="Times New Roman" w:eastAsia="宋体"/>
                <w:color w:val="auto"/>
                <w:sz w:val="24"/>
              </w:rPr>
              <w:t>本项目按1t活性炭吸附0.</w:t>
            </w:r>
            <w:r>
              <w:rPr>
                <w:rFonts w:hint="eastAsia" w:ascii="Times New Roman" w:hAnsi="Times New Roman" w:eastAsia="宋体"/>
                <w:color w:val="auto"/>
                <w:sz w:val="24"/>
                <w:lang w:val="en-US" w:eastAsia="zh-CN"/>
              </w:rPr>
              <w:t>15</w:t>
            </w:r>
            <w:r>
              <w:rPr>
                <w:rFonts w:hint="eastAsia" w:ascii="Times New Roman" w:hAnsi="Times New Roman" w:eastAsia="宋体"/>
                <w:color w:val="auto"/>
                <w:sz w:val="24"/>
              </w:rPr>
              <w:t>t有机废气计算，根据前文产排污分析</w:t>
            </w:r>
            <w:r>
              <w:rPr>
                <w:rFonts w:hint="eastAsia" w:ascii="Times New Roman" w:hAnsi="Times New Roman" w:eastAsia="宋体"/>
                <w:color w:val="auto"/>
                <w:sz w:val="24"/>
                <w:lang w:eastAsia="zh-CN"/>
              </w:rPr>
              <w:t>和</w:t>
            </w:r>
            <w:r>
              <w:rPr>
                <w:rFonts w:hint="eastAsia" w:ascii="Times New Roman" w:hAnsi="Times New Roman" w:eastAsia="宋体"/>
                <w:color w:val="auto"/>
                <w:sz w:val="24"/>
                <w:lang w:val="en-US" w:eastAsia="zh-CN"/>
              </w:rPr>
              <w:t>VOC平衡</w:t>
            </w:r>
            <w:r>
              <w:rPr>
                <w:rFonts w:hint="eastAsia" w:ascii="Times New Roman" w:hAnsi="Times New Roman" w:eastAsia="宋体"/>
                <w:color w:val="auto"/>
                <w:sz w:val="24"/>
              </w:rPr>
              <w:t>可知，项目</w:t>
            </w:r>
            <w:r>
              <w:rPr>
                <w:rFonts w:hint="eastAsia" w:ascii="Times New Roman" w:hAnsi="Times New Roman" w:eastAsia="宋体"/>
                <w:color w:val="auto"/>
                <w:sz w:val="24"/>
                <w:lang w:val="en-US" w:eastAsia="zh-CN"/>
              </w:rPr>
              <w:t>排气筒DA001有机废气活性炭吸附净化量约为0.2646t/a，所需活性炭量约为1.764t/a，为保证去除效率，</w:t>
            </w:r>
            <w:r>
              <w:rPr>
                <w:rFonts w:hint="eastAsia" w:ascii="Times New Roman" w:hAnsi="Times New Roman" w:eastAsia="宋体"/>
                <w:color w:val="auto"/>
                <w:sz w:val="24"/>
                <w:highlight w:val="none"/>
                <w:lang w:val="en-US" w:eastAsia="zh-CN"/>
              </w:rPr>
              <w:t>项目排气筒DA001拟配套活性炭装置一次填装总量为1.0t，每半年更换一次，总使用活性炭量约为2.0t/a，产生的废活性炭量（含吸附有机物量）约2.2646t/a。</w:t>
            </w:r>
          </w:p>
          <w:p w14:paraId="2A2B0933">
            <w:pPr>
              <w:spacing w:line="360" w:lineRule="auto"/>
              <w:ind w:firstLine="480" w:firstLineChars="200"/>
              <w:jc w:val="both"/>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排气筒DA002有机废气活性炭吸附净化量约为0.3348t/a，所需活性炭量约为2.232t/a，为保证去除效率，项目排气筒DA002拟配套活性炭装置一次总填装量为1.5t，每半年更换一次，总使用活性炭量约为3t/a，产生的废活性炭量（含吸附有机物量）约3.3348t/a。</w:t>
            </w:r>
          </w:p>
          <w:p w14:paraId="4DA225DD">
            <w:pPr>
              <w:spacing w:line="360" w:lineRule="auto"/>
              <w:ind w:firstLine="480" w:firstLineChars="200"/>
              <w:jc w:val="both"/>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排气筒DA003有机废气活性炭吸附净化量约为0.2475t/a，所需活性炭量约为1.65t/a，为保证去除效率，</w:t>
            </w:r>
            <w:r>
              <w:rPr>
                <w:rFonts w:hint="eastAsia" w:ascii="Times New Roman" w:hAnsi="Times New Roman" w:eastAsia="宋体"/>
                <w:color w:val="auto"/>
                <w:sz w:val="24"/>
                <w:highlight w:val="none"/>
                <w:lang w:val="en-US" w:eastAsia="zh-CN"/>
              </w:rPr>
              <w:t>项目排气筒DA003拟配套活性炭装置一次</w:t>
            </w:r>
            <w:r>
              <w:rPr>
                <w:rFonts w:hint="eastAsia" w:ascii="Times New Roman" w:hAnsi="Times New Roman" w:eastAsia="宋体"/>
                <w:color w:val="auto"/>
                <w:sz w:val="24"/>
                <w:lang w:val="en-US" w:eastAsia="zh-CN"/>
              </w:rPr>
              <w:t>总</w:t>
            </w:r>
            <w:r>
              <w:rPr>
                <w:rFonts w:hint="eastAsia" w:ascii="Times New Roman" w:hAnsi="Times New Roman" w:eastAsia="宋体"/>
                <w:color w:val="auto"/>
                <w:sz w:val="24"/>
                <w:highlight w:val="none"/>
                <w:lang w:val="en-US" w:eastAsia="zh-CN"/>
              </w:rPr>
              <w:t>填装量为1.0t，每半年更换一次，</w:t>
            </w:r>
            <w:r>
              <w:rPr>
                <w:rFonts w:hint="eastAsia" w:ascii="Times New Roman" w:hAnsi="Times New Roman" w:eastAsia="宋体"/>
                <w:color w:val="auto"/>
                <w:sz w:val="24"/>
                <w:lang w:val="en-US" w:eastAsia="zh-CN"/>
              </w:rPr>
              <w:t>总使用活性炭量约为2t/a，产生的废活性炭量（含吸附有机物量）约为2.2475t/a。</w:t>
            </w:r>
          </w:p>
          <w:p w14:paraId="05370C0B">
            <w:pPr>
              <w:spacing w:line="360" w:lineRule="auto"/>
              <w:ind w:firstLine="480" w:firstLineChars="200"/>
              <w:jc w:val="both"/>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综上，项目废活性炭产生量约为7.8469t/a。</w:t>
            </w:r>
          </w:p>
          <w:p w14:paraId="0005273B">
            <w:pPr>
              <w:spacing w:line="360" w:lineRule="auto"/>
              <w:ind w:firstLine="480" w:firstLineChars="200"/>
              <w:jc w:val="both"/>
              <w:rPr>
                <w:rFonts w:hint="default" w:ascii="Times New Roman" w:hAnsi="Times New Roman" w:eastAsia="宋体"/>
                <w:color w:val="auto"/>
                <w:sz w:val="24"/>
                <w:lang w:val="en-US" w:eastAsia="zh-CN"/>
              </w:rPr>
            </w:pPr>
            <w:r>
              <w:rPr>
                <w:rFonts w:hint="default" w:ascii="Times New Roman" w:hAnsi="Times New Roman" w:eastAsia="宋体" w:cs="Times New Roman"/>
                <w:color w:val="auto"/>
                <w:spacing w:val="0"/>
                <w:sz w:val="24"/>
                <w:szCs w:val="24"/>
                <w:highlight w:val="none"/>
                <w:lang w:eastAsia="zh-CN"/>
              </w:rPr>
              <w:t>⑮</w:t>
            </w:r>
            <w:r>
              <w:rPr>
                <w:rFonts w:hint="eastAsia" w:ascii="Times New Roman" w:hAnsi="Times New Roman"/>
                <w:color w:val="auto"/>
                <w:sz w:val="24"/>
                <w:lang w:val="en-US" w:eastAsia="zh-CN"/>
              </w:rPr>
              <w:t>废过滤棉</w:t>
            </w:r>
          </w:p>
          <w:p w14:paraId="582D103B">
            <w:pPr>
              <w:spacing w:line="360" w:lineRule="auto"/>
              <w:ind w:firstLine="480" w:firstLineChars="200"/>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为保证后续活性炭吸附装置正常运行，在涉及油液过程的排气筒DA001、DA002配套的双级活性炭前端加设过滤棉过滤，废过滤棉一次填装约为0.5t，共2套废气处理设施需填装，每半年更换一次，则废过滤棉产生量约为2t/a。</w:t>
            </w:r>
            <w:r>
              <w:rPr>
                <w:rFonts w:hint="default" w:ascii="Times New Roman" w:hAnsi="Times New Roman" w:eastAsia="宋体" w:cs="Times New Roman"/>
                <w:color w:val="auto"/>
                <w:spacing w:val="0"/>
                <w:sz w:val="24"/>
                <w:szCs w:val="24"/>
                <w:highlight w:val="none"/>
                <w:lang w:eastAsia="zh-CN"/>
              </w:rPr>
              <w:t>参照《国家危险废物名录（202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w:t>
            </w:r>
            <w:r>
              <w:rPr>
                <w:rFonts w:hint="eastAsia" w:ascii="Times New Roman" w:hAnsi="Times New Roman" w:eastAsia="宋体" w:cs="Times New Roman"/>
                <w:color w:val="auto"/>
                <w:spacing w:val="0"/>
                <w:sz w:val="24"/>
                <w:szCs w:val="24"/>
                <w:highlight w:val="none"/>
                <w:lang w:eastAsia="zh-CN"/>
              </w:rPr>
              <w:t>废过滤棉</w:t>
            </w:r>
            <w:r>
              <w:rPr>
                <w:rFonts w:hint="default" w:ascii="Times New Roman" w:hAnsi="Times New Roman" w:eastAsia="宋体" w:cs="Times New Roman"/>
                <w:color w:val="auto"/>
                <w:spacing w:val="0"/>
                <w:sz w:val="24"/>
                <w:szCs w:val="24"/>
                <w:highlight w:val="none"/>
                <w:lang w:eastAsia="zh-CN"/>
              </w:rPr>
              <w:t>属于危险废物，危废类别为“HW</w:t>
            </w:r>
            <w:r>
              <w:rPr>
                <w:rFonts w:hint="eastAsia" w:ascii="Times New Roman" w:hAnsi="Times New Roman" w:eastAsia="宋体" w:cs="Times New Roman"/>
                <w:color w:val="auto"/>
                <w:spacing w:val="0"/>
                <w:sz w:val="24"/>
                <w:szCs w:val="24"/>
                <w:highlight w:val="none"/>
                <w:lang w:val="en-US" w:eastAsia="zh-CN"/>
              </w:rPr>
              <w:t>49</w:t>
            </w:r>
            <w:r>
              <w:rPr>
                <w:rFonts w:hint="default" w:ascii="Times New Roman" w:hAnsi="Times New Roman" w:eastAsia="宋体" w:cs="Times New Roman"/>
                <w:color w:val="auto"/>
                <w:spacing w:val="0"/>
                <w:sz w:val="24"/>
                <w:szCs w:val="24"/>
                <w:highlight w:val="none"/>
                <w:lang w:eastAsia="zh-CN"/>
              </w:rPr>
              <w:t xml:space="preserve"> </w:t>
            </w:r>
            <w:r>
              <w:rPr>
                <w:rFonts w:hint="eastAsia" w:ascii="Times New Roman" w:hAnsi="Times New Roman" w:eastAsia="宋体" w:cs="Times New Roman"/>
                <w:color w:val="auto"/>
                <w:spacing w:val="0"/>
                <w:sz w:val="24"/>
                <w:szCs w:val="24"/>
                <w:highlight w:val="none"/>
                <w:lang w:eastAsia="zh-CN"/>
              </w:rPr>
              <w:t>其他废物</w:t>
            </w:r>
            <w:r>
              <w:rPr>
                <w:rFonts w:hint="default" w:ascii="Times New Roman" w:hAnsi="Times New Roman" w:eastAsia="宋体" w:cs="Times New Roman"/>
                <w:color w:val="auto"/>
                <w:spacing w:val="0"/>
                <w:sz w:val="24"/>
                <w:szCs w:val="24"/>
                <w:highlight w:val="none"/>
                <w:lang w:eastAsia="zh-CN"/>
              </w:rPr>
              <w:t>”，危废代码为“</w:t>
            </w:r>
            <w:r>
              <w:rPr>
                <w:rFonts w:hint="eastAsia" w:ascii="Times New Roman" w:hAnsi="Times New Roman" w:eastAsia="宋体" w:cs="Times New Roman"/>
                <w:color w:val="auto"/>
                <w:spacing w:val="0"/>
                <w:sz w:val="24"/>
                <w:szCs w:val="24"/>
                <w:highlight w:val="none"/>
                <w:lang w:val="en-US" w:eastAsia="zh-CN"/>
              </w:rPr>
              <w:t>900-041-49：</w:t>
            </w:r>
            <w:r>
              <w:rPr>
                <w:rFonts w:hint="default" w:ascii="Times New Roman" w:hAnsi="Times New Roman" w:eastAsia="宋体" w:cs="Times New Roman"/>
                <w:color w:val="auto"/>
                <w:spacing w:val="0"/>
                <w:sz w:val="24"/>
                <w:szCs w:val="24"/>
                <w:highlight w:val="none"/>
                <w:lang w:eastAsia="zh-CN"/>
              </w:rPr>
              <w:t>含有或沾染毒性、感染性危险废物的废弃包装物、容器、过滤吸附介质”</w:t>
            </w:r>
            <w:r>
              <w:rPr>
                <w:rFonts w:hint="eastAsia" w:ascii="Times New Roman" w:hAnsi="Times New Roman" w:eastAsia="宋体" w:cs="Times New Roman"/>
                <w:color w:val="auto"/>
                <w:spacing w:val="0"/>
                <w:sz w:val="24"/>
                <w:szCs w:val="24"/>
                <w:highlight w:val="none"/>
                <w:lang w:eastAsia="zh-CN"/>
              </w:rPr>
              <w:t>，采用密闭容器收集，在</w:t>
            </w:r>
            <w:r>
              <w:rPr>
                <w:rFonts w:hint="default" w:ascii="Times New Roman" w:hAnsi="Times New Roman" w:eastAsia="宋体" w:cs="Times New Roman"/>
                <w:color w:val="auto"/>
                <w:spacing w:val="0"/>
                <w:sz w:val="24"/>
                <w:szCs w:val="24"/>
                <w:highlight w:val="none"/>
                <w:lang w:eastAsia="zh-CN"/>
              </w:rPr>
              <w:t>危险废物暂存间内</w:t>
            </w:r>
            <w:r>
              <w:rPr>
                <w:rFonts w:hint="eastAsia" w:ascii="Times New Roman" w:hAnsi="Times New Roman" w:eastAsia="宋体" w:cs="Times New Roman"/>
                <w:color w:val="auto"/>
                <w:spacing w:val="0"/>
                <w:sz w:val="24"/>
                <w:szCs w:val="24"/>
                <w:highlight w:val="none"/>
                <w:lang w:eastAsia="zh-CN"/>
              </w:rPr>
              <w:t>分区暂存</w:t>
            </w:r>
            <w:r>
              <w:rPr>
                <w:rFonts w:hint="default" w:ascii="Times New Roman" w:hAnsi="Times New Roman" w:eastAsia="宋体" w:cs="Times New Roman"/>
                <w:color w:val="auto"/>
                <w:spacing w:val="0"/>
                <w:sz w:val="24"/>
                <w:szCs w:val="24"/>
                <w:highlight w:val="none"/>
                <w:lang w:eastAsia="zh-CN"/>
              </w:rPr>
              <w:t>，定期委托有资质单位清运处置。</w:t>
            </w:r>
          </w:p>
          <w:p w14:paraId="7C10F272">
            <w:pPr>
              <w:spacing w:line="360" w:lineRule="auto"/>
              <w:ind w:firstLine="480" w:firstLineChars="200"/>
              <w:jc w:val="both"/>
              <w:rPr>
                <w:rFonts w:hint="eastAsia" w:ascii="Times New Roman" w:hAnsi="Times New Roman" w:eastAsia="宋体"/>
                <w:color w:val="auto"/>
                <w:sz w:val="24"/>
                <w:lang w:eastAsia="zh-CN"/>
              </w:rPr>
            </w:pPr>
            <w:r>
              <w:rPr>
                <w:rFonts w:hint="eastAsia" w:ascii="Times New Roman" w:hAnsi="Times New Roman"/>
                <w:color w:val="auto"/>
                <w:sz w:val="24"/>
              </w:rPr>
              <w:t>⑯</w:t>
            </w:r>
            <w:r>
              <w:rPr>
                <w:rFonts w:hint="eastAsia" w:ascii="Times New Roman" w:hAnsi="Times New Roman"/>
                <w:color w:val="auto"/>
                <w:sz w:val="24"/>
                <w:lang w:eastAsia="zh-CN"/>
              </w:rPr>
              <w:t>浮油和污泥</w:t>
            </w:r>
          </w:p>
          <w:p w14:paraId="199DC82A">
            <w:pPr>
              <w:spacing w:line="360" w:lineRule="auto"/>
              <w:ind w:firstLine="480" w:firstLineChars="200"/>
              <w:jc w:val="both"/>
              <w:rPr>
                <w:rFonts w:hint="eastAsia" w:ascii="Times New Roman" w:hAnsi="Times New Roman"/>
                <w:color w:val="auto"/>
                <w:sz w:val="24"/>
              </w:rPr>
            </w:pPr>
            <w:r>
              <w:rPr>
                <w:rFonts w:hint="eastAsia" w:ascii="Times New Roman" w:hAnsi="Times New Roman"/>
                <w:color w:val="auto"/>
                <w:sz w:val="24"/>
              </w:rPr>
              <w:t>项目</w:t>
            </w:r>
            <w:r>
              <w:rPr>
                <w:rFonts w:hint="eastAsia" w:ascii="Times New Roman" w:hAnsi="Times New Roman"/>
                <w:color w:val="auto"/>
                <w:sz w:val="24"/>
                <w:lang w:val="en-US" w:eastAsia="zh-CN"/>
              </w:rPr>
              <w:t>清洁废水、作业区露天区域初期雨水</w:t>
            </w:r>
            <w:r>
              <w:rPr>
                <w:rFonts w:hint="eastAsia" w:ascii="Times New Roman" w:hAnsi="Times New Roman"/>
                <w:color w:val="auto"/>
                <w:sz w:val="24"/>
                <w:lang w:eastAsia="zh-CN"/>
              </w:rPr>
              <w:t>需经“</w:t>
            </w:r>
            <w:r>
              <w:rPr>
                <w:rFonts w:hint="eastAsia" w:ascii="Times New Roman" w:hAnsi="Times New Roman"/>
                <w:color w:val="auto"/>
                <w:sz w:val="24"/>
                <w:lang w:val="en-US" w:eastAsia="zh-CN"/>
              </w:rPr>
              <w:t>油水分离+混凝沉淀+过滤</w:t>
            </w:r>
            <w:r>
              <w:rPr>
                <w:rFonts w:hint="eastAsia" w:ascii="Times New Roman" w:hAnsi="Times New Roman"/>
                <w:color w:val="auto"/>
                <w:sz w:val="24"/>
                <w:lang w:eastAsia="zh-CN"/>
              </w:rPr>
              <w:t>”装置处理，会</w:t>
            </w:r>
            <w:r>
              <w:rPr>
                <w:rFonts w:hint="eastAsia" w:ascii="Times New Roman" w:hAnsi="Times New Roman"/>
                <w:color w:val="auto"/>
                <w:sz w:val="24"/>
              </w:rPr>
              <w:t>产生</w:t>
            </w:r>
            <w:r>
              <w:rPr>
                <w:rFonts w:hint="eastAsia" w:ascii="Times New Roman" w:hAnsi="Times New Roman"/>
                <w:color w:val="auto"/>
                <w:sz w:val="24"/>
                <w:lang w:eastAsia="zh-CN"/>
              </w:rPr>
              <w:t>浮油</w:t>
            </w:r>
            <w:r>
              <w:rPr>
                <w:rFonts w:hint="eastAsia" w:ascii="Times New Roman" w:hAnsi="Times New Roman"/>
                <w:color w:val="auto"/>
                <w:sz w:val="24"/>
              </w:rPr>
              <w:t>及污泥，参考《国家危险废物名录</w:t>
            </w:r>
            <w:r>
              <w:rPr>
                <w:rFonts w:hint="default" w:ascii="Times New Roman" w:hAnsi="Times New Roman" w:eastAsia="宋体" w:cs="Times New Roman"/>
                <w:color w:val="auto"/>
                <w:spacing w:val="0"/>
                <w:sz w:val="24"/>
                <w:szCs w:val="24"/>
                <w:highlight w:val="none"/>
                <w:lang w:eastAsia="zh-CN"/>
              </w:rPr>
              <w:t>（202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w:t>
            </w:r>
            <w:r>
              <w:rPr>
                <w:rFonts w:hint="eastAsia" w:ascii="Times New Roman" w:hAnsi="Times New Roman"/>
                <w:color w:val="auto"/>
                <w:sz w:val="24"/>
              </w:rPr>
              <w:t>》，油泥属于危险废物，废物类别为“HW08 废矿物油与含矿物油废物”，危废代码为“900-210-08：含油废水处理中隔油、气浮、沉淀等处理过程中产生的浮油、浮渣和污泥（不包括废水生化处理污泥）”</w:t>
            </w:r>
          </w:p>
          <w:p w14:paraId="6A05385A">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color w:val="auto"/>
                <w:sz w:val="24"/>
                <w:lang w:eastAsia="zh-CN"/>
              </w:rPr>
              <w:t>根据前文分析，</w:t>
            </w:r>
            <w:r>
              <w:rPr>
                <w:rFonts w:hint="eastAsia" w:ascii="Times New Roman" w:hAnsi="Times New Roman"/>
                <w:color w:val="auto"/>
                <w:sz w:val="24"/>
                <w:lang w:val="en-US" w:eastAsia="zh-CN"/>
              </w:rPr>
              <w:t>项目作业区露天初期雨水（按雨天120d/a计）、清洁废水石油类去除量约为0.1184t/a，SS去除量约为0.632t/a，</w:t>
            </w:r>
            <w:r>
              <w:rPr>
                <w:rFonts w:hint="eastAsia" w:ascii="Times New Roman" w:hAnsi="Times New Roman" w:eastAsia="宋体" w:cs="Times New Roman"/>
                <w:color w:val="auto"/>
                <w:sz w:val="24"/>
                <w:lang w:val="en-US" w:eastAsia="zh-CN"/>
              </w:rPr>
              <w:t>污泥含水率按70%计，则项目浮油和污泥产生量约为2.2251t/a，参考</w:t>
            </w:r>
            <w:r>
              <w:rPr>
                <w:rFonts w:hint="default" w:ascii="Times New Roman" w:hAnsi="Times New Roman" w:eastAsia="宋体" w:cs="Times New Roman"/>
                <w:color w:val="auto"/>
                <w:spacing w:val="0"/>
                <w:sz w:val="24"/>
                <w:szCs w:val="24"/>
                <w:highlight w:val="none"/>
                <w:lang w:eastAsia="zh-CN"/>
              </w:rPr>
              <w:t>《国家危险废物名录（202</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年版）》</w:t>
            </w:r>
            <w:r>
              <w:rPr>
                <w:rFonts w:hint="eastAsia" w:ascii="Times New Roman" w:hAnsi="Times New Roman" w:eastAsia="宋体" w:cs="Times New Roman"/>
                <w:color w:val="auto"/>
                <w:sz w:val="24"/>
                <w:lang w:val="en-US" w:eastAsia="zh-CN"/>
              </w:rPr>
              <w:t>，油泥属于危险废物，废物类别为“HW08 废矿物油与含矿物油废物”，危废代码为“900-210-08：含油废水处理中隔油、气浮、沉淀等处理过程中产生的浮油、浮渣和污泥（不包括废水生化处理污泥）”，采用密封容器桶密封贮存，分区存放于厂区危废暂存间内，委托资质单位定期清运处置。</w:t>
            </w:r>
          </w:p>
          <w:p w14:paraId="6072C226">
            <w:pPr>
              <w:spacing w:line="360" w:lineRule="auto"/>
              <w:ind w:firstLine="480" w:firstLineChars="200"/>
              <w:rPr>
                <w:rFonts w:hint="default" w:ascii="Times New Roman" w:hAnsi="Times New Roman" w:cs="Times New Roman"/>
                <w:color w:val="auto"/>
                <w:szCs w:val="28"/>
                <w:highlight w:val="none"/>
              </w:rPr>
            </w:pPr>
            <w:r>
              <w:rPr>
                <w:rFonts w:hint="eastAsia" w:ascii="Times New Roman" w:hAnsi="Times New Roman" w:cs="Times New Roman"/>
                <w:color w:val="auto"/>
                <w:sz w:val="24"/>
                <w:szCs w:val="24"/>
                <w:highlight w:val="none"/>
                <w:lang w:eastAsia="zh-CN" w:bidi="ar"/>
              </w:rPr>
              <w:t>（</w:t>
            </w:r>
            <w:r>
              <w:rPr>
                <w:rFonts w:hint="eastAsia" w:ascii="Times New Roman" w:hAnsi="Times New Roman" w:cs="Times New Roman"/>
                <w:color w:val="auto"/>
                <w:sz w:val="24"/>
                <w:szCs w:val="24"/>
                <w:highlight w:val="none"/>
                <w:lang w:val="en-US" w:eastAsia="zh-CN" w:bidi="ar"/>
              </w:rPr>
              <w:t>3</w:t>
            </w:r>
            <w:r>
              <w:rPr>
                <w:rFonts w:hint="eastAsia"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bidi="ar"/>
              </w:rPr>
              <w:t>生活垃圾</w:t>
            </w:r>
          </w:p>
          <w:p w14:paraId="4CA8CFFF">
            <w:pPr>
              <w:spacing w:line="360" w:lineRule="auto"/>
              <w:ind w:firstLine="480" w:firstLineChars="200"/>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bidi="ar"/>
              </w:rPr>
              <w:t>生活垃圾主要来源于项目职工日常生活中产生的垃圾，项目职工人数共</w:t>
            </w:r>
            <w:r>
              <w:rPr>
                <w:rFonts w:hint="eastAsia" w:ascii="Times New Roman" w:hAnsi="Times New Roman" w:cs="Times New Roman"/>
                <w:color w:val="auto"/>
                <w:kern w:val="0"/>
                <w:sz w:val="24"/>
                <w:szCs w:val="24"/>
                <w:highlight w:val="none"/>
                <w:lang w:val="en-US" w:eastAsia="zh-CN" w:bidi="ar"/>
              </w:rPr>
              <w:t>30</w:t>
            </w:r>
            <w:r>
              <w:rPr>
                <w:rFonts w:hint="eastAsia" w:ascii="Times New Roman" w:hAnsi="Times New Roman" w:cs="Times New Roman"/>
                <w:color w:val="auto"/>
                <w:kern w:val="0"/>
                <w:sz w:val="24"/>
                <w:szCs w:val="24"/>
                <w:highlight w:val="none"/>
                <w:lang w:eastAsia="zh-CN" w:bidi="ar"/>
              </w:rPr>
              <w:t>人</w:t>
            </w:r>
            <w:r>
              <w:rPr>
                <w:rFonts w:hint="default" w:ascii="Times New Roman" w:hAnsi="Times New Roman" w:cs="Times New Roman"/>
                <w:color w:val="auto"/>
                <w:kern w:val="0"/>
                <w:sz w:val="24"/>
                <w:szCs w:val="24"/>
                <w:highlight w:val="none"/>
                <w:lang w:bidi="ar"/>
              </w:rPr>
              <w:t>，均不在厂区内食宿，职工生活垃圾排放量按0.</w:t>
            </w:r>
            <w:r>
              <w:rPr>
                <w:rFonts w:hint="eastAsia" w:ascii="Times New Roman" w:hAnsi="Times New Roman" w:cs="Times New Roman"/>
                <w:color w:val="auto"/>
                <w:kern w:val="0"/>
                <w:sz w:val="24"/>
                <w:szCs w:val="24"/>
                <w:highlight w:val="none"/>
                <w:lang w:val="en-US" w:eastAsia="zh-CN" w:bidi="ar"/>
              </w:rPr>
              <w:t>5</w:t>
            </w:r>
            <w:r>
              <w:rPr>
                <w:rFonts w:hint="default" w:ascii="Times New Roman" w:hAnsi="Times New Roman" w:cs="Times New Roman"/>
                <w:color w:val="auto"/>
                <w:kern w:val="0"/>
                <w:sz w:val="24"/>
                <w:szCs w:val="24"/>
                <w:highlight w:val="none"/>
                <w:lang w:bidi="ar"/>
              </w:rPr>
              <w:t>kg/人·天计，则生活垃圾产生量为</w:t>
            </w:r>
            <w:r>
              <w:rPr>
                <w:rFonts w:hint="eastAsia" w:ascii="Times New Roman" w:hAnsi="Times New Roman" w:cs="Times New Roman"/>
                <w:color w:val="auto"/>
                <w:kern w:val="0"/>
                <w:sz w:val="24"/>
                <w:szCs w:val="24"/>
                <w:highlight w:val="none"/>
                <w:lang w:val="en-US" w:eastAsia="zh-CN" w:bidi="ar"/>
              </w:rPr>
              <w:t>15</w:t>
            </w:r>
            <w:r>
              <w:rPr>
                <w:rFonts w:hint="default" w:ascii="Times New Roman" w:hAnsi="Times New Roman" w:cs="Times New Roman"/>
                <w:color w:val="auto"/>
                <w:kern w:val="0"/>
                <w:sz w:val="24"/>
                <w:szCs w:val="24"/>
                <w:highlight w:val="none"/>
                <w:lang w:bidi="ar"/>
              </w:rPr>
              <w:t>kg/d，年产生量约为</w:t>
            </w:r>
            <w:r>
              <w:rPr>
                <w:rFonts w:hint="eastAsia" w:ascii="Times New Roman" w:hAnsi="Times New Roman" w:cs="Times New Roman"/>
                <w:color w:val="auto"/>
                <w:kern w:val="0"/>
                <w:sz w:val="24"/>
                <w:szCs w:val="24"/>
                <w:highlight w:val="none"/>
                <w:lang w:val="en-US" w:eastAsia="zh-CN" w:bidi="ar"/>
              </w:rPr>
              <w:t>4.5</w:t>
            </w:r>
            <w:r>
              <w:rPr>
                <w:rFonts w:hint="default" w:ascii="Times New Roman" w:hAnsi="Times New Roman" w:cs="Times New Roman"/>
                <w:color w:val="auto"/>
                <w:kern w:val="0"/>
                <w:sz w:val="24"/>
                <w:szCs w:val="24"/>
                <w:highlight w:val="none"/>
                <w:lang w:bidi="ar"/>
              </w:rPr>
              <w:t>t(按年工作</w:t>
            </w:r>
            <w:r>
              <w:rPr>
                <w:rFonts w:hint="eastAsia" w:ascii="Times New Roman" w:hAnsi="Times New Roman" w:cs="Times New Roman"/>
                <w:color w:val="auto"/>
                <w:kern w:val="0"/>
                <w:sz w:val="24"/>
                <w:szCs w:val="24"/>
                <w:highlight w:val="none"/>
                <w:lang w:val="en-US" w:eastAsia="zh-CN" w:bidi="ar"/>
              </w:rPr>
              <w:t>300</w:t>
            </w:r>
            <w:r>
              <w:rPr>
                <w:rFonts w:hint="default" w:ascii="Times New Roman" w:hAnsi="Times New Roman" w:cs="Times New Roman"/>
                <w:color w:val="auto"/>
                <w:kern w:val="0"/>
                <w:sz w:val="24"/>
                <w:szCs w:val="24"/>
                <w:highlight w:val="none"/>
                <w:lang w:bidi="ar"/>
              </w:rPr>
              <w:t>天计)，统一收集后，全部委托环卫部门定期外运统一处置。</w:t>
            </w:r>
          </w:p>
          <w:p w14:paraId="14C6CD91">
            <w:pPr>
              <w:spacing w:line="360" w:lineRule="auto"/>
              <w:ind w:firstLine="480" w:firstLineChars="200"/>
              <w:rPr>
                <w:rFonts w:ascii="Times New Roman" w:hAnsi="Times New Roman"/>
                <w:color w:val="auto"/>
                <w:kern w:val="0"/>
                <w:sz w:val="24"/>
                <w:lang w:bidi="ar"/>
              </w:rPr>
            </w:pPr>
            <w:r>
              <w:rPr>
                <w:rFonts w:hint="eastAsia" w:ascii="Times New Roman" w:hAnsi="Times New Roman"/>
                <w:color w:val="auto"/>
                <w:kern w:val="0"/>
                <w:sz w:val="24"/>
                <w:lang w:bidi="ar"/>
              </w:rPr>
              <w:t>综上所述，</w:t>
            </w:r>
            <w:r>
              <w:rPr>
                <w:rFonts w:ascii="Times New Roman" w:hAnsi="Times New Roman"/>
                <w:color w:val="auto"/>
                <w:kern w:val="0"/>
                <w:sz w:val="24"/>
                <w:lang w:bidi="ar"/>
              </w:rPr>
              <w:t>项目</w:t>
            </w:r>
            <w:r>
              <w:rPr>
                <w:rFonts w:hint="eastAsia" w:ascii="Times New Roman" w:hAnsi="Times New Roman"/>
                <w:color w:val="auto"/>
                <w:kern w:val="0"/>
                <w:sz w:val="24"/>
                <w:lang w:eastAsia="zh-CN" w:bidi="ar"/>
              </w:rPr>
              <w:t>固体</w:t>
            </w:r>
            <w:r>
              <w:rPr>
                <w:rFonts w:ascii="Times New Roman" w:hAnsi="Times New Roman"/>
                <w:color w:val="auto"/>
                <w:kern w:val="0"/>
                <w:sz w:val="24"/>
                <w:lang w:bidi="ar"/>
              </w:rPr>
              <w:t>废物污染源源强核算结果一览表</w:t>
            </w:r>
            <w:r>
              <w:rPr>
                <w:rFonts w:hint="eastAsia" w:ascii="Times New Roman" w:hAnsi="Times New Roman"/>
                <w:color w:val="auto"/>
                <w:kern w:val="0"/>
                <w:sz w:val="24"/>
                <w:lang w:bidi="ar"/>
              </w:rPr>
              <w:t>详见表4.</w:t>
            </w:r>
            <w:r>
              <w:rPr>
                <w:rFonts w:hint="eastAsia" w:ascii="Times New Roman" w:hAnsi="Times New Roman"/>
                <w:color w:val="auto"/>
                <w:kern w:val="0"/>
                <w:sz w:val="24"/>
                <w:lang w:val="en-US" w:eastAsia="zh-CN" w:bidi="ar"/>
              </w:rPr>
              <w:t>5</w:t>
            </w:r>
            <w:r>
              <w:rPr>
                <w:rFonts w:hint="eastAsia" w:ascii="Times New Roman" w:hAnsi="Times New Roman"/>
                <w:color w:val="auto"/>
                <w:kern w:val="0"/>
                <w:sz w:val="24"/>
                <w:lang w:bidi="ar"/>
              </w:rPr>
              <w:t>-1。</w:t>
            </w:r>
          </w:p>
          <w:p w14:paraId="058B9D93">
            <w:pPr>
              <w:keepNext w:val="0"/>
              <w:keepLines w:val="0"/>
              <w:pageBreakBefore w:val="0"/>
              <w:widowControl w:val="0"/>
              <w:kinsoku/>
              <w:wordWrap/>
              <w:overflowPunct/>
              <w:topLinePunct w:val="0"/>
              <w:autoSpaceDE/>
              <w:autoSpaceDN/>
              <w:bidi w:val="0"/>
              <w:adjustRightInd w:val="0"/>
              <w:snapToGrid w:val="0"/>
              <w:spacing w:before="157" w:beforeLines="50"/>
              <w:ind w:firstLine="380" w:firstLineChars="200"/>
              <w:textAlignment w:val="auto"/>
              <w:rPr>
                <w:rFonts w:hint="default" w:ascii="Times New Roman" w:hAnsi="Times New Roman" w:cs="Times New Roman"/>
                <w:bCs/>
                <w:color w:val="auto"/>
                <w:spacing w:val="-10"/>
                <w:szCs w:val="21"/>
              </w:rPr>
            </w:pPr>
          </w:p>
        </w:tc>
      </w:tr>
    </w:tbl>
    <w:p w14:paraId="73BCE1B1">
      <w:pPr>
        <w:pStyle w:val="17"/>
        <w:jc w:val="center"/>
        <w:outlineLvl w:val="0"/>
        <w:rPr>
          <w:rFonts w:hint="default" w:ascii="Times New Roman" w:hAnsi="Times New Roman" w:eastAsia="黑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2828"/>
      </w:tblGrid>
      <w:tr w14:paraId="7F11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4" w:type="dxa"/>
            <w:noWrap w:val="0"/>
            <w:vAlign w:val="top"/>
          </w:tcPr>
          <w:p w14:paraId="2B21924A">
            <w:pPr>
              <w:pStyle w:val="17"/>
              <w:jc w:val="both"/>
              <w:outlineLvl w:val="0"/>
              <w:rPr>
                <w:rFonts w:hint="default" w:ascii="Times New Roman" w:hAnsi="Times New Roman" w:eastAsia="黑体" w:cs="Times New Roman"/>
                <w:snapToGrid w:val="0"/>
                <w:color w:val="auto"/>
                <w:sz w:val="30"/>
                <w:szCs w:val="30"/>
                <w:vertAlign w:val="baseline"/>
              </w:rPr>
            </w:pPr>
          </w:p>
        </w:tc>
        <w:tc>
          <w:tcPr>
            <w:tcW w:w="12828" w:type="dxa"/>
            <w:noWrap w:val="0"/>
            <w:vAlign w:val="top"/>
          </w:tcPr>
          <w:p w14:paraId="274D821C">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jc w:val="center"/>
              <w:textAlignment w:val="auto"/>
              <w:outlineLvl w:val="9"/>
              <w:rPr>
                <w:rFonts w:hint="eastAsia" w:ascii="Times New Roman" w:hAnsi="Times New Roman" w:eastAsia="黑体" w:cs="Times New Roman"/>
                <w:color w:val="auto"/>
                <w:sz w:val="24"/>
                <w:szCs w:val="24"/>
                <w:highlight w:val="none"/>
                <w:lang w:val="en-US" w:eastAsia="zh-CN"/>
              </w:rPr>
            </w:pPr>
            <w:r>
              <w:rPr>
                <w:rFonts w:hint="eastAsia" w:ascii="Times New Roman" w:hAnsi="Times New Roman" w:eastAsia="黑体" w:cs="Times New Roman"/>
                <w:color w:val="auto"/>
                <w:sz w:val="24"/>
                <w:szCs w:val="24"/>
                <w:highlight w:val="none"/>
                <w:lang w:eastAsia="zh-CN"/>
              </w:rPr>
              <w:t>表</w:t>
            </w:r>
            <w:r>
              <w:rPr>
                <w:rFonts w:hint="eastAsia" w:ascii="Times New Roman" w:hAnsi="Times New Roman" w:eastAsia="黑体" w:cs="Times New Roman"/>
                <w:color w:val="auto"/>
                <w:sz w:val="24"/>
                <w:szCs w:val="24"/>
                <w:highlight w:val="none"/>
                <w:lang w:val="en-US" w:eastAsia="zh-CN"/>
              </w:rPr>
              <w:t>4.5-1 固体废物污染源源强核算一览表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1511"/>
              <w:gridCol w:w="1090"/>
              <w:gridCol w:w="1322"/>
              <w:gridCol w:w="1012"/>
              <w:gridCol w:w="1637"/>
              <w:gridCol w:w="916"/>
              <w:gridCol w:w="1209"/>
              <w:gridCol w:w="762"/>
              <w:gridCol w:w="739"/>
              <w:gridCol w:w="926"/>
              <w:gridCol w:w="926"/>
            </w:tblGrid>
            <w:tr w14:paraId="6B0F7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1319B47F">
                  <w:pPr>
                    <w:topLinePunct/>
                    <w:jc w:val="center"/>
                    <w:rPr>
                      <w:rFonts w:ascii="Times New Roman" w:hAnsi="Times New Roman" w:eastAsia="宋体"/>
                      <w:b/>
                      <w:bCs/>
                      <w:color w:val="auto"/>
                      <w:kern w:val="0"/>
                      <w:szCs w:val="21"/>
                      <w:highlight w:val="none"/>
                    </w:rPr>
                  </w:pPr>
                  <w:r>
                    <w:rPr>
                      <w:rFonts w:ascii="Times New Roman" w:hAnsi="Times New Roman" w:eastAsia="宋体"/>
                      <w:b/>
                      <w:bCs/>
                      <w:color w:val="auto"/>
                      <w:kern w:val="0"/>
                      <w:szCs w:val="21"/>
                      <w:highlight w:val="none"/>
                    </w:rPr>
                    <w:t>序号</w:t>
                  </w:r>
                </w:p>
              </w:tc>
              <w:tc>
                <w:tcPr>
                  <w:tcW w:w="599" w:type="pct"/>
                  <w:noWrap w:val="0"/>
                  <w:vAlign w:val="center"/>
                </w:tcPr>
                <w:p w14:paraId="24E03494">
                  <w:pPr>
                    <w:topLinePunct/>
                    <w:jc w:val="center"/>
                    <w:rPr>
                      <w:rFonts w:ascii="Times New Roman" w:hAnsi="Times New Roman" w:eastAsia="宋体"/>
                      <w:b/>
                      <w:bCs/>
                      <w:color w:val="auto"/>
                      <w:kern w:val="0"/>
                      <w:szCs w:val="21"/>
                      <w:highlight w:val="none"/>
                    </w:rPr>
                  </w:pPr>
                  <w:r>
                    <w:rPr>
                      <w:rFonts w:hint="eastAsia" w:ascii="Times New Roman" w:hAnsi="Times New Roman" w:eastAsia="宋体"/>
                      <w:b/>
                      <w:bCs/>
                      <w:color w:val="auto"/>
                      <w:kern w:val="0"/>
                      <w:szCs w:val="21"/>
                      <w:highlight w:val="none"/>
                      <w:lang w:eastAsia="zh-CN"/>
                    </w:rPr>
                    <w:t>固体</w:t>
                  </w:r>
                  <w:r>
                    <w:rPr>
                      <w:rFonts w:ascii="Times New Roman" w:hAnsi="Times New Roman" w:eastAsia="宋体"/>
                      <w:b/>
                      <w:bCs/>
                      <w:color w:val="auto"/>
                      <w:kern w:val="0"/>
                      <w:szCs w:val="21"/>
                      <w:highlight w:val="none"/>
                    </w:rPr>
                    <w:t>废物名称</w:t>
                  </w:r>
                </w:p>
              </w:tc>
              <w:tc>
                <w:tcPr>
                  <w:tcW w:w="432" w:type="pct"/>
                  <w:noWrap w:val="0"/>
                  <w:vAlign w:val="center"/>
                </w:tcPr>
                <w:p w14:paraId="4E557A1A">
                  <w:pPr>
                    <w:topLinePunct/>
                    <w:jc w:val="center"/>
                    <w:rPr>
                      <w:rFonts w:ascii="Times New Roman" w:hAnsi="Times New Roman" w:eastAsia="宋体"/>
                      <w:b/>
                      <w:bCs/>
                      <w:color w:val="auto"/>
                      <w:kern w:val="0"/>
                      <w:szCs w:val="21"/>
                      <w:highlight w:val="none"/>
                    </w:rPr>
                  </w:pPr>
                  <w:r>
                    <w:rPr>
                      <w:rFonts w:ascii="Times New Roman" w:hAnsi="Times New Roman" w:eastAsia="宋体"/>
                      <w:b/>
                      <w:bCs/>
                      <w:color w:val="auto"/>
                      <w:kern w:val="0"/>
                      <w:szCs w:val="21"/>
                      <w:highlight w:val="none"/>
                    </w:rPr>
                    <w:t>类别</w:t>
                  </w:r>
                </w:p>
              </w:tc>
              <w:tc>
                <w:tcPr>
                  <w:tcW w:w="524" w:type="pct"/>
                  <w:noWrap w:val="0"/>
                  <w:vAlign w:val="center"/>
                </w:tcPr>
                <w:p w14:paraId="4737CE59">
                  <w:pPr>
                    <w:topLinePunct/>
                    <w:jc w:val="center"/>
                    <w:rPr>
                      <w:rFonts w:ascii="Times New Roman" w:hAnsi="Times New Roman" w:eastAsia="宋体"/>
                      <w:b/>
                      <w:bCs/>
                      <w:color w:val="auto"/>
                      <w:kern w:val="0"/>
                      <w:szCs w:val="21"/>
                      <w:highlight w:val="none"/>
                    </w:rPr>
                  </w:pPr>
                  <w:r>
                    <w:rPr>
                      <w:rFonts w:ascii="Times New Roman" w:hAnsi="Times New Roman" w:eastAsia="宋体"/>
                      <w:b/>
                      <w:bCs/>
                      <w:color w:val="auto"/>
                      <w:kern w:val="0"/>
                      <w:szCs w:val="21"/>
                      <w:highlight w:val="none"/>
                    </w:rPr>
                    <w:t>废物代码</w:t>
                  </w:r>
                </w:p>
              </w:tc>
              <w:tc>
                <w:tcPr>
                  <w:tcW w:w="401" w:type="pct"/>
                  <w:noWrap w:val="0"/>
                  <w:vAlign w:val="center"/>
                </w:tcPr>
                <w:p w14:paraId="233FD1B5">
                  <w:pPr>
                    <w:topLinePunct/>
                    <w:jc w:val="center"/>
                    <w:rPr>
                      <w:rFonts w:ascii="Times New Roman" w:hAnsi="Times New Roman" w:eastAsia="宋体"/>
                      <w:b/>
                      <w:bCs/>
                      <w:color w:val="auto"/>
                      <w:kern w:val="0"/>
                      <w:szCs w:val="21"/>
                      <w:highlight w:val="none"/>
                    </w:rPr>
                  </w:pPr>
                  <w:r>
                    <w:rPr>
                      <w:rFonts w:ascii="Times New Roman" w:hAnsi="Times New Roman" w:eastAsia="宋体"/>
                      <w:b/>
                      <w:bCs/>
                      <w:color w:val="auto"/>
                      <w:kern w:val="0"/>
                      <w:szCs w:val="21"/>
                      <w:highlight w:val="none"/>
                    </w:rPr>
                    <w:t>产生量（吨/年）</w:t>
                  </w:r>
                </w:p>
              </w:tc>
              <w:tc>
                <w:tcPr>
                  <w:tcW w:w="649" w:type="pct"/>
                  <w:noWrap w:val="0"/>
                  <w:vAlign w:val="center"/>
                </w:tcPr>
                <w:p w14:paraId="08EEE2B5">
                  <w:pPr>
                    <w:topLinePunct/>
                    <w:jc w:val="center"/>
                    <w:rPr>
                      <w:rFonts w:ascii="Times New Roman" w:hAnsi="Times New Roman" w:eastAsia="宋体"/>
                      <w:b/>
                      <w:bCs/>
                      <w:color w:val="auto"/>
                      <w:kern w:val="0"/>
                      <w:szCs w:val="21"/>
                      <w:highlight w:val="none"/>
                    </w:rPr>
                  </w:pPr>
                  <w:r>
                    <w:rPr>
                      <w:rFonts w:ascii="Times New Roman" w:hAnsi="Times New Roman" w:eastAsia="宋体"/>
                      <w:b/>
                      <w:bCs/>
                      <w:color w:val="auto"/>
                      <w:kern w:val="0"/>
                      <w:szCs w:val="21"/>
                      <w:highlight w:val="none"/>
                    </w:rPr>
                    <w:t>产生工序及装置</w:t>
                  </w:r>
                </w:p>
              </w:tc>
              <w:tc>
                <w:tcPr>
                  <w:tcW w:w="363" w:type="pct"/>
                  <w:noWrap w:val="0"/>
                  <w:vAlign w:val="center"/>
                </w:tcPr>
                <w:p w14:paraId="6697C3AF">
                  <w:pPr>
                    <w:topLinePunct/>
                    <w:jc w:val="center"/>
                    <w:rPr>
                      <w:rFonts w:ascii="Times New Roman" w:hAnsi="Times New Roman" w:eastAsia="宋体"/>
                      <w:b/>
                      <w:bCs/>
                      <w:color w:val="auto"/>
                      <w:kern w:val="0"/>
                      <w:szCs w:val="21"/>
                      <w:highlight w:val="none"/>
                    </w:rPr>
                  </w:pPr>
                  <w:r>
                    <w:rPr>
                      <w:rFonts w:ascii="Times New Roman" w:hAnsi="Times New Roman" w:eastAsia="宋体"/>
                      <w:b/>
                      <w:bCs/>
                      <w:color w:val="auto"/>
                      <w:kern w:val="0"/>
                      <w:szCs w:val="21"/>
                      <w:highlight w:val="none"/>
                    </w:rPr>
                    <w:t>形态</w:t>
                  </w:r>
                </w:p>
              </w:tc>
              <w:tc>
                <w:tcPr>
                  <w:tcW w:w="479" w:type="pct"/>
                  <w:noWrap w:val="0"/>
                  <w:vAlign w:val="center"/>
                </w:tcPr>
                <w:p w14:paraId="6752527E">
                  <w:pPr>
                    <w:topLinePunct/>
                    <w:jc w:val="center"/>
                    <w:rPr>
                      <w:rFonts w:hint="eastAsia" w:ascii="Times New Roman" w:hAnsi="Times New Roman" w:eastAsia="宋体"/>
                      <w:b/>
                      <w:bCs/>
                      <w:color w:val="auto"/>
                      <w:kern w:val="0"/>
                      <w:szCs w:val="21"/>
                      <w:highlight w:val="none"/>
                      <w:lang w:eastAsia="zh-CN"/>
                    </w:rPr>
                  </w:pPr>
                  <w:r>
                    <w:rPr>
                      <w:rFonts w:ascii="Times New Roman" w:hAnsi="Times New Roman" w:eastAsia="宋体"/>
                      <w:b/>
                      <w:bCs/>
                      <w:color w:val="auto"/>
                      <w:kern w:val="0"/>
                      <w:szCs w:val="21"/>
                      <w:highlight w:val="none"/>
                    </w:rPr>
                    <w:t>有害成分</w:t>
                  </w:r>
                  <w:r>
                    <w:rPr>
                      <w:rFonts w:hint="eastAsia" w:ascii="Times New Roman" w:hAnsi="Times New Roman" w:eastAsia="宋体"/>
                      <w:b/>
                      <w:bCs/>
                      <w:color w:val="auto"/>
                      <w:kern w:val="0"/>
                      <w:szCs w:val="21"/>
                      <w:highlight w:val="none"/>
                      <w:lang w:eastAsia="zh-CN"/>
                    </w:rPr>
                    <w:t>（危险废物）</w:t>
                  </w:r>
                </w:p>
              </w:tc>
              <w:tc>
                <w:tcPr>
                  <w:tcW w:w="302" w:type="pct"/>
                  <w:noWrap w:val="0"/>
                  <w:vAlign w:val="center"/>
                </w:tcPr>
                <w:p w14:paraId="0B344AC5">
                  <w:pPr>
                    <w:topLinePunct/>
                    <w:jc w:val="center"/>
                    <w:rPr>
                      <w:rFonts w:ascii="Times New Roman" w:hAnsi="Times New Roman" w:eastAsia="宋体"/>
                      <w:b/>
                      <w:bCs/>
                      <w:color w:val="auto"/>
                      <w:kern w:val="0"/>
                      <w:szCs w:val="21"/>
                      <w:highlight w:val="none"/>
                    </w:rPr>
                  </w:pPr>
                  <w:r>
                    <w:rPr>
                      <w:rFonts w:ascii="Times New Roman" w:hAnsi="Times New Roman" w:eastAsia="宋体"/>
                      <w:b/>
                      <w:bCs/>
                      <w:color w:val="auto"/>
                      <w:kern w:val="0"/>
                      <w:szCs w:val="21"/>
                      <w:highlight w:val="none"/>
                    </w:rPr>
                    <w:t>危险</w:t>
                  </w:r>
                  <w:r>
                    <w:rPr>
                      <w:rFonts w:hint="eastAsia" w:ascii="Times New Roman" w:hAnsi="Times New Roman" w:eastAsia="宋体"/>
                      <w:b/>
                      <w:bCs/>
                      <w:color w:val="auto"/>
                      <w:kern w:val="0"/>
                      <w:szCs w:val="21"/>
                      <w:highlight w:val="none"/>
                      <w:lang w:eastAsia="zh-CN"/>
                    </w:rPr>
                    <w:t>废物</w:t>
                  </w:r>
                  <w:r>
                    <w:rPr>
                      <w:rFonts w:ascii="Times New Roman" w:hAnsi="Times New Roman" w:eastAsia="宋体"/>
                      <w:b/>
                      <w:bCs/>
                      <w:color w:val="auto"/>
                      <w:kern w:val="0"/>
                      <w:szCs w:val="21"/>
                      <w:highlight w:val="none"/>
                    </w:rPr>
                    <w:t>特性</w:t>
                  </w:r>
                </w:p>
              </w:tc>
              <w:tc>
                <w:tcPr>
                  <w:tcW w:w="293" w:type="pct"/>
                  <w:noWrap w:val="0"/>
                  <w:vAlign w:val="center"/>
                </w:tcPr>
                <w:p w14:paraId="6ACB29E3">
                  <w:pPr>
                    <w:topLinePunct/>
                    <w:jc w:val="center"/>
                    <w:rPr>
                      <w:rFonts w:ascii="Times New Roman" w:hAnsi="Times New Roman" w:eastAsia="宋体"/>
                      <w:b/>
                      <w:bCs/>
                      <w:color w:val="auto"/>
                      <w:kern w:val="0"/>
                      <w:szCs w:val="21"/>
                      <w:highlight w:val="none"/>
                    </w:rPr>
                  </w:pPr>
                  <w:r>
                    <w:rPr>
                      <w:rFonts w:ascii="Times New Roman" w:hAnsi="Times New Roman" w:eastAsia="宋体"/>
                      <w:b/>
                      <w:bCs/>
                      <w:color w:val="auto"/>
                      <w:kern w:val="0"/>
                      <w:szCs w:val="21"/>
                      <w:highlight w:val="none"/>
                    </w:rPr>
                    <w:t>产废周期</w:t>
                  </w:r>
                </w:p>
              </w:tc>
              <w:tc>
                <w:tcPr>
                  <w:tcW w:w="367" w:type="pct"/>
                  <w:noWrap w:val="0"/>
                  <w:vAlign w:val="center"/>
                </w:tcPr>
                <w:p w14:paraId="25FC062E">
                  <w:pPr>
                    <w:topLinePunct/>
                    <w:jc w:val="center"/>
                    <w:rPr>
                      <w:rFonts w:hint="eastAsia" w:ascii="Times New Roman" w:hAnsi="Times New Roman" w:eastAsia="宋体"/>
                      <w:b/>
                      <w:bCs/>
                      <w:color w:val="auto"/>
                      <w:kern w:val="0"/>
                      <w:szCs w:val="21"/>
                      <w:highlight w:val="none"/>
                      <w:lang w:eastAsia="zh-CN"/>
                    </w:rPr>
                  </w:pPr>
                  <w:r>
                    <w:rPr>
                      <w:rFonts w:hint="eastAsia" w:ascii="Times New Roman" w:hAnsi="Times New Roman" w:eastAsia="宋体"/>
                      <w:b/>
                      <w:bCs/>
                      <w:color w:val="auto"/>
                      <w:kern w:val="0"/>
                      <w:szCs w:val="21"/>
                      <w:highlight w:val="none"/>
                      <w:lang w:eastAsia="zh-CN"/>
                    </w:rPr>
                    <w:t>暂存</w:t>
                  </w:r>
                </w:p>
                <w:p w14:paraId="08D703B7">
                  <w:pPr>
                    <w:topLinePunct/>
                    <w:jc w:val="center"/>
                    <w:rPr>
                      <w:rFonts w:hint="eastAsia" w:ascii="Times New Roman" w:hAnsi="Times New Roman" w:eastAsia="宋体"/>
                      <w:b/>
                      <w:bCs/>
                      <w:color w:val="auto"/>
                      <w:kern w:val="0"/>
                      <w:szCs w:val="21"/>
                      <w:highlight w:val="none"/>
                      <w:lang w:eastAsia="zh-CN"/>
                    </w:rPr>
                  </w:pPr>
                  <w:r>
                    <w:rPr>
                      <w:rFonts w:hint="eastAsia" w:ascii="Times New Roman" w:hAnsi="Times New Roman" w:eastAsia="宋体"/>
                      <w:b/>
                      <w:bCs/>
                      <w:color w:val="auto"/>
                      <w:kern w:val="0"/>
                      <w:szCs w:val="21"/>
                      <w:highlight w:val="none"/>
                      <w:lang w:eastAsia="zh-CN"/>
                    </w:rPr>
                    <w:t>方式</w:t>
                  </w:r>
                </w:p>
              </w:tc>
              <w:tc>
                <w:tcPr>
                  <w:tcW w:w="367" w:type="pct"/>
                  <w:noWrap w:val="0"/>
                  <w:vAlign w:val="center"/>
                </w:tcPr>
                <w:p w14:paraId="19C104AE">
                  <w:pPr>
                    <w:topLinePunct/>
                    <w:jc w:val="center"/>
                    <w:rPr>
                      <w:rFonts w:hint="eastAsia" w:ascii="Times New Roman" w:hAnsi="Times New Roman" w:eastAsia="宋体"/>
                      <w:b/>
                      <w:bCs/>
                      <w:color w:val="auto"/>
                      <w:kern w:val="0"/>
                      <w:szCs w:val="21"/>
                      <w:highlight w:val="none"/>
                      <w:lang w:eastAsia="zh-CN"/>
                    </w:rPr>
                  </w:pPr>
                  <w:r>
                    <w:rPr>
                      <w:rFonts w:hint="eastAsia" w:ascii="Times New Roman" w:hAnsi="Times New Roman" w:eastAsia="宋体"/>
                      <w:b/>
                      <w:bCs/>
                      <w:color w:val="auto"/>
                      <w:kern w:val="0"/>
                      <w:szCs w:val="21"/>
                      <w:highlight w:val="none"/>
                      <w:lang w:eastAsia="zh-CN"/>
                    </w:rPr>
                    <w:t>处置方式及去向</w:t>
                  </w:r>
                </w:p>
              </w:tc>
            </w:tr>
            <w:tr w14:paraId="34831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408C8AAC">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1</w:t>
                  </w:r>
                </w:p>
              </w:tc>
              <w:tc>
                <w:tcPr>
                  <w:tcW w:w="599" w:type="pct"/>
                  <w:noWrap w:val="0"/>
                  <w:vAlign w:val="center"/>
                </w:tcPr>
                <w:p w14:paraId="1D914A4D">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动力蓄电池</w:t>
                  </w:r>
                </w:p>
              </w:tc>
              <w:tc>
                <w:tcPr>
                  <w:tcW w:w="432" w:type="pct"/>
                  <w:noWrap w:val="0"/>
                  <w:vAlign w:val="center"/>
                </w:tcPr>
                <w:p w14:paraId="28414754">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一般工业固废</w:t>
                  </w:r>
                </w:p>
                <w:p w14:paraId="583D87EA">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（Ⅱ类）</w:t>
                  </w:r>
                </w:p>
              </w:tc>
              <w:tc>
                <w:tcPr>
                  <w:tcW w:w="524" w:type="pct"/>
                  <w:noWrap w:val="0"/>
                  <w:vAlign w:val="center"/>
                </w:tcPr>
                <w:p w14:paraId="1297B7D5">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900-001-S60</w:t>
                  </w:r>
                </w:p>
              </w:tc>
              <w:tc>
                <w:tcPr>
                  <w:tcW w:w="401" w:type="pct"/>
                  <w:noWrap w:val="0"/>
                  <w:vAlign w:val="center"/>
                </w:tcPr>
                <w:p w14:paraId="02EC55DA">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340</w:t>
                  </w:r>
                </w:p>
              </w:tc>
              <w:tc>
                <w:tcPr>
                  <w:tcW w:w="649" w:type="pct"/>
                  <w:noWrap w:val="0"/>
                  <w:vAlign w:val="center"/>
                </w:tcPr>
                <w:p w14:paraId="066B1EDB">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动力蓄电池拆卸</w:t>
                  </w:r>
                </w:p>
              </w:tc>
              <w:tc>
                <w:tcPr>
                  <w:tcW w:w="363" w:type="pct"/>
                  <w:noWrap w:val="0"/>
                  <w:vAlign w:val="center"/>
                </w:tcPr>
                <w:p w14:paraId="634E405F">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固态</w:t>
                  </w:r>
                </w:p>
              </w:tc>
              <w:tc>
                <w:tcPr>
                  <w:tcW w:w="479" w:type="pct"/>
                  <w:noWrap w:val="0"/>
                  <w:vAlign w:val="center"/>
                </w:tcPr>
                <w:p w14:paraId="4E8BDF32">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w:t>
                  </w:r>
                </w:p>
              </w:tc>
              <w:tc>
                <w:tcPr>
                  <w:tcW w:w="302" w:type="pct"/>
                  <w:noWrap w:val="0"/>
                  <w:vAlign w:val="center"/>
                </w:tcPr>
                <w:p w14:paraId="4C24B798">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w:t>
                  </w:r>
                </w:p>
              </w:tc>
              <w:tc>
                <w:tcPr>
                  <w:tcW w:w="293" w:type="pct"/>
                  <w:noWrap w:val="0"/>
                  <w:vAlign w:val="center"/>
                </w:tcPr>
                <w:p w14:paraId="7248B6CF">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每天</w:t>
                  </w:r>
                </w:p>
              </w:tc>
              <w:tc>
                <w:tcPr>
                  <w:tcW w:w="367" w:type="pct"/>
                  <w:noWrap w:val="0"/>
                  <w:vAlign w:val="center"/>
                </w:tcPr>
                <w:p w14:paraId="3E04A622">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塑料槽装防渗漏，暂存于动力蓄电池间</w:t>
                  </w:r>
                </w:p>
              </w:tc>
              <w:tc>
                <w:tcPr>
                  <w:tcW w:w="367" w:type="pct"/>
                  <w:noWrap w:val="0"/>
                  <w:vAlign w:val="center"/>
                </w:tcPr>
                <w:p w14:paraId="0E0EABEC">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定期交由回收单位处理</w:t>
                  </w:r>
                </w:p>
              </w:tc>
            </w:tr>
            <w:tr w14:paraId="3CCE5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0AC8181C">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2</w:t>
                  </w:r>
                </w:p>
              </w:tc>
              <w:tc>
                <w:tcPr>
                  <w:tcW w:w="599" w:type="pct"/>
                  <w:noWrap w:val="0"/>
                  <w:vAlign w:val="center"/>
                </w:tcPr>
                <w:p w14:paraId="04D12C24">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不可利用其他材料（引爆的安全气囊、废玻璃、废皮革等）</w:t>
                  </w:r>
                </w:p>
              </w:tc>
              <w:tc>
                <w:tcPr>
                  <w:tcW w:w="432" w:type="pct"/>
                  <w:noWrap w:val="0"/>
                  <w:vAlign w:val="center"/>
                </w:tcPr>
                <w:p w14:paraId="6AF6F84A">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一般工业固废</w:t>
                  </w:r>
                </w:p>
                <w:p w14:paraId="6399D0E8">
                  <w:pPr>
                    <w:topLinePunct/>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lang w:eastAsia="zh-CN"/>
                    </w:rPr>
                    <w:t>（</w:t>
                  </w:r>
                  <w:r>
                    <w:rPr>
                      <w:rFonts w:hint="eastAsia" w:ascii="Times New Roman" w:hAnsi="Times New Roman" w:eastAsia="宋体" w:cs="Times New Roman"/>
                      <w:color w:val="auto"/>
                      <w:sz w:val="21"/>
                      <w:szCs w:val="21"/>
                      <w:highlight w:val="none"/>
                      <w:lang w:val="en-US" w:eastAsia="zh-CN"/>
                    </w:rPr>
                    <w:t>Ⅰ类</w:t>
                  </w:r>
                  <w:r>
                    <w:rPr>
                      <w:rFonts w:hint="eastAsia" w:ascii="Times New Roman" w:hAnsi="Times New Roman" w:eastAsia="宋体"/>
                      <w:color w:val="auto"/>
                      <w:szCs w:val="21"/>
                      <w:highlight w:val="none"/>
                      <w:lang w:eastAsia="zh-CN"/>
                    </w:rPr>
                    <w:t>）</w:t>
                  </w:r>
                </w:p>
              </w:tc>
              <w:tc>
                <w:tcPr>
                  <w:tcW w:w="524" w:type="pct"/>
                  <w:noWrap w:val="0"/>
                  <w:vAlign w:val="center"/>
                </w:tcPr>
                <w:p w14:paraId="002C2F94">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900-099-S59</w:t>
                  </w:r>
                </w:p>
              </w:tc>
              <w:tc>
                <w:tcPr>
                  <w:tcW w:w="401" w:type="pct"/>
                  <w:noWrap w:val="0"/>
                  <w:vAlign w:val="center"/>
                </w:tcPr>
                <w:p w14:paraId="39EB5705">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857.08</w:t>
                  </w:r>
                </w:p>
              </w:tc>
              <w:tc>
                <w:tcPr>
                  <w:tcW w:w="649" w:type="pct"/>
                  <w:noWrap w:val="0"/>
                  <w:vAlign w:val="center"/>
                </w:tcPr>
                <w:p w14:paraId="0E36683D">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拆解</w:t>
                  </w:r>
                </w:p>
              </w:tc>
              <w:tc>
                <w:tcPr>
                  <w:tcW w:w="363" w:type="pct"/>
                  <w:noWrap w:val="0"/>
                  <w:vAlign w:val="center"/>
                </w:tcPr>
                <w:p w14:paraId="43B88B0D">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固态</w:t>
                  </w:r>
                </w:p>
              </w:tc>
              <w:tc>
                <w:tcPr>
                  <w:tcW w:w="479" w:type="pct"/>
                  <w:noWrap w:val="0"/>
                  <w:vAlign w:val="center"/>
                </w:tcPr>
                <w:p w14:paraId="60803550">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lang w:val="en-US" w:eastAsia="zh-CN"/>
                    </w:rPr>
                    <w:t>/</w:t>
                  </w:r>
                </w:p>
              </w:tc>
              <w:tc>
                <w:tcPr>
                  <w:tcW w:w="302" w:type="pct"/>
                  <w:noWrap w:val="0"/>
                  <w:vAlign w:val="center"/>
                </w:tcPr>
                <w:p w14:paraId="531C55DE">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lang w:val="en-US" w:eastAsia="zh-CN"/>
                    </w:rPr>
                    <w:t>/</w:t>
                  </w:r>
                </w:p>
              </w:tc>
              <w:tc>
                <w:tcPr>
                  <w:tcW w:w="293" w:type="pct"/>
                  <w:noWrap w:val="0"/>
                  <w:vAlign w:val="center"/>
                </w:tcPr>
                <w:p w14:paraId="0D60D1BE">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lang w:eastAsia="zh-CN"/>
                    </w:rPr>
                    <w:t>每天</w:t>
                  </w:r>
                </w:p>
              </w:tc>
              <w:tc>
                <w:tcPr>
                  <w:tcW w:w="367" w:type="pct"/>
                  <w:noWrap w:val="0"/>
                  <w:vAlign w:val="center"/>
                </w:tcPr>
                <w:p w14:paraId="7850D10E">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暂存于一般工业固废暂存间</w:t>
                  </w:r>
                </w:p>
              </w:tc>
              <w:tc>
                <w:tcPr>
                  <w:tcW w:w="367" w:type="pct"/>
                  <w:noWrap w:val="0"/>
                  <w:vAlign w:val="center"/>
                </w:tcPr>
                <w:p w14:paraId="1F558EF3">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eastAsia="zh-CN"/>
                    </w:rPr>
                    <w:t>交由环卫部门统一清运</w:t>
                  </w:r>
                  <w:r>
                    <w:rPr>
                      <w:rFonts w:hint="eastAsia" w:ascii="Times New Roman" w:hAnsi="Times New Roman" w:eastAsia="宋体"/>
                      <w:color w:val="auto"/>
                      <w:kern w:val="0"/>
                      <w:szCs w:val="21"/>
                      <w:highlight w:val="none"/>
                      <w:lang w:val="en-US" w:eastAsia="zh-CN"/>
                    </w:rPr>
                    <w:t>处置</w:t>
                  </w:r>
                </w:p>
              </w:tc>
            </w:tr>
            <w:tr w14:paraId="00634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1A800FB3">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3</w:t>
                  </w:r>
                </w:p>
              </w:tc>
              <w:tc>
                <w:tcPr>
                  <w:tcW w:w="599" w:type="pct"/>
                  <w:noWrap w:val="0"/>
                  <w:vAlign w:val="center"/>
                </w:tcPr>
                <w:p w14:paraId="0D4C623E">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布袋收集尘及地面清扫尘</w:t>
                  </w:r>
                </w:p>
              </w:tc>
              <w:tc>
                <w:tcPr>
                  <w:tcW w:w="432" w:type="pct"/>
                  <w:noWrap w:val="0"/>
                  <w:vAlign w:val="center"/>
                </w:tcPr>
                <w:p w14:paraId="04269430">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一般工业固废</w:t>
                  </w:r>
                </w:p>
                <w:p w14:paraId="3BF83CB1">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w:t>
                  </w:r>
                  <w:r>
                    <w:rPr>
                      <w:rFonts w:hint="eastAsia" w:ascii="Times New Roman" w:hAnsi="Times New Roman" w:eastAsia="宋体" w:cs="Times New Roman"/>
                      <w:color w:val="auto"/>
                      <w:sz w:val="21"/>
                      <w:szCs w:val="21"/>
                      <w:highlight w:val="none"/>
                      <w:lang w:val="en-US" w:eastAsia="zh-CN"/>
                    </w:rPr>
                    <w:t>Ⅰ类</w:t>
                  </w:r>
                  <w:r>
                    <w:rPr>
                      <w:rFonts w:hint="eastAsia" w:ascii="Times New Roman" w:hAnsi="Times New Roman" w:eastAsia="宋体"/>
                      <w:color w:val="auto"/>
                      <w:szCs w:val="21"/>
                      <w:highlight w:val="none"/>
                      <w:lang w:eastAsia="zh-CN"/>
                    </w:rPr>
                    <w:t>）</w:t>
                  </w:r>
                </w:p>
              </w:tc>
              <w:tc>
                <w:tcPr>
                  <w:tcW w:w="524" w:type="pct"/>
                  <w:noWrap w:val="0"/>
                  <w:vAlign w:val="center"/>
                </w:tcPr>
                <w:p w14:paraId="2BC06AE3">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900-099-S59</w:t>
                  </w:r>
                </w:p>
              </w:tc>
              <w:tc>
                <w:tcPr>
                  <w:tcW w:w="401" w:type="pct"/>
                  <w:noWrap w:val="0"/>
                  <w:vAlign w:val="center"/>
                </w:tcPr>
                <w:p w14:paraId="429647E4">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0.2502</w:t>
                  </w:r>
                </w:p>
              </w:tc>
              <w:tc>
                <w:tcPr>
                  <w:tcW w:w="649" w:type="pct"/>
                  <w:noWrap w:val="0"/>
                  <w:vAlign w:val="center"/>
                </w:tcPr>
                <w:p w14:paraId="00505628">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废气处理、拆解车间地面清扫</w:t>
                  </w:r>
                </w:p>
              </w:tc>
              <w:tc>
                <w:tcPr>
                  <w:tcW w:w="363" w:type="pct"/>
                  <w:noWrap w:val="0"/>
                  <w:vAlign w:val="center"/>
                </w:tcPr>
                <w:p w14:paraId="514AFF71">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固态</w:t>
                  </w:r>
                </w:p>
              </w:tc>
              <w:tc>
                <w:tcPr>
                  <w:tcW w:w="479" w:type="pct"/>
                  <w:noWrap w:val="0"/>
                  <w:vAlign w:val="center"/>
                </w:tcPr>
                <w:p w14:paraId="09DC52F2">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w:t>
                  </w:r>
                </w:p>
              </w:tc>
              <w:tc>
                <w:tcPr>
                  <w:tcW w:w="302" w:type="pct"/>
                  <w:noWrap w:val="0"/>
                  <w:vAlign w:val="center"/>
                </w:tcPr>
                <w:p w14:paraId="6B822762">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w:t>
                  </w:r>
                </w:p>
              </w:tc>
              <w:tc>
                <w:tcPr>
                  <w:tcW w:w="293" w:type="pct"/>
                  <w:noWrap w:val="0"/>
                  <w:vAlign w:val="center"/>
                </w:tcPr>
                <w:p w14:paraId="36EB0FA1">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每天</w:t>
                  </w:r>
                </w:p>
              </w:tc>
              <w:tc>
                <w:tcPr>
                  <w:tcW w:w="367" w:type="pct"/>
                  <w:vMerge w:val="restart"/>
                  <w:noWrap w:val="0"/>
                  <w:vAlign w:val="center"/>
                </w:tcPr>
                <w:p w14:paraId="41DA0E6E">
                  <w:pPr>
                    <w:topLinePunct/>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暂存于一般工业固废暂存间</w:t>
                  </w:r>
                </w:p>
              </w:tc>
              <w:tc>
                <w:tcPr>
                  <w:tcW w:w="367" w:type="pct"/>
                  <w:vMerge w:val="restart"/>
                  <w:noWrap w:val="0"/>
                  <w:vAlign w:val="center"/>
                </w:tcPr>
                <w:p w14:paraId="15D5C194">
                  <w:pPr>
                    <w:topLinePunct/>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val="en-US" w:eastAsia="zh-CN"/>
                    </w:rPr>
                    <w:t>委托合规处置单位利用和处置</w:t>
                  </w:r>
                </w:p>
              </w:tc>
            </w:tr>
            <w:tr w14:paraId="0A2E9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302869FF">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4</w:t>
                  </w:r>
                </w:p>
              </w:tc>
              <w:tc>
                <w:tcPr>
                  <w:tcW w:w="599" w:type="pct"/>
                  <w:noWrap w:val="0"/>
                  <w:vAlign w:val="center"/>
                </w:tcPr>
                <w:p w14:paraId="12422C40">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废燃料罐</w:t>
                  </w:r>
                </w:p>
              </w:tc>
              <w:tc>
                <w:tcPr>
                  <w:tcW w:w="432" w:type="pct"/>
                  <w:noWrap w:val="0"/>
                  <w:vAlign w:val="center"/>
                </w:tcPr>
                <w:p w14:paraId="2B9EF14E">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一般工业固废</w:t>
                  </w:r>
                </w:p>
                <w:p w14:paraId="0D7DDC90">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w:t>
                  </w:r>
                  <w:r>
                    <w:rPr>
                      <w:rFonts w:hint="eastAsia" w:ascii="Times New Roman" w:hAnsi="Times New Roman" w:eastAsia="宋体" w:cs="Times New Roman"/>
                      <w:color w:val="auto"/>
                      <w:sz w:val="21"/>
                      <w:szCs w:val="21"/>
                      <w:highlight w:val="none"/>
                      <w:lang w:val="en-US" w:eastAsia="zh-CN"/>
                    </w:rPr>
                    <w:t>Ⅰ类</w:t>
                  </w:r>
                  <w:r>
                    <w:rPr>
                      <w:rFonts w:hint="eastAsia" w:ascii="Times New Roman" w:hAnsi="Times New Roman" w:eastAsia="宋体"/>
                      <w:color w:val="auto"/>
                      <w:szCs w:val="21"/>
                      <w:highlight w:val="none"/>
                      <w:lang w:eastAsia="zh-CN"/>
                    </w:rPr>
                    <w:t>）</w:t>
                  </w:r>
                </w:p>
              </w:tc>
              <w:tc>
                <w:tcPr>
                  <w:tcW w:w="524" w:type="pct"/>
                  <w:noWrap w:val="0"/>
                  <w:vAlign w:val="center"/>
                </w:tcPr>
                <w:p w14:paraId="43AB73AA">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auto"/>
                      <w:szCs w:val="21"/>
                      <w:highlight w:val="none"/>
                      <w:lang w:val="en-US" w:eastAsia="zh-CN"/>
                    </w:rPr>
                    <w:t>900-099-S59</w:t>
                  </w:r>
                </w:p>
              </w:tc>
              <w:tc>
                <w:tcPr>
                  <w:tcW w:w="401" w:type="pct"/>
                  <w:noWrap w:val="0"/>
                  <w:vAlign w:val="center"/>
                </w:tcPr>
                <w:p w14:paraId="2090E84E">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649" w:type="pct"/>
                  <w:noWrap w:val="0"/>
                  <w:vAlign w:val="center"/>
                </w:tcPr>
                <w:p w14:paraId="0AC8C0A5">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拆解</w:t>
                  </w:r>
                </w:p>
              </w:tc>
              <w:tc>
                <w:tcPr>
                  <w:tcW w:w="363" w:type="pct"/>
                  <w:noWrap w:val="0"/>
                  <w:vAlign w:val="center"/>
                </w:tcPr>
                <w:p w14:paraId="76AD2E8C">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固态</w:t>
                  </w:r>
                </w:p>
              </w:tc>
              <w:tc>
                <w:tcPr>
                  <w:tcW w:w="479" w:type="pct"/>
                  <w:noWrap w:val="0"/>
                  <w:vAlign w:val="center"/>
                </w:tcPr>
                <w:p w14:paraId="5D676D97">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w:t>
                  </w:r>
                </w:p>
              </w:tc>
              <w:tc>
                <w:tcPr>
                  <w:tcW w:w="302" w:type="pct"/>
                  <w:noWrap w:val="0"/>
                  <w:vAlign w:val="center"/>
                </w:tcPr>
                <w:p w14:paraId="5137B2EF">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w:t>
                  </w:r>
                </w:p>
              </w:tc>
              <w:tc>
                <w:tcPr>
                  <w:tcW w:w="293" w:type="pct"/>
                  <w:noWrap w:val="0"/>
                  <w:vAlign w:val="center"/>
                </w:tcPr>
                <w:p w14:paraId="2904A1D6">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每天</w:t>
                  </w:r>
                </w:p>
              </w:tc>
              <w:tc>
                <w:tcPr>
                  <w:tcW w:w="367" w:type="pct"/>
                  <w:vMerge w:val="continue"/>
                  <w:noWrap w:val="0"/>
                  <w:vAlign w:val="center"/>
                </w:tcPr>
                <w:p w14:paraId="70C84312">
                  <w:pPr>
                    <w:topLinePunct/>
                    <w:jc w:val="center"/>
                    <w:rPr>
                      <w:rFonts w:hint="eastAsia" w:ascii="Times New Roman" w:hAnsi="Times New Roman" w:eastAsia="宋体" w:cs="Times New Roman"/>
                      <w:color w:val="auto"/>
                      <w:kern w:val="0"/>
                      <w:szCs w:val="21"/>
                      <w:highlight w:val="none"/>
                      <w:lang w:eastAsia="zh-CN"/>
                    </w:rPr>
                  </w:pPr>
                </w:p>
              </w:tc>
              <w:tc>
                <w:tcPr>
                  <w:tcW w:w="367" w:type="pct"/>
                  <w:vMerge w:val="continue"/>
                  <w:noWrap w:val="0"/>
                  <w:vAlign w:val="center"/>
                </w:tcPr>
                <w:p w14:paraId="10C1941B">
                  <w:pPr>
                    <w:topLinePunct/>
                    <w:jc w:val="center"/>
                    <w:rPr>
                      <w:rFonts w:hint="eastAsia" w:ascii="Times New Roman" w:hAnsi="Times New Roman" w:eastAsia="宋体" w:cs="Times New Roman"/>
                      <w:color w:val="auto"/>
                      <w:kern w:val="0"/>
                      <w:szCs w:val="21"/>
                      <w:highlight w:val="none"/>
                      <w:lang w:val="en-US" w:eastAsia="zh-CN"/>
                    </w:rPr>
                  </w:pPr>
                </w:p>
              </w:tc>
            </w:tr>
            <w:tr w14:paraId="30478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1875A630">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5</w:t>
                  </w:r>
                </w:p>
              </w:tc>
              <w:tc>
                <w:tcPr>
                  <w:tcW w:w="599" w:type="pct"/>
                  <w:noWrap w:val="0"/>
                  <w:vAlign w:val="center"/>
                </w:tcPr>
                <w:p w14:paraId="0E0BECC0">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水处理废过滤材料</w:t>
                  </w:r>
                </w:p>
              </w:tc>
              <w:tc>
                <w:tcPr>
                  <w:tcW w:w="432" w:type="pct"/>
                  <w:noWrap w:val="0"/>
                  <w:vAlign w:val="center"/>
                </w:tcPr>
                <w:p w14:paraId="161305FC">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一般工业固废</w:t>
                  </w:r>
                </w:p>
                <w:p w14:paraId="10E8FD4C">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w:t>
                  </w:r>
                  <w:r>
                    <w:rPr>
                      <w:rFonts w:hint="eastAsia" w:ascii="Times New Roman" w:hAnsi="Times New Roman" w:eastAsia="宋体" w:cs="Times New Roman"/>
                      <w:color w:val="auto"/>
                      <w:sz w:val="21"/>
                      <w:szCs w:val="21"/>
                      <w:highlight w:val="none"/>
                      <w:lang w:val="en-US" w:eastAsia="zh-CN"/>
                    </w:rPr>
                    <w:t>Ⅰ类</w:t>
                  </w:r>
                  <w:r>
                    <w:rPr>
                      <w:rFonts w:hint="eastAsia" w:ascii="Times New Roman" w:hAnsi="Times New Roman" w:eastAsia="宋体"/>
                      <w:color w:val="auto"/>
                      <w:szCs w:val="21"/>
                      <w:highlight w:val="none"/>
                      <w:lang w:eastAsia="zh-CN"/>
                    </w:rPr>
                    <w:t>）</w:t>
                  </w:r>
                </w:p>
              </w:tc>
              <w:tc>
                <w:tcPr>
                  <w:tcW w:w="524" w:type="pct"/>
                  <w:noWrap w:val="0"/>
                  <w:vAlign w:val="center"/>
                </w:tcPr>
                <w:p w14:paraId="21BE48CC">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900-009-S59</w:t>
                  </w:r>
                </w:p>
              </w:tc>
              <w:tc>
                <w:tcPr>
                  <w:tcW w:w="401" w:type="pct"/>
                  <w:noWrap w:val="0"/>
                  <w:vAlign w:val="center"/>
                </w:tcPr>
                <w:p w14:paraId="0D6A7988">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w:t>
                  </w:r>
                </w:p>
              </w:tc>
              <w:tc>
                <w:tcPr>
                  <w:tcW w:w="649" w:type="pct"/>
                  <w:noWrap w:val="0"/>
                  <w:vAlign w:val="center"/>
                </w:tcPr>
                <w:p w14:paraId="4A6796CF">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废石英砂、废活性炭</w:t>
                  </w:r>
                </w:p>
              </w:tc>
              <w:tc>
                <w:tcPr>
                  <w:tcW w:w="363" w:type="pct"/>
                  <w:noWrap w:val="0"/>
                  <w:vAlign w:val="center"/>
                </w:tcPr>
                <w:p w14:paraId="3A001247">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固态</w:t>
                  </w:r>
                </w:p>
              </w:tc>
              <w:tc>
                <w:tcPr>
                  <w:tcW w:w="479" w:type="pct"/>
                  <w:noWrap w:val="0"/>
                  <w:vAlign w:val="center"/>
                </w:tcPr>
                <w:p w14:paraId="77985D15">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w:t>
                  </w:r>
                </w:p>
              </w:tc>
              <w:tc>
                <w:tcPr>
                  <w:tcW w:w="302" w:type="pct"/>
                  <w:noWrap w:val="0"/>
                  <w:vAlign w:val="center"/>
                </w:tcPr>
                <w:p w14:paraId="4CA5B5B0">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w:t>
                  </w:r>
                </w:p>
              </w:tc>
              <w:tc>
                <w:tcPr>
                  <w:tcW w:w="293" w:type="pct"/>
                  <w:noWrap w:val="0"/>
                  <w:vAlign w:val="center"/>
                </w:tcPr>
                <w:p w14:paraId="0ED7B022">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eastAsia="zh-CN"/>
                    </w:rPr>
                    <w:t>每</w:t>
                  </w:r>
                  <w:r>
                    <w:rPr>
                      <w:rFonts w:hint="eastAsia" w:ascii="Times New Roman" w:hAnsi="Times New Roman" w:eastAsia="宋体"/>
                      <w:color w:val="auto"/>
                      <w:kern w:val="0"/>
                      <w:szCs w:val="21"/>
                      <w:highlight w:val="none"/>
                      <w:lang w:val="en-US" w:eastAsia="zh-CN"/>
                    </w:rPr>
                    <w:t>年</w:t>
                  </w:r>
                </w:p>
              </w:tc>
              <w:tc>
                <w:tcPr>
                  <w:tcW w:w="367" w:type="pct"/>
                  <w:vMerge w:val="continue"/>
                  <w:noWrap w:val="0"/>
                  <w:vAlign w:val="center"/>
                </w:tcPr>
                <w:p w14:paraId="65147A3E">
                  <w:pPr>
                    <w:topLinePunct/>
                    <w:jc w:val="center"/>
                    <w:rPr>
                      <w:rFonts w:hint="eastAsia" w:ascii="Times New Roman" w:hAnsi="Times New Roman" w:eastAsia="宋体" w:cs="Times New Roman"/>
                      <w:color w:val="auto"/>
                      <w:kern w:val="0"/>
                      <w:szCs w:val="21"/>
                      <w:highlight w:val="none"/>
                      <w:lang w:eastAsia="zh-CN"/>
                    </w:rPr>
                  </w:pPr>
                </w:p>
              </w:tc>
              <w:tc>
                <w:tcPr>
                  <w:tcW w:w="367" w:type="pct"/>
                  <w:vMerge w:val="continue"/>
                  <w:noWrap w:val="0"/>
                  <w:vAlign w:val="center"/>
                </w:tcPr>
                <w:p w14:paraId="060D7097">
                  <w:pPr>
                    <w:topLinePunct/>
                    <w:jc w:val="center"/>
                    <w:rPr>
                      <w:rFonts w:hint="eastAsia" w:ascii="Times New Roman" w:hAnsi="Times New Roman" w:eastAsia="宋体" w:cs="Times New Roman"/>
                      <w:color w:val="auto"/>
                      <w:kern w:val="0"/>
                      <w:szCs w:val="21"/>
                      <w:highlight w:val="none"/>
                      <w:lang w:val="en-US" w:eastAsia="zh-CN"/>
                    </w:rPr>
                  </w:pPr>
                </w:p>
              </w:tc>
            </w:tr>
            <w:tr w14:paraId="3C5F5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49846D66">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6</w:t>
                  </w:r>
                </w:p>
              </w:tc>
              <w:tc>
                <w:tcPr>
                  <w:tcW w:w="599" w:type="pct"/>
                  <w:noWrap w:val="0"/>
                  <w:vAlign w:val="center"/>
                </w:tcPr>
                <w:p w14:paraId="2B342EA2">
                  <w:pPr>
                    <w:topLinePunct/>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废铅酸蓄电池</w:t>
                  </w:r>
                </w:p>
              </w:tc>
              <w:tc>
                <w:tcPr>
                  <w:tcW w:w="432" w:type="pct"/>
                  <w:noWrap w:val="0"/>
                  <w:vAlign w:val="center"/>
                </w:tcPr>
                <w:p w14:paraId="1D879874">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1C0588A1">
                  <w:pPr>
                    <w:adjustRightInd w:val="0"/>
                    <w:snapToGrid w:val="0"/>
                    <w:jc w:val="center"/>
                    <w:rPr>
                      <w:rFonts w:hint="eastAsia" w:ascii="Times New Roman" w:hAnsi="Times New Roman" w:eastAsia="宋体"/>
                      <w:color w:val="auto"/>
                      <w:szCs w:val="21"/>
                      <w:highlight w:val="none"/>
                    </w:rPr>
                  </w:pPr>
                  <w:r>
                    <w:rPr>
                      <w:rFonts w:ascii="Times New Roman" w:hAnsi="Times New Roman" w:eastAsia="宋体"/>
                      <w:color w:val="auto"/>
                      <w:szCs w:val="21"/>
                      <w:highlight w:val="none"/>
                    </w:rPr>
                    <w:t>HW</w:t>
                  </w:r>
                  <w:r>
                    <w:rPr>
                      <w:rFonts w:hint="eastAsia" w:ascii="Times New Roman" w:hAnsi="Times New Roman" w:eastAsia="宋体"/>
                      <w:color w:val="auto"/>
                      <w:szCs w:val="21"/>
                      <w:highlight w:val="none"/>
                    </w:rPr>
                    <w:t>31</w:t>
                  </w:r>
                </w:p>
                <w:p w14:paraId="42BACDFB">
                  <w:pPr>
                    <w:adjustRightInd w:val="0"/>
                    <w:snapToGrid w:val="0"/>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rPr>
                    <w:t>900-052-31</w:t>
                  </w:r>
                </w:p>
              </w:tc>
              <w:tc>
                <w:tcPr>
                  <w:tcW w:w="401" w:type="pct"/>
                  <w:noWrap w:val="0"/>
                  <w:vAlign w:val="center"/>
                </w:tcPr>
                <w:p w14:paraId="5A99687E">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412</w:t>
                  </w:r>
                </w:p>
              </w:tc>
              <w:tc>
                <w:tcPr>
                  <w:tcW w:w="649" w:type="pct"/>
                  <w:noWrap w:val="0"/>
                  <w:vAlign w:val="center"/>
                </w:tcPr>
                <w:p w14:paraId="5A4FE3BB">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拆解</w:t>
                  </w:r>
                </w:p>
              </w:tc>
              <w:tc>
                <w:tcPr>
                  <w:tcW w:w="363" w:type="pct"/>
                  <w:noWrap w:val="0"/>
                  <w:vAlign w:val="center"/>
                </w:tcPr>
                <w:p w14:paraId="1CC1EED8">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固态</w:t>
                  </w:r>
                </w:p>
              </w:tc>
              <w:tc>
                <w:tcPr>
                  <w:tcW w:w="479" w:type="pct"/>
                  <w:noWrap w:val="0"/>
                  <w:vAlign w:val="center"/>
                </w:tcPr>
                <w:p w14:paraId="3924BA07">
                  <w:pPr>
                    <w:topLinePunct/>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铅、硫酸</w:t>
                  </w:r>
                </w:p>
              </w:tc>
              <w:tc>
                <w:tcPr>
                  <w:tcW w:w="302" w:type="pct"/>
                  <w:noWrap w:val="0"/>
                  <w:vAlign w:val="center"/>
                </w:tcPr>
                <w:p w14:paraId="31BD68ED">
                  <w:pPr>
                    <w:topLinePunct/>
                    <w:jc w:val="center"/>
                    <w:rPr>
                      <w:rFonts w:hint="eastAsia" w:ascii="Times New Roman" w:hAnsi="Times New Roman" w:eastAsia="宋体"/>
                      <w:color w:val="auto"/>
                      <w:kern w:val="0"/>
                      <w:szCs w:val="21"/>
                      <w:highlight w:val="none"/>
                    </w:rPr>
                  </w:pPr>
                  <w:r>
                    <w:rPr>
                      <w:rFonts w:ascii="Times New Roman" w:hAnsi="Times New Roman" w:eastAsia="宋体"/>
                      <w:color w:val="auto"/>
                      <w:kern w:val="0"/>
                      <w:szCs w:val="21"/>
                      <w:highlight w:val="none"/>
                    </w:rPr>
                    <w:t>T</w:t>
                  </w:r>
                  <w:r>
                    <w:rPr>
                      <w:rFonts w:hint="eastAsia" w:ascii="Times New Roman" w:hAnsi="Times New Roman" w:eastAsia="宋体"/>
                      <w:color w:val="auto"/>
                      <w:kern w:val="0"/>
                      <w:szCs w:val="21"/>
                      <w:highlight w:val="none"/>
                      <w:lang w:eastAsia="zh-CN"/>
                    </w:rPr>
                    <w:t>，</w:t>
                  </w:r>
                  <w:r>
                    <w:rPr>
                      <w:rFonts w:hint="eastAsia" w:ascii="Times New Roman" w:hAnsi="Times New Roman" w:eastAsia="宋体"/>
                      <w:color w:val="auto"/>
                      <w:kern w:val="0"/>
                      <w:szCs w:val="21"/>
                      <w:highlight w:val="none"/>
                    </w:rPr>
                    <w:t>C</w:t>
                  </w:r>
                </w:p>
              </w:tc>
              <w:tc>
                <w:tcPr>
                  <w:tcW w:w="293" w:type="pct"/>
                  <w:noWrap w:val="0"/>
                  <w:vAlign w:val="center"/>
                </w:tcPr>
                <w:p w14:paraId="6E78DA97">
                  <w:pPr>
                    <w:topLinePunct/>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每天</w:t>
                  </w:r>
                </w:p>
              </w:tc>
              <w:tc>
                <w:tcPr>
                  <w:tcW w:w="367" w:type="pct"/>
                  <w:vMerge w:val="restart"/>
                  <w:noWrap w:val="0"/>
                  <w:vAlign w:val="center"/>
                </w:tcPr>
                <w:p w14:paraId="5AB0B7DC">
                  <w:pPr>
                    <w:topLinePunct/>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使用专用密闭容器装存</w:t>
                  </w:r>
                  <w:r>
                    <w:rPr>
                      <w:rFonts w:hint="eastAsia" w:ascii="Times New Roman" w:hAnsi="Times New Roman" w:eastAsia="宋体"/>
                      <w:color w:val="auto"/>
                      <w:kern w:val="0"/>
                      <w:szCs w:val="21"/>
                      <w:highlight w:val="none"/>
                      <w:lang w:eastAsia="zh-CN"/>
                    </w:rPr>
                    <w:t>（</w:t>
                  </w:r>
                  <w:r>
                    <w:rPr>
                      <w:rFonts w:hint="eastAsia" w:ascii="Times New Roman" w:hAnsi="Times New Roman" w:eastAsia="宋体"/>
                      <w:color w:val="auto"/>
                      <w:kern w:val="0"/>
                      <w:szCs w:val="21"/>
                      <w:highlight w:val="none"/>
                      <w:lang w:val="en-US" w:eastAsia="zh-CN"/>
                    </w:rPr>
                    <w:t>蓄电池需采用耐酸容器</w:t>
                  </w:r>
                  <w:r>
                    <w:rPr>
                      <w:rFonts w:hint="eastAsia" w:ascii="Times New Roman" w:hAnsi="Times New Roman" w:eastAsia="宋体"/>
                      <w:color w:val="auto"/>
                      <w:kern w:val="0"/>
                      <w:szCs w:val="21"/>
                      <w:highlight w:val="none"/>
                      <w:lang w:eastAsia="zh-CN"/>
                    </w:rPr>
                    <w:t>）</w:t>
                  </w:r>
                  <w:r>
                    <w:rPr>
                      <w:rFonts w:hint="eastAsia" w:ascii="Times New Roman" w:hAnsi="Times New Roman" w:eastAsia="宋体"/>
                      <w:color w:val="auto"/>
                      <w:kern w:val="0"/>
                      <w:szCs w:val="21"/>
                      <w:highlight w:val="none"/>
                    </w:rPr>
                    <w:t>，分</w:t>
                  </w:r>
                  <w:r>
                    <w:rPr>
                      <w:rFonts w:hint="eastAsia" w:ascii="Times New Roman" w:hAnsi="Times New Roman" w:eastAsia="宋体"/>
                      <w:color w:val="auto"/>
                      <w:kern w:val="0"/>
                      <w:szCs w:val="21"/>
                      <w:highlight w:val="none"/>
                      <w:lang w:eastAsia="zh-CN"/>
                    </w:rPr>
                    <w:t>区</w:t>
                  </w:r>
                  <w:r>
                    <w:rPr>
                      <w:rFonts w:hint="eastAsia" w:ascii="Times New Roman" w:hAnsi="Times New Roman" w:eastAsia="宋体"/>
                      <w:color w:val="auto"/>
                      <w:kern w:val="0"/>
                      <w:szCs w:val="21"/>
                      <w:highlight w:val="none"/>
                    </w:rPr>
                    <w:t>暂存于</w:t>
                  </w:r>
                  <w:r>
                    <w:rPr>
                      <w:rFonts w:ascii="Times New Roman" w:hAnsi="Times New Roman" w:eastAsia="宋体"/>
                      <w:color w:val="auto"/>
                      <w:szCs w:val="21"/>
                      <w:highlight w:val="none"/>
                    </w:rPr>
                    <w:t>危废暂存间</w:t>
                  </w:r>
                </w:p>
              </w:tc>
              <w:tc>
                <w:tcPr>
                  <w:tcW w:w="367" w:type="pct"/>
                  <w:vMerge w:val="restart"/>
                  <w:noWrap w:val="0"/>
                  <w:vAlign w:val="center"/>
                </w:tcPr>
                <w:p w14:paraId="5C3601E9">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定期委托危险废物资质单位清运处置</w:t>
                  </w:r>
                </w:p>
              </w:tc>
            </w:tr>
            <w:tr w14:paraId="46E24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482E4940">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7</w:t>
                  </w:r>
                </w:p>
              </w:tc>
              <w:tc>
                <w:tcPr>
                  <w:tcW w:w="599" w:type="pct"/>
                  <w:noWrap w:val="0"/>
                  <w:vAlign w:val="center"/>
                </w:tcPr>
                <w:p w14:paraId="75450260">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rPr>
                    <w:t>废油液</w:t>
                  </w:r>
                  <w:r>
                    <w:rPr>
                      <w:rFonts w:hint="eastAsia" w:ascii="Times New Roman" w:hAnsi="Times New Roman" w:eastAsia="宋体"/>
                      <w:color w:val="auto"/>
                      <w:kern w:val="0"/>
                      <w:szCs w:val="21"/>
                      <w:highlight w:val="none"/>
                      <w:lang w:eastAsia="zh-CN"/>
                    </w:rPr>
                    <w:t>（</w:t>
                  </w:r>
                  <w:r>
                    <w:rPr>
                      <w:rFonts w:hint="eastAsia" w:ascii="Times New Roman" w:hAnsi="Times New Roman" w:eastAsia="宋体"/>
                      <w:color w:val="auto"/>
                      <w:kern w:val="0"/>
                      <w:szCs w:val="21"/>
                      <w:highlight w:val="none"/>
                      <w:lang w:val="en-US" w:eastAsia="zh-CN"/>
                    </w:rPr>
                    <w:t>机动车拆解</w:t>
                  </w:r>
                  <w:r>
                    <w:rPr>
                      <w:rFonts w:hint="eastAsia" w:ascii="Times New Roman" w:hAnsi="Times New Roman" w:eastAsia="宋体"/>
                      <w:color w:val="auto"/>
                      <w:kern w:val="0"/>
                      <w:szCs w:val="21"/>
                      <w:highlight w:val="none"/>
                      <w:lang w:eastAsia="zh-CN"/>
                    </w:rPr>
                    <w:t>）</w:t>
                  </w:r>
                </w:p>
              </w:tc>
              <w:tc>
                <w:tcPr>
                  <w:tcW w:w="432" w:type="pct"/>
                  <w:noWrap w:val="0"/>
                  <w:vAlign w:val="center"/>
                </w:tcPr>
                <w:p w14:paraId="3BB50FE9">
                  <w:pPr>
                    <w:topLinePunct/>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17DDD151">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HW08</w:t>
                  </w:r>
                </w:p>
                <w:p w14:paraId="1A278DA9">
                  <w:pPr>
                    <w:adjustRightInd w:val="0"/>
                    <w:snapToGrid w:val="0"/>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rPr>
                    <w:t>900-199-08</w:t>
                  </w:r>
                </w:p>
              </w:tc>
              <w:tc>
                <w:tcPr>
                  <w:tcW w:w="401" w:type="pct"/>
                  <w:noWrap w:val="0"/>
                  <w:vAlign w:val="center"/>
                </w:tcPr>
                <w:p w14:paraId="3477EE78">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157.046</w:t>
                  </w:r>
                </w:p>
              </w:tc>
              <w:tc>
                <w:tcPr>
                  <w:tcW w:w="649" w:type="pct"/>
                  <w:noWrap w:val="0"/>
                  <w:vAlign w:val="center"/>
                </w:tcPr>
                <w:p w14:paraId="01982C89">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预处理</w:t>
                  </w:r>
                </w:p>
              </w:tc>
              <w:tc>
                <w:tcPr>
                  <w:tcW w:w="363" w:type="pct"/>
                  <w:noWrap w:val="0"/>
                  <w:vAlign w:val="center"/>
                </w:tcPr>
                <w:p w14:paraId="0FD0B521">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液体</w:t>
                  </w:r>
                </w:p>
              </w:tc>
              <w:tc>
                <w:tcPr>
                  <w:tcW w:w="479" w:type="pct"/>
                  <w:noWrap w:val="0"/>
                  <w:vAlign w:val="center"/>
                </w:tcPr>
                <w:p w14:paraId="07E07B54">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矿物油</w:t>
                  </w:r>
                </w:p>
              </w:tc>
              <w:tc>
                <w:tcPr>
                  <w:tcW w:w="302" w:type="pct"/>
                  <w:noWrap w:val="0"/>
                  <w:vAlign w:val="center"/>
                </w:tcPr>
                <w:p w14:paraId="02BF65A4">
                  <w:pPr>
                    <w:topLinePunct/>
                    <w:jc w:val="center"/>
                    <w:rPr>
                      <w:rFonts w:hint="eastAsia" w:ascii="Times New Roman" w:hAnsi="Times New Roman" w:eastAsia="宋体"/>
                      <w:color w:val="auto"/>
                      <w:kern w:val="0"/>
                      <w:szCs w:val="21"/>
                      <w:highlight w:val="none"/>
                    </w:rPr>
                  </w:pPr>
                  <w:r>
                    <w:rPr>
                      <w:rFonts w:ascii="Times New Roman" w:hAnsi="Times New Roman" w:eastAsia="宋体"/>
                      <w:color w:val="auto"/>
                      <w:kern w:val="0"/>
                      <w:szCs w:val="21"/>
                      <w:highlight w:val="none"/>
                    </w:rPr>
                    <w:t>T，</w:t>
                  </w:r>
                  <w:r>
                    <w:rPr>
                      <w:rFonts w:hint="eastAsia" w:ascii="Times New Roman" w:hAnsi="Times New Roman" w:eastAsia="宋体"/>
                      <w:color w:val="auto"/>
                      <w:kern w:val="0"/>
                      <w:szCs w:val="21"/>
                      <w:highlight w:val="none"/>
                    </w:rPr>
                    <w:t>I</w:t>
                  </w:r>
                </w:p>
              </w:tc>
              <w:tc>
                <w:tcPr>
                  <w:tcW w:w="293" w:type="pct"/>
                  <w:noWrap w:val="0"/>
                  <w:vAlign w:val="center"/>
                </w:tcPr>
                <w:p w14:paraId="73705BB5">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每天</w:t>
                  </w:r>
                </w:p>
              </w:tc>
              <w:tc>
                <w:tcPr>
                  <w:tcW w:w="367" w:type="pct"/>
                  <w:vMerge w:val="continue"/>
                  <w:noWrap w:val="0"/>
                  <w:vAlign w:val="center"/>
                </w:tcPr>
                <w:p w14:paraId="2E74E5E1">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2BD9D095">
                  <w:pPr>
                    <w:topLinePunct/>
                    <w:jc w:val="center"/>
                    <w:rPr>
                      <w:rFonts w:ascii="Times New Roman" w:hAnsi="Times New Roman" w:eastAsia="宋体"/>
                      <w:color w:val="auto"/>
                      <w:kern w:val="0"/>
                      <w:szCs w:val="21"/>
                      <w:highlight w:val="none"/>
                    </w:rPr>
                  </w:pPr>
                </w:p>
              </w:tc>
            </w:tr>
            <w:tr w14:paraId="69925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45671DBC">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8</w:t>
                  </w:r>
                </w:p>
              </w:tc>
              <w:tc>
                <w:tcPr>
                  <w:tcW w:w="599" w:type="pct"/>
                  <w:noWrap w:val="0"/>
                  <w:vAlign w:val="center"/>
                </w:tcPr>
                <w:p w14:paraId="20D1F9CD">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废制冷剂</w:t>
                  </w:r>
                </w:p>
              </w:tc>
              <w:tc>
                <w:tcPr>
                  <w:tcW w:w="432" w:type="pct"/>
                  <w:noWrap w:val="0"/>
                  <w:vAlign w:val="center"/>
                </w:tcPr>
                <w:p w14:paraId="7AE1FD8C">
                  <w:pPr>
                    <w:topLinePunct/>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489B03AE">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HW49</w:t>
                  </w:r>
                </w:p>
                <w:p w14:paraId="6B0CD74A">
                  <w:pPr>
                    <w:adjustRightInd w:val="0"/>
                    <w:snapToGrid w:val="0"/>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rPr>
                    <w:t>900-999-49</w:t>
                  </w:r>
                </w:p>
              </w:tc>
              <w:tc>
                <w:tcPr>
                  <w:tcW w:w="401" w:type="pct"/>
                  <w:noWrap w:val="0"/>
                  <w:vAlign w:val="center"/>
                </w:tcPr>
                <w:p w14:paraId="0CC82921">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10.486</w:t>
                  </w:r>
                </w:p>
              </w:tc>
              <w:tc>
                <w:tcPr>
                  <w:tcW w:w="649" w:type="pct"/>
                  <w:noWrap w:val="0"/>
                  <w:vAlign w:val="center"/>
                </w:tcPr>
                <w:p w14:paraId="68F3328A">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预处理</w:t>
                  </w:r>
                </w:p>
              </w:tc>
              <w:tc>
                <w:tcPr>
                  <w:tcW w:w="363" w:type="pct"/>
                  <w:noWrap w:val="0"/>
                  <w:vAlign w:val="center"/>
                </w:tcPr>
                <w:p w14:paraId="4FA5BF40">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液体</w:t>
                  </w:r>
                </w:p>
              </w:tc>
              <w:tc>
                <w:tcPr>
                  <w:tcW w:w="479" w:type="pct"/>
                  <w:noWrap w:val="0"/>
                  <w:vAlign w:val="center"/>
                </w:tcPr>
                <w:p w14:paraId="4E487E06">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氟利昂</w:t>
                  </w:r>
                </w:p>
              </w:tc>
              <w:tc>
                <w:tcPr>
                  <w:tcW w:w="302" w:type="pct"/>
                  <w:noWrap w:val="0"/>
                  <w:vAlign w:val="center"/>
                </w:tcPr>
                <w:p w14:paraId="2D6C82E5">
                  <w:pPr>
                    <w:topLinePunct/>
                    <w:jc w:val="center"/>
                    <w:rPr>
                      <w:rFonts w:hint="eastAsia" w:ascii="Times New Roman" w:hAnsi="Times New Roman" w:eastAsia="宋体"/>
                      <w:color w:val="auto"/>
                      <w:kern w:val="0"/>
                      <w:szCs w:val="21"/>
                      <w:highlight w:val="none"/>
                    </w:rPr>
                  </w:pPr>
                  <w:r>
                    <w:rPr>
                      <w:rFonts w:ascii="Times New Roman" w:hAnsi="Times New Roman" w:eastAsia="宋体"/>
                      <w:color w:val="auto"/>
                      <w:kern w:val="0"/>
                      <w:szCs w:val="21"/>
                      <w:highlight w:val="none"/>
                    </w:rPr>
                    <w:t>T</w:t>
                  </w:r>
                </w:p>
              </w:tc>
              <w:tc>
                <w:tcPr>
                  <w:tcW w:w="293" w:type="pct"/>
                  <w:noWrap w:val="0"/>
                  <w:vAlign w:val="center"/>
                </w:tcPr>
                <w:p w14:paraId="2FDFFAE6">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每天</w:t>
                  </w:r>
                </w:p>
              </w:tc>
              <w:tc>
                <w:tcPr>
                  <w:tcW w:w="367" w:type="pct"/>
                  <w:vMerge w:val="continue"/>
                  <w:noWrap w:val="0"/>
                  <w:vAlign w:val="center"/>
                </w:tcPr>
                <w:p w14:paraId="750FD0A6">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6C92FAAC">
                  <w:pPr>
                    <w:topLinePunct/>
                    <w:jc w:val="center"/>
                    <w:rPr>
                      <w:rFonts w:ascii="Times New Roman" w:hAnsi="Times New Roman" w:eastAsia="宋体"/>
                      <w:color w:val="auto"/>
                      <w:kern w:val="0"/>
                      <w:szCs w:val="21"/>
                      <w:highlight w:val="none"/>
                    </w:rPr>
                  </w:pPr>
                </w:p>
              </w:tc>
            </w:tr>
            <w:tr w14:paraId="0189C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37D0A32D">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9</w:t>
                  </w:r>
                </w:p>
              </w:tc>
              <w:tc>
                <w:tcPr>
                  <w:tcW w:w="599" w:type="pct"/>
                  <w:noWrap w:val="0"/>
                  <w:vAlign w:val="center"/>
                </w:tcPr>
                <w:p w14:paraId="6600C3EB">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rPr>
                    <w:t>废尾气净化装置及催化剂</w:t>
                  </w:r>
                </w:p>
              </w:tc>
              <w:tc>
                <w:tcPr>
                  <w:tcW w:w="432" w:type="pct"/>
                  <w:noWrap w:val="0"/>
                  <w:vAlign w:val="center"/>
                </w:tcPr>
                <w:p w14:paraId="3CF8E2D4">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1628C5EF">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HW50</w:t>
                  </w:r>
                </w:p>
                <w:p w14:paraId="41A2841C">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900-049-50</w:t>
                  </w:r>
                </w:p>
              </w:tc>
              <w:tc>
                <w:tcPr>
                  <w:tcW w:w="401" w:type="pct"/>
                  <w:noWrap w:val="0"/>
                  <w:vAlign w:val="center"/>
                </w:tcPr>
                <w:p w14:paraId="116AD00D">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3.9</w:t>
                  </w:r>
                </w:p>
              </w:tc>
              <w:tc>
                <w:tcPr>
                  <w:tcW w:w="649" w:type="pct"/>
                  <w:noWrap w:val="0"/>
                  <w:vAlign w:val="center"/>
                </w:tcPr>
                <w:p w14:paraId="3F15482D">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拆解</w:t>
                  </w:r>
                </w:p>
              </w:tc>
              <w:tc>
                <w:tcPr>
                  <w:tcW w:w="363" w:type="pct"/>
                  <w:noWrap w:val="0"/>
                  <w:vAlign w:val="center"/>
                </w:tcPr>
                <w:p w14:paraId="1CE7A188">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固态</w:t>
                  </w:r>
                </w:p>
              </w:tc>
              <w:tc>
                <w:tcPr>
                  <w:tcW w:w="479" w:type="pct"/>
                  <w:noWrap w:val="0"/>
                  <w:vAlign w:val="center"/>
                </w:tcPr>
                <w:p w14:paraId="0E5E7ED7">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贵金属</w:t>
                  </w:r>
                </w:p>
              </w:tc>
              <w:tc>
                <w:tcPr>
                  <w:tcW w:w="302" w:type="pct"/>
                  <w:noWrap w:val="0"/>
                  <w:vAlign w:val="center"/>
                </w:tcPr>
                <w:p w14:paraId="4CE63447">
                  <w:pPr>
                    <w:topLinePunct/>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T</w:t>
                  </w:r>
                </w:p>
              </w:tc>
              <w:tc>
                <w:tcPr>
                  <w:tcW w:w="293" w:type="pct"/>
                  <w:noWrap w:val="0"/>
                  <w:vAlign w:val="center"/>
                </w:tcPr>
                <w:p w14:paraId="34121A68">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每天</w:t>
                  </w:r>
                </w:p>
              </w:tc>
              <w:tc>
                <w:tcPr>
                  <w:tcW w:w="367" w:type="pct"/>
                  <w:vMerge w:val="continue"/>
                  <w:noWrap w:val="0"/>
                  <w:vAlign w:val="center"/>
                </w:tcPr>
                <w:p w14:paraId="02194299">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657E5D95">
                  <w:pPr>
                    <w:topLinePunct/>
                    <w:jc w:val="center"/>
                    <w:rPr>
                      <w:rFonts w:ascii="Times New Roman" w:hAnsi="Times New Roman" w:eastAsia="宋体"/>
                      <w:color w:val="auto"/>
                      <w:kern w:val="0"/>
                      <w:szCs w:val="21"/>
                      <w:highlight w:val="none"/>
                    </w:rPr>
                  </w:pPr>
                </w:p>
              </w:tc>
            </w:tr>
            <w:tr w14:paraId="23437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66F6114D">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10</w:t>
                  </w:r>
                </w:p>
              </w:tc>
              <w:tc>
                <w:tcPr>
                  <w:tcW w:w="599" w:type="pct"/>
                  <w:noWrap w:val="0"/>
                  <w:vAlign w:val="center"/>
                </w:tcPr>
                <w:p w14:paraId="5EC2F6FD">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rPr>
                    <w:t>废滤清器</w:t>
                  </w:r>
                </w:p>
              </w:tc>
              <w:tc>
                <w:tcPr>
                  <w:tcW w:w="432" w:type="pct"/>
                  <w:noWrap w:val="0"/>
                  <w:vAlign w:val="center"/>
                </w:tcPr>
                <w:p w14:paraId="47DABFF3">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16D6C6B3">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HW49</w:t>
                  </w:r>
                </w:p>
                <w:p w14:paraId="6747E393">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900-041-49</w:t>
                  </w:r>
                </w:p>
              </w:tc>
              <w:tc>
                <w:tcPr>
                  <w:tcW w:w="401" w:type="pct"/>
                  <w:noWrap w:val="0"/>
                  <w:vAlign w:val="center"/>
                </w:tcPr>
                <w:p w14:paraId="466141F4">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32</w:t>
                  </w:r>
                </w:p>
              </w:tc>
              <w:tc>
                <w:tcPr>
                  <w:tcW w:w="649" w:type="pct"/>
                  <w:noWrap w:val="0"/>
                  <w:vAlign w:val="center"/>
                </w:tcPr>
                <w:p w14:paraId="6AD97BAC">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拆解</w:t>
                  </w:r>
                </w:p>
              </w:tc>
              <w:tc>
                <w:tcPr>
                  <w:tcW w:w="363" w:type="pct"/>
                  <w:noWrap w:val="0"/>
                  <w:vAlign w:val="center"/>
                </w:tcPr>
                <w:p w14:paraId="248905DE">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固态</w:t>
                  </w:r>
                </w:p>
              </w:tc>
              <w:tc>
                <w:tcPr>
                  <w:tcW w:w="479" w:type="pct"/>
                  <w:noWrap w:val="0"/>
                  <w:vAlign w:val="center"/>
                </w:tcPr>
                <w:p w14:paraId="59ABBF11">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矿物油</w:t>
                  </w:r>
                </w:p>
              </w:tc>
              <w:tc>
                <w:tcPr>
                  <w:tcW w:w="302" w:type="pct"/>
                  <w:noWrap w:val="0"/>
                  <w:vAlign w:val="center"/>
                </w:tcPr>
                <w:p w14:paraId="7692E3C0">
                  <w:pPr>
                    <w:topLinePunct/>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T</w:t>
                  </w:r>
                </w:p>
              </w:tc>
              <w:tc>
                <w:tcPr>
                  <w:tcW w:w="293" w:type="pct"/>
                  <w:noWrap w:val="0"/>
                  <w:vAlign w:val="center"/>
                </w:tcPr>
                <w:p w14:paraId="2FD49989">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每天</w:t>
                  </w:r>
                </w:p>
              </w:tc>
              <w:tc>
                <w:tcPr>
                  <w:tcW w:w="367" w:type="pct"/>
                  <w:vMerge w:val="continue"/>
                  <w:noWrap w:val="0"/>
                  <w:vAlign w:val="center"/>
                </w:tcPr>
                <w:p w14:paraId="4647AFBF">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4E75FC4F">
                  <w:pPr>
                    <w:topLinePunct/>
                    <w:jc w:val="center"/>
                    <w:rPr>
                      <w:rFonts w:ascii="Times New Roman" w:hAnsi="Times New Roman" w:eastAsia="宋体"/>
                      <w:color w:val="auto"/>
                      <w:kern w:val="0"/>
                      <w:szCs w:val="21"/>
                      <w:highlight w:val="none"/>
                    </w:rPr>
                  </w:pPr>
                </w:p>
              </w:tc>
            </w:tr>
            <w:tr w14:paraId="23FFF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6EC5AE03">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11</w:t>
                  </w:r>
                </w:p>
              </w:tc>
              <w:tc>
                <w:tcPr>
                  <w:tcW w:w="599" w:type="pct"/>
                  <w:noWrap w:val="0"/>
                  <w:vAlign w:val="center"/>
                </w:tcPr>
                <w:p w14:paraId="54E3AA76">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rPr>
                    <w:t>电容器（含多氯联苯）</w:t>
                  </w:r>
                </w:p>
              </w:tc>
              <w:tc>
                <w:tcPr>
                  <w:tcW w:w="432" w:type="pct"/>
                  <w:noWrap w:val="0"/>
                  <w:vAlign w:val="center"/>
                </w:tcPr>
                <w:p w14:paraId="6B3B6EB4">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701B2AE6">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HW10</w:t>
                  </w:r>
                </w:p>
                <w:p w14:paraId="6B70BBE9">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900-008-10</w:t>
                  </w:r>
                </w:p>
              </w:tc>
              <w:tc>
                <w:tcPr>
                  <w:tcW w:w="401" w:type="pct"/>
                  <w:noWrap w:val="0"/>
                  <w:vAlign w:val="center"/>
                </w:tcPr>
                <w:p w14:paraId="298BA779">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4.74</w:t>
                  </w:r>
                </w:p>
              </w:tc>
              <w:tc>
                <w:tcPr>
                  <w:tcW w:w="649" w:type="pct"/>
                  <w:noWrap w:val="0"/>
                  <w:vAlign w:val="center"/>
                </w:tcPr>
                <w:p w14:paraId="3DF247CA">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rPr>
                    <w:t>拆解</w:t>
                  </w:r>
                </w:p>
              </w:tc>
              <w:tc>
                <w:tcPr>
                  <w:tcW w:w="363" w:type="pct"/>
                  <w:noWrap w:val="0"/>
                  <w:vAlign w:val="center"/>
                </w:tcPr>
                <w:p w14:paraId="48496216">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rPr>
                    <w:t>固态</w:t>
                  </w:r>
                </w:p>
              </w:tc>
              <w:tc>
                <w:tcPr>
                  <w:tcW w:w="479" w:type="pct"/>
                  <w:noWrap w:val="0"/>
                  <w:vAlign w:val="center"/>
                </w:tcPr>
                <w:p w14:paraId="625FA579">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rPr>
                    <w:t>多氯联苯</w:t>
                  </w:r>
                </w:p>
              </w:tc>
              <w:tc>
                <w:tcPr>
                  <w:tcW w:w="302" w:type="pct"/>
                  <w:noWrap w:val="0"/>
                  <w:vAlign w:val="center"/>
                </w:tcPr>
                <w:p w14:paraId="69A9459D">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rPr>
                    <w:t>T</w:t>
                  </w:r>
                </w:p>
              </w:tc>
              <w:tc>
                <w:tcPr>
                  <w:tcW w:w="293" w:type="pct"/>
                  <w:noWrap w:val="0"/>
                  <w:vAlign w:val="center"/>
                </w:tcPr>
                <w:p w14:paraId="3F19741F">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rPr>
                    <w:t>每天</w:t>
                  </w:r>
                </w:p>
              </w:tc>
              <w:tc>
                <w:tcPr>
                  <w:tcW w:w="367" w:type="pct"/>
                  <w:vMerge w:val="continue"/>
                  <w:noWrap w:val="0"/>
                  <w:vAlign w:val="center"/>
                </w:tcPr>
                <w:p w14:paraId="69A9521D">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7525CE9B">
                  <w:pPr>
                    <w:topLinePunct/>
                    <w:jc w:val="center"/>
                    <w:rPr>
                      <w:rFonts w:ascii="Times New Roman" w:hAnsi="Times New Roman" w:eastAsia="宋体"/>
                      <w:color w:val="auto"/>
                      <w:kern w:val="0"/>
                      <w:szCs w:val="21"/>
                      <w:highlight w:val="none"/>
                    </w:rPr>
                  </w:pPr>
                </w:p>
              </w:tc>
            </w:tr>
            <w:tr w14:paraId="75C13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51412E64">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12</w:t>
                  </w:r>
                </w:p>
              </w:tc>
              <w:tc>
                <w:tcPr>
                  <w:tcW w:w="599" w:type="pct"/>
                  <w:noWrap w:val="0"/>
                  <w:vAlign w:val="center"/>
                </w:tcPr>
                <w:p w14:paraId="438F35F3">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含汞部件</w:t>
                  </w:r>
                </w:p>
              </w:tc>
              <w:tc>
                <w:tcPr>
                  <w:tcW w:w="432" w:type="pct"/>
                  <w:noWrap w:val="0"/>
                  <w:vAlign w:val="center"/>
                </w:tcPr>
                <w:p w14:paraId="21003BCC">
                  <w:pPr>
                    <w:topLinePunct/>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2E609156">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HW</w:t>
                  </w:r>
                  <w:r>
                    <w:rPr>
                      <w:rFonts w:hint="eastAsia" w:ascii="Times New Roman" w:hAnsi="Times New Roman" w:eastAsia="宋体"/>
                      <w:color w:val="auto"/>
                      <w:szCs w:val="21"/>
                      <w:highlight w:val="none"/>
                      <w:lang w:val="en-US" w:eastAsia="zh-CN"/>
                    </w:rPr>
                    <w:t>29</w:t>
                  </w:r>
                </w:p>
                <w:p w14:paraId="373A038D">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900-0</w:t>
                  </w:r>
                  <w:r>
                    <w:rPr>
                      <w:rFonts w:hint="eastAsia" w:ascii="Times New Roman" w:hAnsi="Times New Roman" w:eastAsia="宋体"/>
                      <w:color w:val="auto"/>
                      <w:szCs w:val="21"/>
                      <w:highlight w:val="none"/>
                      <w:lang w:val="en-US" w:eastAsia="zh-CN"/>
                    </w:rPr>
                    <w:t>24-29</w:t>
                  </w:r>
                </w:p>
              </w:tc>
              <w:tc>
                <w:tcPr>
                  <w:tcW w:w="401" w:type="pct"/>
                  <w:noWrap w:val="0"/>
                  <w:vAlign w:val="center"/>
                </w:tcPr>
                <w:p w14:paraId="60D38487">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2.68</w:t>
                  </w:r>
                </w:p>
              </w:tc>
              <w:tc>
                <w:tcPr>
                  <w:tcW w:w="649" w:type="pct"/>
                  <w:noWrap w:val="0"/>
                  <w:vAlign w:val="center"/>
                </w:tcPr>
                <w:p w14:paraId="33D6573F">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拆解</w:t>
                  </w:r>
                </w:p>
              </w:tc>
              <w:tc>
                <w:tcPr>
                  <w:tcW w:w="363" w:type="pct"/>
                  <w:noWrap w:val="0"/>
                  <w:vAlign w:val="center"/>
                </w:tcPr>
                <w:p w14:paraId="65D82A22">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固态</w:t>
                  </w:r>
                </w:p>
              </w:tc>
              <w:tc>
                <w:tcPr>
                  <w:tcW w:w="479" w:type="pct"/>
                  <w:noWrap w:val="0"/>
                  <w:vAlign w:val="center"/>
                </w:tcPr>
                <w:p w14:paraId="6CB87E56">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汞</w:t>
                  </w:r>
                </w:p>
              </w:tc>
              <w:tc>
                <w:tcPr>
                  <w:tcW w:w="302" w:type="pct"/>
                  <w:noWrap w:val="0"/>
                  <w:vAlign w:val="center"/>
                </w:tcPr>
                <w:p w14:paraId="0CDE53A5">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T</w:t>
                  </w:r>
                </w:p>
              </w:tc>
              <w:tc>
                <w:tcPr>
                  <w:tcW w:w="293" w:type="pct"/>
                  <w:noWrap w:val="0"/>
                  <w:vAlign w:val="center"/>
                </w:tcPr>
                <w:p w14:paraId="4CA8BAFB">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每天</w:t>
                  </w:r>
                </w:p>
              </w:tc>
              <w:tc>
                <w:tcPr>
                  <w:tcW w:w="367" w:type="pct"/>
                  <w:vMerge w:val="continue"/>
                  <w:noWrap w:val="0"/>
                  <w:vAlign w:val="center"/>
                </w:tcPr>
                <w:p w14:paraId="5EF9877B">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7AC4BFF9">
                  <w:pPr>
                    <w:topLinePunct/>
                    <w:jc w:val="center"/>
                    <w:rPr>
                      <w:rFonts w:ascii="Times New Roman" w:hAnsi="Times New Roman" w:eastAsia="宋体"/>
                      <w:color w:val="auto"/>
                      <w:kern w:val="0"/>
                      <w:szCs w:val="21"/>
                      <w:highlight w:val="none"/>
                    </w:rPr>
                  </w:pPr>
                </w:p>
              </w:tc>
            </w:tr>
            <w:tr w14:paraId="2E96B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23CFC8F5">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13</w:t>
                  </w:r>
                </w:p>
              </w:tc>
              <w:tc>
                <w:tcPr>
                  <w:tcW w:w="599" w:type="pct"/>
                  <w:noWrap w:val="0"/>
                  <w:vAlign w:val="center"/>
                </w:tcPr>
                <w:p w14:paraId="5398BE5B">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废电路板</w:t>
                  </w:r>
                </w:p>
              </w:tc>
              <w:tc>
                <w:tcPr>
                  <w:tcW w:w="432" w:type="pct"/>
                  <w:noWrap w:val="0"/>
                  <w:vAlign w:val="center"/>
                </w:tcPr>
                <w:p w14:paraId="4FFD1EE6">
                  <w:pPr>
                    <w:topLinePunct/>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3E40E617">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HW49</w:t>
                  </w:r>
                </w:p>
                <w:p w14:paraId="15D419F1">
                  <w:pPr>
                    <w:adjustRightInd w:val="0"/>
                    <w:snapToGrid w:val="0"/>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rPr>
                    <w:t>900-045-49</w:t>
                  </w:r>
                </w:p>
              </w:tc>
              <w:tc>
                <w:tcPr>
                  <w:tcW w:w="401" w:type="pct"/>
                  <w:noWrap w:val="0"/>
                  <w:vAlign w:val="center"/>
                </w:tcPr>
                <w:p w14:paraId="19417D44">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60.7</w:t>
                  </w:r>
                </w:p>
              </w:tc>
              <w:tc>
                <w:tcPr>
                  <w:tcW w:w="649" w:type="pct"/>
                  <w:noWrap w:val="0"/>
                  <w:vAlign w:val="center"/>
                </w:tcPr>
                <w:p w14:paraId="4E6122BA">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拆解</w:t>
                  </w:r>
                </w:p>
              </w:tc>
              <w:tc>
                <w:tcPr>
                  <w:tcW w:w="363" w:type="pct"/>
                  <w:noWrap w:val="0"/>
                  <w:vAlign w:val="center"/>
                </w:tcPr>
                <w:p w14:paraId="5F62D2FF">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固态</w:t>
                  </w:r>
                </w:p>
              </w:tc>
              <w:tc>
                <w:tcPr>
                  <w:tcW w:w="479" w:type="pct"/>
                  <w:noWrap w:val="0"/>
                  <w:vAlign w:val="center"/>
                </w:tcPr>
                <w:p w14:paraId="65FA7676">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铅等重金属</w:t>
                  </w:r>
                </w:p>
              </w:tc>
              <w:tc>
                <w:tcPr>
                  <w:tcW w:w="302" w:type="pct"/>
                  <w:noWrap w:val="0"/>
                  <w:vAlign w:val="center"/>
                </w:tcPr>
                <w:p w14:paraId="63556E30">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T</w:t>
                  </w:r>
                </w:p>
              </w:tc>
              <w:tc>
                <w:tcPr>
                  <w:tcW w:w="293" w:type="pct"/>
                  <w:noWrap w:val="0"/>
                  <w:vAlign w:val="center"/>
                </w:tcPr>
                <w:p w14:paraId="123FF336">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每天</w:t>
                  </w:r>
                </w:p>
              </w:tc>
              <w:tc>
                <w:tcPr>
                  <w:tcW w:w="367" w:type="pct"/>
                  <w:vMerge w:val="continue"/>
                  <w:noWrap w:val="0"/>
                  <w:vAlign w:val="center"/>
                </w:tcPr>
                <w:p w14:paraId="34C88373">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5F369AF9">
                  <w:pPr>
                    <w:topLinePunct/>
                    <w:jc w:val="center"/>
                    <w:rPr>
                      <w:rFonts w:ascii="Times New Roman" w:hAnsi="Times New Roman" w:eastAsia="宋体"/>
                      <w:color w:val="auto"/>
                      <w:kern w:val="0"/>
                      <w:szCs w:val="21"/>
                      <w:highlight w:val="none"/>
                    </w:rPr>
                  </w:pPr>
                </w:p>
              </w:tc>
            </w:tr>
            <w:tr w14:paraId="4CEEF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70ED345A">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14</w:t>
                  </w:r>
                </w:p>
              </w:tc>
              <w:tc>
                <w:tcPr>
                  <w:tcW w:w="599" w:type="pct"/>
                  <w:noWrap w:val="0"/>
                  <w:vAlign w:val="center"/>
                </w:tcPr>
                <w:p w14:paraId="1FFD579F">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废</w:t>
                  </w:r>
                  <w:r>
                    <w:rPr>
                      <w:rFonts w:hint="eastAsia" w:ascii="Times New Roman" w:hAnsi="Times New Roman" w:eastAsia="宋体"/>
                      <w:color w:val="auto"/>
                      <w:kern w:val="0"/>
                      <w:szCs w:val="21"/>
                      <w:highlight w:val="none"/>
                      <w:lang w:eastAsia="zh-CN"/>
                    </w:rPr>
                    <w:t>石棉</w:t>
                  </w:r>
                  <w:r>
                    <w:rPr>
                      <w:rFonts w:hint="eastAsia" w:ascii="Times New Roman" w:hAnsi="Times New Roman" w:eastAsia="宋体"/>
                      <w:color w:val="auto"/>
                      <w:kern w:val="0"/>
                      <w:szCs w:val="21"/>
                      <w:highlight w:val="none"/>
                    </w:rPr>
                    <w:t>刹车片</w:t>
                  </w:r>
                </w:p>
              </w:tc>
              <w:tc>
                <w:tcPr>
                  <w:tcW w:w="432" w:type="pct"/>
                  <w:noWrap w:val="0"/>
                  <w:vAlign w:val="center"/>
                </w:tcPr>
                <w:p w14:paraId="05B10339">
                  <w:pPr>
                    <w:topLinePunct/>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655C9A91">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HW</w:t>
                  </w:r>
                  <w:r>
                    <w:rPr>
                      <w:rFonts w:hint="eastAsia" w:ascii="Times New Roman" w:hAnsi="Times New Roman" w:eastAsia="宋体"/>
                      <w:color w:val="auto"/>
                      <w:szCs w:val="21"/>
                      <w:highlight w:val="none"/>
                      <w:lang w:val="en-US" w:eastAsia="zh-CN"/>
                    </w:rPr>
                    <w:t>36</w:t>
                  </w:r>
                </w:p>
                <w:p w14:paraId="44AAF83A">
                  <w:pPr>
                    <w:adjustRightInd w:val="0"/>
                    <w:snapToGrid w:val="0"/>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rPr>
                    <w:t>900-032-36</w:t>
                  </w:r>
                </w:p>
              </w:tc>
              <w:tc>
                <w:tcPr>
                  <w:tcW w:w="401" w:type="pct"/>
                  <w:noWrap w:val="0"/>
                  <w:vAlign w:val="center"/>
                </w:tcPr>
                <w:p w14:paraId="51F3556F">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47</w:t>
                  </w:r>
                </w:p>
              </w:tc>
              <w:tc>
                <w:tcPr>
                  <w:tcW w:w="649" w:type="pct"/>
                  <w:noWrap w:val="0"/>
                  <w:vAlign w:val="center"/>
                </w:tcPr>
                <w:p w14:paraId="40CF1B52">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拆解</w:t>
                  </w:r>
                </w:p>
              </w:tc>
              <w:tc>
                <w:tcPr>
                  <w:tcW w:w="363" w:type="pct"/>
                  <w:noWrap w:val="0"/>
                  <w:vAlign w:val="center"/>
                </w:tcPr>
                <w:p w14:paraId="43CED770">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固态</w:t>
                  </w:r>
                </w:p>
              </w:tc>
              <w:tc>
                <w:tcPr>
                  <w:tcW w:w="479" w:type="pct"/>
                  <w:noWrap w:val="0"/>
                  <w:vAlign w:val="center"/>
                </w:tcPr>
                <w:p w14:paraId="2D6E7E34">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石棉</w:t>
                  </w:r>
                </w:p>
              </w:tc>
              <w:tc>
                <w:tcPr>
                  <w:tcW w:w="302" w:type="pct"/>
                  <w:noWrap w:val="0"/>
                  <w:vAlign w:val="center"/>
                </w:tcPr>
                <w:p w14:paraId="7BE3F456">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T</w:t>
                  </w:r>
                </w:p>
              </w:tc>
              <w:tc>
                <w:tcPr>
                  <w:tcW w:w="293" w:type="pct"/>
                  <w:noWrap w:val="0"/>
                  <w:vAlign w:val="center"/>
                </w:tcPr>
                <w:p w14:paraId="45AFF2B7">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每天</w:t>
                  </w:r>
                </w:p>
              </w:tc>
              <w:tc>
                <w:tcPr>
                  <w:tcW w:w="367" w:type="pct"/>
                  <w:vMerge w:val="continue"/>
                  <w:noWrap w:val="0"/>
                  <w:vAlign w:val="center"/>
                </w:tcPr>
                <w:p w14:paraId="3AFC5279">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1DDE545B">
                  <w:pPr>
                    <w:topLinePunct/>
                    <w:jc w:val="center"/>
                    <w:rPr>
                      <w:rFonts w:ascii="Times New Roman" w:hAnsi="Times New Roman" w:eastAsia="宋体"/>
                      <w:color w:val="auto"/>
                      <w:kern w:val="0"/>
                      <w:szCs w:val="21"/>
                      <w:highlight w:val="none"/>
                    </w:rPr>
                  </w:pPr>
                </w:p>
              </w:tc>
            </w:tr>
            <w:tr w14:paraId="3F054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48413A1B">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15</w:t>
                  </w:r>
                </w:p>
              </w:tc>
              <w:tc>
                <w:tcPr>
                  <w:tcW w:w="599" w:type="pct"/>
                  <w:noWrap w:val="0"/>
                  <w:vAlign w:val="center"/>
                </w:tcPr>
                <w:p w14:paraId="08EBCCCD">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废变压器油</w:t>
                  </w:r>
                </w:p>
              </w:tc>
              <w:tc>
                <w:tcPr>
                  <w:tcW w:w="432" w:type="pct"/>
                  <w:noWrap w:val="0"/>
                  <w:vAlign w:val="center"/>
                </w:tcPr>
                <w:p w14:paraId="442FC3B0">
                  <w:pPr>
                    <w:topLinePunct/>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6378AA12">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HW</w:t>
                  </w:r>
                  <w:r>
                    <w:rPr>
                      <w:rFonts w:hint="eastAsia" w:ascii="Times New Roman" w:hAnsi="Times New Roman" w:eastAsia="宋体"/>
                      <w:color w:val="auto"/>
                      <w:szCs w:val="21"/>
                      <w:highlight w:val="none"/>
                      <w:lang w:val="en-US" w:eastAsia="zh-CN"/>
                    </w:rPr>
                    <w:t>08</w:t>
                  </w:r>
                </w:p>
                <w:p w14:paraId="736F54CE">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900-</w:t>
                  </w:r>
                  <w:r>
                    <w:rPr>
                      <w:rFonts w:hint="eastAsia" w:ascii="Times New Roman" w:hAnsi="Times New Roman" w:eastAsia="宋体"/>
                      <w:color w:val="auto"/>
                      <w:szCs w:val="21"/>
                      <w:highlight w:val="none"/>
                      <w:lang w:val="en-US" w:eastAsia="zh-CN"/>
                    </w:rPr>
                    <w:t>220-08</w:t>
                  </w:r>
                </w:p>
              </w:tc>
              <w:tc>
                <w:tcPr>
                  <w:tcW w:w="401" w:type="pct"/>
                  <w:noWrap w:val="0"/>
                  <w:vAlign w:val="center"/>
                </w:tcPr>
                <w:p w14:paraId="74AA6097">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929.535</w:t>
                  </w:r>
                </w:p>
              </w:tc>
              <w:tc>
                <w:tcPr>
                  <w:tcW w:w="649" w:type="pct"/>
                  <w:noWrap w:val="0"/>
                  <w:vAlign w:val="center"/>
                </w:tcPr>
                <w:p w14:paraId="21FB83BA">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拆解</w:t>
                  </w:r>
                </w:p>
              </w:tc>
              <w:tc>
                <w:tcPr>
                  <w:tcW w:w="363" w:type="pct"/>
                  <w:noWrap w:val="0"/>
                  <w:vAlign w:val="center"/>
                </w:tcPr>
                <w:p w14:paraId="5609C1A7">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液态</w:t>
                  </w:r>
                </w:p>
              </w:tc>
              <w:tc>
                <w:tcPr>
                  <w:tcW w:w="479" w:type="pct"/>
                  <w:noWrap w:val="0"/>
                  <w:vAlign w:val="center"/>
                </w:tcPr>
                <w:p w14:paraId="44C8FA18">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矿物油</w:t>
                  </w:r>
                </w:p>
              </w:tc>
              <w:tc>
                <w:tcPr>
                  <w:tcW w:w="302" w:type="pct"/>
                  <w:noWrap w:val="0"/>
                  <w:vAlign w:val="center"/>
                </w:tcPr>
                <w:p w14:paraId="4C8E4E1B">
                  <w:pPr>
                    <w:topLinePunct/>
                    <w:jc w:val="center"/>
                    <w:rPr>
                      <w:rFonts w:hint="eastAsia" w:ascii="Times New Roman" w:hAnsi="Times New Roman" w:eastAsia="宋体"/>
                      <w:color w:val="auto"/>
                      <w:kern w:val="0"/>
                      <w:szCs w:val="21"/>
                      <w:highlight w:val="none"/>
                    </w:rPr>
                  </w:pPr>
                  <w:r>
                    <w:rPr>
                      <w:rFonts w:ascii="Times New Roman" w:hAnsi="Times New Roman" w:eastAsia="宋体"/>
                      <w:color w:val="auto"/>
                      <w:kern w:val="0"/>
                      <w:szCs w:val="21"/>
                      <w:highlight w:val="none"/>
                    </w:rPr>
                    <w:t>T，</w:t>
                  </w:r>
                  <w:r>
                    <w:rPr>
                      <w:rFonts w:hint="eastAsia" w:ascii="Times New Roman" w:hAnsi="Times New Roman" w:eastAsia="宋体"/>
                      <w:color w:val="auto"/>
                      <w:kern w:val="0"/>
                      <w:szCs w:val="21"/>
                      <w:highlight w:val="none"/>
                    </w:rPr>
                    <w:t>I</w:t>
                  </w:r>
                </w:p>
              </w:tc>
              <w:tc>
                <w:tcPr>
                  <w:tcW w:w="293" w:type="pct"/>
                  <w:noWrap w:val="0"/>
                  <w:vAlign w:val="center"/>
                </w:tcPr>
                <w:p w14:paraId="5BEE0014">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每天</w:t>
                  </w:r>
                </w:p>
              </w:tc>
              <w:tc>
                <w:tcPr>
                  <w:tcW w:w="367" w:type="pct"/>
                  <w:vMerge w:val="continue"/>
                  <w:noWrap w:val="0"/>
                  <w:vAlign w:val="center"/>
                </w:tcPr>
                <w:p w14:paraId="5EABF6B4">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61C8B9F7">
                  <w:pPr>
                    <w:topLinePunct/>
                    <w:jc w:val="center"/>
                    <w:rPr>
                      <w:rFonts w:ascii="Times New Roman" w:hAnsi="Times New Roman" w:eastAsia="宋体"/>
                      <w:color w:val="auto"/>
                      <w:kern w:val="0"/>
                      <w:szCs w:val="21"/>
                      <w:highlight w:val="none"/>
                    </w:rPr>
                  </w:pPr>
                </w:p>
              </w:tc>
            </w:tr>
            <w:tr w14:paraId="0D6CB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60CA2678">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16</w:t>
                  </w:r>
                </w:p>
              </w:tc>
              <w:tc>
                <w:tcPr>
                  <w:tcW w:w="599" w:type="pct"/>
                  <w:noWrap w:val="0"/>
                  <w:vAlign w:val="center"/>
                </w:tcPr>
                <w:p w14:paraId="63FEBAB1">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废液压油</w:t>
                  </w:r>
                </w:p>
              </w:tc>
              <w:tc>
                <w:tcPr>
                  <w:tcW w:w="432" w:type="pct"/>
                  <w:noWrap w:val="0"/>
                  <w:vAlign w:val="center"/>
                </w:tcPr>
                <w:p w14:paraId="338961A8">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49FB86FD">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HW</w:t>
                  </w:r>
                  <w:r>
                    <w:rPr>
                      <w:rFonts w:hint="eastAsia" w:ascii="Times New Roman" w:hAnsi="Times New Roman" w:eastAsia="宋体"/>
                      <w:color w:val="auto"/>
                      <w:szCs w:val="21"/>
                      <w:highlight w:val="none"/>
                      <w:lang w:val="en-US" w:eastAsia="zh-CN"/>
                    </w:rPr>
                    <w:t>08</w:t>
                  </w:r>
                </w:p>
                <w:p w14:paraId="0E0F90F5">
                  <w:pPr>
                    <w:adjustRightInd w:val="0"/>
                    <w:snapToGrid w:val="0"/>
                    <w:jc w:val="center"/>
                    <w:rPr>
                      <w:rFonts w:hint="default" w:ascii="Times New Roman" w:hAnsi="Times New Roman" w:eastAsia="宋体"/>
                      <w:color w:val="auto"/>
                      <w:szCs w:val="21"/>
                      <w:highlight w:val="none"/>
                      <w:lang w:val="en-US"/>
                    </w:rPr>
                  </w:pPr>
                  <w:r>
                    <w:rPr>
                      <w:rFonts w:hint="eastAsia" w:ascii="Times New Roman" w:hAnsi="Times New Roman" w:eastAsia="宋体"/>
                      <w:color w:val="auto"/>
                      <w:szCs w:val="21"/>
                      <w:highlight w:val="none"/>
                    </w:rPr>
                    <w:t>900-</w:t>
                  </w:r>
                  <w:r>
                    <w:rPr>
                      <w:rFonts w:hint="eastAsia" w:ascii="Times New Roman" w:hAnsi="Times New Roman" w:eastAsia="宋体"/>
                      <w:color w:val="auto"/>
                      <w:szCs w:val="21"/>
                      <w:highlight w:val="none"/>
                      <w:lang w:val="en-US" w:eastAsia="zh-CN"/>
                    </w:rPr>
                    <w:t>218-08</w:t>
                  </w:r>
                </w:p>
              </w:tc>
              <w:tc>
                <w:tcPr>
                  <w:tcW w:w="401" w:type="pct"/>
                  <w:noWrap w:val="0"/>
                  <w:vAlign w:val="center"/>
                </w:tcPr>
                <w:p w14:paraId="3EBF9263">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0.05</w:t>
                  </w:r>
                </w:p>
              </w:tc>
              <w:tc>
                <w:tcPr>
                  <w:tcW w:w="649" w:type="pct"/>
                  <w:noWrap w:val="0"/>
                  <w:vAlign w:val="center"/>
                </w:tcPr>
                <w:p w14:paraId="2803241F">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液压设备维护</w:t>
                  </w:r>
                </w:p>
              </w:tc>
              <w:tc>
                <w:tcPr>
                  <w:tcW w:w="363" w:type="pct"/>
                  <w:noWrap w:val="0"/>
                  <w:vAlign w:val="center"/>
                </w:tcPr>
                <w:p w14:paraId="329192FE">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液态</w:t>
                  </w:r>
                </w:p>
              </w:tc>
              <w:tc>
                <w:tcPr>
                  <w:tcW w:w="479" w:type="pct"/>
                  <w:noWrap w:val="0"/>
                  <w:vAlign w:val="center"/>
                </w:tcPr>
                <w:p w14:paraId="162CDF96">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矿物油</w:t>
                  </w:r>
                </w:p>
              </w:tc>
              <w:tc>
                <w:tcPr>
                  <w:tcW w:w="302" w:type="pct"/>
                  <w:noWrap w:val="0"/>
                  <w:vAlign w:val="center"/>
                </w:tcPr>
                <w:p w14:paraId="26672928">
                  <w:pPr>
                    <w:topLinePunct/>
                    <w:jc w:val="center"/>
                    <w:rPr>
                      <w:rFonts w:ascii="Times New Roman" w:hAnsi="Times New Roman" w:eastAsia="宋体"/>
                      <w:color w:val="auto"/>
                      <w:kern w:val="0"/>
                      <w:szCs w:val="21"/>
                      <w:highlight w:val="none"/>
                    </w:rPr>
                  </w:pPr>
                  <w:r>
                    <w:rPr>
                      <w:rFonts w:ascii="Times New Roman" w:hAnsi="Times New Roman" w:eastAsia="宋体"/>
                      <w:color w:val="auto"/>
                      <w:kern w:val="0"/>
                      <w:szCs w:val="21"/>
                      <w:highlight w:val="none"/>
                    </w:rPr>
                    <w:t>T，</w:t>
                  </w:r>
                  <w:r>
                    <w:rPr>
                      <w:rFonts w:hint="eastAsia" w:ascii="Times New Roman" w:hAnsi="Times New Roman" w:eastAsia="宋体"/>
                      <w:color w:val="auto"/>
                      <w:kern w:val="0"/>
                      <w:szCs w:val="21"/>
                      <w:highlight w:val="none"/>
                    </w:rPr>
                    <w:t>I</w:t>
                  </w:r>
                </w:p>
              </w:tc>
              <w:tc>
                <w:tcPr>
                  <w:tcW w:w="293" w:type="pct"/>
                  <w:noWrap w:val="0"/>
                  <w:vAlign w:val="center"/>
                </w:tcPr>
                <w:p w14:paraId="1FE945B4">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每年</w:t>
                  </w:r>
                </w:p>
              </w:tc>
              <w:tc>
                <w:tcPr>
                  <w:tcW w:w="367" w:type="pct"/>
                  <w:vMerge w:val="continue"/>
                  <w:noWrap w:val="0"/>
                  <w:vAlign w:val="center"/>
                </w:tcPr>
                <w:p w14:paraId="7FB553F4">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35F71DB1">
                  <w:pPr>
                    <w:topLinePunct/>
                    <w:jc w:val="center"/>
                    <w:rPr>
                      <w:rFonts w:ascii="Times New Roman" w:hAnsi="Times New Roman" w:eastAsia="宋体"/>
                      <w:color w:val="auto"/>
                      <w:kern w:val="0"/>
                      <w:szCs w:val="21"/>
                      <w:highlight w:val="none"/>
                    </w:rPr>
                  </w:pPr>
                </w:p>
              </w:tc>
            </w:tr>
            <w:tr w14:paraId="16769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5C98A66B">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17</w:t>
                  </w:r>
                </w:p>
              </w:tc>
              <w:tc>
                <w:tcPr>
                  <w:tcW w:w="599" w:type="pct"/>
                  <w:noWrap w:val="0"/>
                  <w:vAlign w:val="center"/>
                </w:tcPr>
                <w:p w14:paraId="336B6A6C">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废机油</w:t>
                  </w:r>
                </w:p>
              </w:tc>
              <w:tc>
                <w:tcPr>
                  <w:tcW w:w="432" w:type="pct"/>
                  <w:noWrap w:val="0"/>
                  <w:vAlign w:val="center"/>
                </w:tcPr>
                <w:p w14:paraId="18582EC0">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2EECB6C1">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HW</w:t>
                  </w:r>
                  <w:r>
                    <w:rPr>
                      <w:rFonts w:hint="eastAsia" w:ascii="Times New Roman" w:hAnsi="Times New Roman" w:eastAsia="宋体"/>
                      <w:color w:val="auto"/>
                      <w:szCs w:val="21"/>
                      <w:highlight w:val="none"/>
                      <w:lang w:val="en-US" w:eastAsia="zh-CN"/>
                    </w:rPr>
                    <w:t>08</w:t>
                  </w:r>
                </w:p>
                <w:p w14:paraId="4BFEA249">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900-</w:t>
                  </w:r>
                  <w:r>
                    <w:rPr>
                      <w:rFonts w:hint="eastAsia" w:ascii="Times New Roman" w:hAnsi="Times New Roman" w:eastAsia="宋体"/>
                      <w:color w:val="auto"/>
                      <w:szCs w:val="21"/>
                      <w:highlight w:val="none"/>
                      <w:lang w:val="en-US" w:eastAsia="zh-CN"/>
                    </w:rPr>
                    <w:t>214-08</w:t>
                  </w:r>
                </w:p>
              </w:tc>
              <w:tc>
                <w:tcPr>
                  <w:tcW w:w="401" w:type="pct"/>
                  <w:noWrap w:val="0"/>
                  <w:vAlign w:val="center"/>
                </w:tcPr>
                <w:p w14:paraId="3361B079">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0.1</w:t>
                  </w:r>
                </w:p>
              </w:tc>
              <w:tc>
                <w:tcPr>
                  <w:tcW w:w="649" w:type="pct"/>
                  <w:noWrap w:val="0"/>
                  <w:vAlign w:val="center"/>
                </w:tcPr>
                <w:p w14:paraId="1C45DAF7">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设备维护保养</w:t>
                  </w:r>
                </w:p>
              </w:tc>
              <w:tc>
                <w:tcPr>
                  <w:tcW w:w="363" w:type="pct"/>
                  <w:noWrap w:val="0"/>
                  <w:vAlign w:val="center"/>
                </w:tcPr>
                <w:p w14:paraId="109799D8">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液态</w:t>
                  </w:r>
                </w:p>
              </w:tc>
              <w:tc>
                <w:tcPr>
                  <w:tcW w:w="479" w:type="pct"/>
                  <w:noWrap w:val="0"/>
                  <w:vAlign w:val="center"/>
                </w:tcPr>
                <w:p w14:paraId="7CEFA06E">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矿物油</w:t>
                  </w:r>
                </w:p>
              </w:tc>
              <w:tc>
                <w:tcPr>
                  <w:tcW w:w="302" w:type="pct"/>
                  <w:noWrap w:val="0"/>
                  <w:vAlign w:val="center"/>
                </w:tcPr>
                <w:p w14:paraId="186256F1">
                  <w:pPr>
                    <w:topLinePunct/>
                    <w:jc w:val="center"/>
                    <w:rPr>
                      <w:rFonts w:ascii="Times New Roman" w:hAnsi="Times New Roman" w:eastAsia="宋体"/>
                      <w:color w:val="auto"/>
                      <w:kern w:val="0"/>
                      <w:szCs w:val="21"/>
                      <w:highlight w:val="none"/>
                    </w:rPr>
                  </w:pPr>
                  <w:r>
                    <w:rPr>
                      <w:rFonts w:ascii="Times New Roman" w:hAnsi="Times New Roman" w:eastAsia="宋体"/>
                      <w:color w:val="auto"/>
                      <w:kern w:val="0"/>
                      <w:szCs w:val="21"/>
                      <w:highlight w:val="none"/>
                    </w:rPr>
                    <w:t>T，</w:t>
                  </w:r>
                  <w:r>
                    <w:rPr>
                      <w:rFonts w:hint="eastAsia" w:ascii="Times New Roman" w:hAnsi="Times New Roman" w:eastAsia="宋体"/>
                      <w:color w:val="auto"/>
                      <w:kern w:val="0"/>
                      <w:szCs w:val="21"/>
                      <w:highlight w:val="none"/>
                    </w:rPr>
                    <w:t>I</w:t>
                  </w:r>
                </w:p>
              </w:tc>
              <w:tc>
                <w:tcPr>
                  <w:tcW w:w="293" w:type="pct"/>
                  <w:noWrap w:val="0"/>
                  <w:vAlign w:val="center"/>
                </w:tcPr>
                <w:p w14:paraId="07BADF1B">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每年</w:t>
                  </w:r>
                </w:p>
              </w:tc>
              <w:tc>
                <w:tcPr>
                  <w:tcW w:w="367" w:type="pct"/>
                  <w:vMerge w:val="continue"/>
                  <w:noWrap w:val="0"/>
                  <w:vAlign w:val="center"/>
                </w:tcPr>
                <w:p w14:paraId="1EB2FC16">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4A2A10BD">
                  <w:pPr>
                    <w:topLinePunct/>
                    <w:jc w:val="center"/>
                    <w:rPr>
                      <w:rFonts w:ascii="Times New Roman" w:hAnsi="Times New Roman" w:eastAsia="宋体"/>
                      <w:color w:val="auto"/>
                      <w:kern w:val="0"/>
                      <w:szCs w:val="21"/>
                      <w:highlight w:val="none"/>
                    </w:rPr>
                  </w:pPr>
                </w:p>
              </w:tc>
            </w:tr>
            <w:tr w14:paraId="37F53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175BC8E2">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18</w:t>
                  </w:r>
                </w:p>
              </w:tc>
              <w:tc>
                <w:tcPr>
                  <w:tcW w:w="599" w:type="pct"/>
                  <w:noWrap w:val="0"/>
                  <w:vAlign w:val="center"/>
                </w:tcPr>
                <w:p w14:paraId="46A5CAAA">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废油桶</w:t>
                  </w:r>
                </w:p>
              </w:tc>
              <w:tc>
                <w:tcPr>
                  <w:tcW w:w="432" w:type="pct"/>
                  <w:noWrap w:val="0"/>
                  <w:vAlign w:val="center"/>
                </w:tcPr>
                <w:p w14:paraId="25EED8D8">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01F515DD">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HW</w:t>
                  </w:r>
                  <w:r>
                    <w:rPr>
                      <w:rFonts w:hint="eastAsia" w:ascii="Times New Roman" w:hAnsi="Times New Roman" w:eastAsia="宋体"/>
                      <w:color w:val="auto"/>
                      <w:szCs w:val="21"/>
                      <w:highlight w:val="none"/>
                      <w:lang w:val="en-US" w:eastAsia="zh-CN"/>
                    </w:rPr>
                    <w:t>08</w:t>
                  </w:r>
                </w:p>
                <w:p w14:paraId="3A5FE613">
                  <w:pPr>
                    <w:adjustRightInd w:val="0"/>
                    <w:snapToGrid w:val="0"/>
                    <w:jc w:val="center"/>
                    <w:rPr>
                      <w:rFonts w:hint="default" w:ascii="Times New Roman" w:hAnsi="Times New Roman" w:eastAsia="宋体"/>
                      <w:color w:val="auto"/>
                      <w:szCs w:val="21"/>
                      <w:highlight w:val="none"/>
                      <w:lang w:val="en-US"/>
                    </w:rPr>
                  </w:pPr>
                  <w:r>
                    <w:rPr>
                      <w:rFonts w:hint="eastAsia" w:ascii="Times New Roman" w:hAnsi="Times New Roman" w:eastAsia="宋体"/>
                      <w:color w:val="auto"/>
                      <w:szCs w:val="21"/>
                      <w:highlight w:val="none"/>
                    </w:rPr>
                    <w:t>900-</w:t>
                  </w:r>
                  <w:r>
                    <w:rPr>
                      <w:rFonts w:hint="eastAsia" w:ascii="Times New Roman" w:hAnsi="Times New Roman" w:eastAsia="宋体"/>
                      <w:color w:val="auto"/>
                      <w:szCs w:val="21"/>
                      <w:highlight w:val="none"/>
                      <w:lang w:val="en-US" w:eastAsia="zh-CN"/>
                    </w:rPr>
                    <w:t>249-08</w:t>
                  </w:r>
                </w:p>
              </w:tc>
              <w:tc>
                <w:tcPr>
                  <w:tcW w:w="401" w:type="pct"/>
                  <w:noWrap w:val="0"/>
                  <w:vAlign w:val="center"/>
                </w:tcPr>
                <w:p w14:paraId="182798A7">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0.05</w:t>
                  </w:r>
                </w:p>
              </w:tc>
              <w:tc>
                <w:tcPr>
                  <w:tcW w:w="649" w:type="pct"/>
                  <w:noWrap w:val="0"/>
                  <w:vAlign w:val="center"/>
                </w:tcPr>
                <w:p w14:paraId="521DFBBB">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设备维护保养</w:t>
                  </w:r>
                </w:p>
              </w:tc>
              <w:tc>
                <w:tcPr>
                  <w:tcW w:w="363" w:type="pct"/>
                  <w:noWrap w:val="0"/>
                  <w:vAlign w:val="center"/>
                </w:tcPr>
                <w:p w14:paraId="30B10B0C">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固态</w:t>
                  </w:r>
                </w:p>
              </w:tc>
              <w:tc>
                <w:tcPr>
                  <w:tcW w:w="479" w:type="pct"/>
                  <w:noWrap w:val="0"/>
                  <w:vAlign w:val="center"/>
                </w:tcPr>
                <w:p w14:paraId="462BAEA0">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矿物油</w:t>
                  </w:r>
                </w:p>
              </w:tc>
              <w:tc>
                <w:tcPr>
                  <w:tcW w:w="302" w:type="pct"/>
                  <w:noWrap w:val="0"/>
                  <w:vAlign w:val="center"/>
                </w:tcPr>
                <w:p w14:paraId="7F7D7BA3">
                  <w:pPr>
                    <w:topLinePunct/>
                    <w:jc w:val="center"/>
                    <w:rPr>
                      <w:rFonts w:ascii="Times New Roman" w:hAnsi="Times New Roman" w:eastAsia="宋体"/>
                      <w:color w:val="auto"/>
                      <w:kern w:val="0"/>
                      <w:szCs w:val="21"/>
                      <w:highlight w:val="none"/>
                    </w:rPr>
                  </w:pPr>
                  <w:r>
                    <w:rPr>
                      <w:rFonts w:ascii="Times New Roman" w:hAnsi="Times New Roman" w:eastAsia="宋体"/>
                      <w:color w:val="auto"/>
                      <w:kern w:val="0"/>
                      <w:szCs w:val="21"/>
                      <w:highlight w:val="none"/>
                    </w:rPr>
                    <w:t>T，</w:t>
                  </w:r>
                  <w:r>
                    <w:rPr>
                      <w:rFonts w:hint="eastAsia" w:ascii="Times New Roman" w:hAnsi="Times New Roman" w:eastAsia="宋体"/>
                      <w:color w:val="auto"/>
                      <w:kern w:val="0"/>
                      <w:szCs w:val="21"/>
                      <w:highlight w:val="none"/>
                    </w:rPr>
                    <w:t>I</w:t>
                  </w:r>
                </w:p>
              </w:tc>
              <w:tc>
                <w:tcPr>
                  <w:tcW w:w="293" w:type="pct"/>
                  <w:noWrap w:val="0"/>
                  <w:vAlign w:val="center"/>
                </w:tcPr>
                <w:p w14:paraId="453F6A01">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每年</w:t>
                  </w:r>
                </w:p>
              </w:tc>
              <w:tc>
                <w:tcPr>
                  <w:tcW w:w="367" w:type="pct"/>
                  <w:vMerge w:val="continue"/>
                  <w:noWrap w:val="0"/>
                  <w:vAlign w:val="center"/>
                </w:tcPr>
                <w:p w14:paraId="45DC141B">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4F6130FF">
                  <w:pPr>
                    <w:topLinePunct/>
                    <w:jc w:val="center"/>
                    <w:rPr>
                      <w:rFonts w:ascii="Times New Roman" w:hAnsi="Times New Roman" w:eastAsia="宋体"/>
                      <w:color w:val="auto"/>
                      <w:kern w:val="0"/>
                      <w:szCs w:val="21"/>
                      <w:highlight w:val="none"/>
                    </w:rPr>
                  </w:pPr>
                </w:p>
              </w:tc>
            </w:tr>
            <w:tr w14:paraId="271AA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219" w:type="pct"/>
                  <w:noWrap w:val="0"/>
                  <w:vAlign w:val="center"/>
                </w:tcPr>
                <w:p w14:paraId="27FB8345">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19</w:t>
                  </w:r>
                </w:p>
              </w:tc>
              <w:tc>
                <w:tcPr>
                  <w:tcW w:w="599" w:type="pct"/>
                  <w:noWrap w:val="0"/>
                  <w:vAlign w:val="center"/>
                </w:tcPr>
                <w:p w14:paraId="1C6E348C">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废活性炭</w:t>
                  </w:r>
                </w:p>
              </w:tc>
              <w:tc>
                <w:tcPr>
                  <w:tcW w:w="432" w:type="pct"/>
                  <w:noWrap w:val="0"/>
                  <w:vAlign w:val="center"/>
                </w:tcPr>
                <w:p w14:paraId="79EA0EA2">
                  <w:pPr>
                    <w:topLinePunct/>
                    <w:jc w:val="center"/>
                    <w:rPr>
                      <w:rFonts w:ascii="Times New Roman" w:hAnsi="Times New Roman" w:eastAsia="宋体"/>
                      <w:color w:val="auto"/>
                      <w:szCs w:val="21"/>
                      <w:highlight w:val="none"/>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7FACAA8F">
                  <w:pPr>
                    <w:adjustRightInd w:val="0"/>
                    <w:snapToGrid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HW49</w:t>
                  </w:r>
                </w:p>
                <w:p w14:paraId="4AA6713F">
                  <w:pPr>
                    <w:adjustRightInd w:val="0"/>
                    <w:snapToGrid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900-039-49</w:t>
                  </w:r>
                </w:p>
              </w:tc>
              <w:tc>
                <w:tcPr>
                  <w:tcW w:w="401" w:type="pct"/>
                  <w:noWrap w:val="0"/>
                  <w:vAlign w:val="center"/>
                </w:tcPr>
                <w:p w14:paraId="44102769">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7.8469</w:t>
                  </w:r>
                </w:p>
              </w:tc>
              <w:tc>
                <w:tcPr>
                  <w:tcW w:w="649" w:type="pct"/>
                  <w:noWrap w:val="0"/>
                  <w:vAlign w:val="center"/>
                </w:tcPr>
                <w:p w14:paraId="0C5CCFF3">
                  <w:pPr>
                    <w:adjustRightInd w:val="0"/>
                    <w:snapToGrid w:val="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废气处理</w:t>
                  </w:r>
                </w:p>
              </w:tc>
              <w:tc>
                <w:tcPr>
                  <w:tcW w:w="363" w:type="pct"/>
                  <w:noWrap w:val="0"/>
                  <w:vAlign w:val="center"/>
                </w:tcPr>
                <w:p w14:paraId="5351C1CB">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固态</w:t>
                  </w:r>
                </w:p>
              </w:tc>
              <w:tc>
                <w:tcPr>
                  <w:tcW w:w="479" w:type="pct"/>
                  <w:noWrap w:val="0"/>
                  <w:vAlign w:val="center"/>
                </w:tcPr>
                <w:p w14:paraId="4150D58E">
                  <w:pPr>
                    <w:topLinePunct/>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有机物</w:t>
                  </w:r>
                </w:p>
              </w:tc>
              <w:tc>
                <w:tcPr>
                  <w:tcW w:w="302" w:type="pct"/>
                  <w:noWrap w:val="0"/>
                  <w:vAlign w:val="center"/>
                </w:tcPr>
                <w:p w14:paraId="34D63617">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T</w:t>
                  </w:r>
                </w:p>
              </w:tc>
              <w:tc>
                <w:tcPr>
                  <w:tcW w:w="293" w:type="pct"/>
                  <w:noWrap w:val="0"/>
                  <w:vAlign w:val="center"/>
                </w:tcPr>
                <w:p w14:paraId="2CBE3965">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半年</w:t>
                  </w:r>
                </w:p>
              </w:tc>
              <w:tc>
                <w:tcPr>
                  <w:tcW w:w="367" w:type="pct"/>
                  <w:vMerge w:val="continue"/>
                  <w:noWrap w:val="0"/>
                  <w:vAlign w:val="center"/>
                </w:tcPr>
                <w:p w14:paraId="77D484B5">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2FF1121E">
                  <w:pPr>
                    <w:topLinePunct/>
                    <w:jc w:val="center"/>
                    <w:rPr>
                      <w:rFonts w:ascii="Times New Roman" w:hAnsi="Times New Roman" w:eastAsia="宋体"/>
                      <w:color w:val="auto"/>
                      <w:kern w:val="0"/>
                      <w:szCs w:val="21"/>
                      <w:highlight w:val="none"/>
                    </w:rPr>
                  </w:pPr>
                </w:p>
              </w:tc>
            </w:tr>
            <w:tr w14:paraId="43F52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219" w:type="pct"/>
                  <w:noWrap w:val="0"/>
                  <w:vAlign w:val="center"/>
                </w:tcPr>
                <w:p w14:paraId="2B9D103A">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20</w:t>
                  </w:r>
                </w:p>
              </w:tc>
              <w:tc>
                <w:tcPr>
                  <w:tcW w:w="599" w:type="pct"/>
                  <w:noWrap w:val="0"/>
                  <w:vAlign w:val="center"/>
                </w:tcPr>
                <w:p w14:paraId="7FC916C4">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废过滤棉</w:t>
                  </w:r>
                </w:p>
              </w:tc>
              <w:tc>
                <w:tcPr>
                  <w:tcW w:w="432" w:type="pct"/>
                  <w:noWrap w:val="0"/>
                  <w:vAlign w:val="center"/>
                </w:tcPr>
                <w:p w14:paraId="58EEFF70">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0D114AB2">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HW</w:t>
                  </w:r>
                  <w:r>
                    <w:rPr>
                      <w:rFonts w:hint="eastAsia" w:ascii="Times New Roman" w:hAnsi="Times New Roman" w:eastAsia="宋体"/>
                      <w:color w:val="auto"/>
                      <w:szCs w:val="21"/>
                      <w:highlight w:val="none"/>
                      <w:lang w:val="en-US" w:eastAsia="zh-CN"/>
                    </w:rPr>
                    <w:t>49</w:t>
                  </w:r>
                </w:p>
                <w:p w14:paraId="44B8B508">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900-</w:t>
                  </w:r>
                  <w:r>
                    <w:rPr>
                      <w:rFonts w:hint="eastAsia" w:ascii="Times New Roman" w:hAnsi="Times New Roman" w:eastAsia="宋体"/>
                      <w:color w:val="auto"/>
                      <w:szCs w:val="21"/>
                      <w:highlight w:val="none"/>
                      <w:lang w:val="en-US" w:eastAsia="zh-CN"/>
                    </w:rPr>
                    <w:t>041-49</w:t>
                  </w:r>
                </w:p>
              </w:tc>
              <w:tc>
                <w:tcPr>
                  <w:tcW w:w="401" w:type="pct"/>
                  <w:noWrap w:val="0"/>
                  <w:vAlign w:val="center"/>
                </w:tcPr>
                <w:p w14:paraId="75B78C01">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2.0</w:t>
                  </w:r>
                </w:p>
              </w:tc>
              <w:tc>
                <w:tcPr>
                  <w:tcW w:w="649" w:type="pct"/>
                  <w:noWrap w:val="0"/>
                  <w:vAlign w:val="center"/>
                </w:tcPr>
                <w:p w14:paraId="17CF01D1">
                  <w:pPr>
                    <w:adjustRightInd w:val="0"/>
                    <w:snapToGrid w:val="0"/>
                    <w:jc w:val="center"/>
                    <w:rPr>
                      <w:rFonts w:hint="eastAsia" w:ascii="Times New Roman" w:hAnsi="Times New Roman" w:eastAsia="宋体"/>
                      <w:color w:val="auto"/>
                      <w:kern w:val="0"/>
                      <w:szCs w:val="21"/>
                      <w:highlight w:val="none"/>
                    </w:rPr>
                  </w:pPr>
                  <w:r>
                    <w:rPr>
                      <w:rFonts w:hint="eastAsia" w:ascii="Times New Roman" w:hAnsi="Times New Roman" w:eastAsia="宋体" w:cs="Times New Roman"/>
                      <w:color w:val="auto"/>
                      <w:szCs w:val="21"/>
                      <w:highlight w:val="none"/>
                    </w:rPr>
                    <w:t>废气处理</w:t>
                  </w:r>
                </w:p>
              </w:tc>
              <w:tc>
                <w:tcPr>
                  <w:tcW w:w="363" w:type="pct"/>
                  <w:noWrap w:val="0"/>
                  <w:vAlign w:val="center"/>
                </w:tcPr>
                <w:p w14:paraId="59BDE735">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固态</w:t>
                  </w:r>
                </w:p>
              </w:tc>
              <w:tc>
                <w:tcPr>
                  <w:tcW w:w="479" w:type="pct"/>
                  <w:noWrap w:val="0"/>
                  <w:vAlign w:val="center"/>
                </w:tcPr>
                <w:p w14:paraId="48EAE7A1">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有机物</w:t>
                  </w:r>
                </w:p>
              </w:tc>
              <w:tc>
                <w:tcPr>
                  <w:tcW w:w="302" w:type="pct"/>
                  <w:noWrap w:val="0"/>
                  <w:vAlign w:val="center"/>
                </w:tcPr>
                <w:p w14:paraId="22968837">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T</w:t>
                  </w:r>
                </w:p>
              </w:tc>
              <w:tc>
                <w:tcPr>
                  <w:tcW w:w="293" w:type="pct"/>
                  <w:noWrap w:val="0"/>
                  <w:vAlign w:val="center"/>
                </w:tcPr>
                <w:p w14:paraId="59C433CC">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半年</w:t>
                  </w:r>
                </w:p>
              </w:tc>
              <w:tc>
                <w:tcPr>
                  <w:tcW w:w="367" w:type="pct"/>
                  <w:vMerge w:val="continue"/>
                  <w:noWrap w:val="0"/>
                  <w:vAlign w:val="center"/>
                </w:tcPr>
                <w:p w14:paraId="6488C3B9">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014F9008">
                  <w:pPr>
                    <w:topLinePunct/>
                    <w:jc w:val="center"/>
                    <w:rPr>
                      <w:rFonts w:ascii="Times New Roman" w:hAnsi="Times New Roman" w:eastAsia="宋体"/>
                      <w:color w:val="auto"/>
                      <w:kern w:val="0"/>
                      <w:szCs w:val="21"/>
                      <w:highlight w:val="none"/>
                    </w:rPr>
                  </w:pPr>
                </w:p>
              </w:tc>
            </w:tr>
            <w:tr w14:paraId="683DA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1296148D">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21</w:t>
                  </w:r>
                </w:p>
              </w:tc>
              <w:tc>
                <w:tcPr>
                  <w:tcW w:w="599" w:type="pct"/>
                  <w:noWrap w:val="0"/>
                  <w:vAlign w:val="center"/>
                </w:tcPr>
                <w:p w14:paraId="56508D24">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浮油和污泥</w:t>
                  </w:r>
                </w:p>
              </w:tc>
              <w:tc>
                <w:tcPr>
                  <w:tcW w:w="432" w:type="pct"/>
                  <w:noWrap w:val="0"/>
                  <w:vAlign w:val="center"/>
                </w:tcPr>
                <w:p w14:paraId="30425D22">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432685DE">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HW08</w:t>
                  </w:r>
                </w:p>
                <w:p w14:paraId="1ACA498B">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900-21</w:t>
                  </w:r>
                  <w:r>
                    <w:rPr>
                      <w:rFonts w:hint="eastAsia" w:ascii="Times New Roman" w:hAnsi="Times New Roman" w:eastAsia="宋体"/>
                      <w:color w:val="auto"/>
                      <w:szCs w:val="21"/>
                      <w:highlight w:val="none"/>
                      <w:lang w:val="en-US" w:eastAsia="zh-CN"/>
                    </w:rPr>
                    <w:t>0-08</w:t>
                  </w:r>
                </w:p>
              </w:tc>
              <w:tc>
                <w:tcPr>
                  <w:tcW w:w="401" w:type="pct"/>
                  <w:noWrap w:val="0"/>
                  <w:vAlign w:val="center"/>
                </w:tcPr>
                <w:p w14:paraId="2ED898E0">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2.2251</w:t>
                  </w:r>
                </w:p>
              </w:tc>
              <w:tc>
                <w:tcPr>
                  <w:tcW w:w="649" w:type="pct"/>
                  <w:noWrap w:val="0"/>
                  <w:vAlign w:val="center"/>
                </w:tcPr>
                <w:p w14:paraId="56244D5E">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初期雨水处理</w:t>
                  </w:r>
                </w:p>
              </w:tc>
              <w:tc>
                <w:tcPr>
                  <w:tcW w:w="363" w:type="pct"/>
                  <w:noWrap w:val="0"/>
                  <w:vAlign w:val="center"/>
                </w:tcPr>
                <w:p w14:paraId="0305D0A1">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rPr>
                    <w:t>液态</w:t>
                  </w:r>
                  <w:r>
                    <w:rPr>
                      <w:rFonts w:hint="eastAsia" w:ascii="Times New Roman" w:hAnsi="Times New Roman" w:eastAsia="宋体"/>
                      <w:color w:val="auto"/>
                      <w:kern w:val="0"/>
                      <w:szCs w:val="21"/>
                      <w:highlight w:val="none"/>
                      <w:lang w:val="en-US" w:eastAsia="zh-CN"/>
                    </w:rPr>
                    <w:t>/固态</w:t>
                  </w:r>
                </w:p>
              </w:tc>
              <w:tc>
                <w:tcPr>
                  <w:tcW w:w="479" w:type="pct"/>
                  <w:noWrap w:val="0"/>
                  <w:vAlign w:val="center"/>
                </w:tcPr>
                <w:p w14:paraId="0239C19A">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矿物油</w:t>
                  </w:r>
                </w:p>
              </w:tc>
              <w:tc>
                <w:tcPr>
                  <w:tcW w:w="302" w:type="pct"/>
                  <w:noWrap w:val="0"/>
                  <w:vAlign w:val="center"/>
                </w:tcPr>
                <w:p w14:paraId="4F7F82BD">
                  <w:pPr>
                    <w:topLinePunct/>
                    <w:jc w:val="center"/>
                    <w:rPr>
                      <w:rFonts w:hint="eastAsia" w:ascii="Times New Roman" w:hAnsi="Times New Roman" w:eastAsia="宋体"/>
                      <w:color w:val="auto"/>
                      <w:kern w:val="0"/>
                      <w:szCs w:val="21"/>
                      <w:highlight w:val="none"/>
                    </w:rPr>
                  </w:pPr>
                  <w:r>
                    <w:rPr>
                      <w:rFonts w:ascii="Times New Roman" w:hAnsi="Times New Roman" w:eastAsia="宋体"/>
                      <w:color w:val="auto"/>
                      <w:kern w:val="0"/>
                      <w:szCs w:val="21"/>
                      <w:highlight w:val="none"/>
                    </w:rPr>
                    <w:t>T</w:t>
                  </w:r>
                </w:p>
              </w:tc>
              <w:tc>
                <w:tcPr>
                  <w:tcW w:w="293" w:type="pct"/>
                  <w:noWrap w:val="0"/>
                  <w:vAlign w:val="center"/>
                </w:tcPr>
                <w:p w14:paraId="60A90287">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val="en-US" w:eastAsia="zh-CN"/>
                    </w:rPr>
                    <w:t>每年</w:t>
                  </w:r>
                </w:p>
              </w:tc>
              <w:tc>
                <w:tcPr>
                  <w:tcW w:w="367" w:type="pct"/>
                  <w:vMerge w:val="continue"/>
                  <w:noWrap w:val="0"/>
                  <w:vAlign w:val="center"/>
                </w:tcPr>
                <w:p w14:paraId="3D084676">
                  <w:pPr>
                    <w:topLinePunct/>
                    <w:jc w:val="center"/>
                    <w:rPr>
                      <w:rFonts w:ascii="Times New Roman" w:hAnsi="Times New Roman" w:eastAsia="宋体"/>
                      <w:color w:val="auto"/>
                      <w:kern w:val="0"/>
                      <w:szCs w:val="21"/>
                      <w:highlight w:val="none"/>
                    </w:rPr>
                  </w:pPr>
                </w:p>
              </w:tc>
              <w:tc>
                <w:tcPr>
                  <w:tcW w:w="367" w:type="pct"/>
                  <w:vMerge w:val="continue"/>
                  <w:noWrap w:val="0"/>
                  <w:vAlign w:val="center"/>
                </w:tcPr>
                <w:p w14:paraId="417AA865">
                  <w:pPr>
                    <w:topLinePunct/>
                    <w:jc w:val="center"/>
                    <w:rPr>
                      <w:rFonts w:ascii="Times New Roman" w:hAnsi="Times New Roman" w:eastAsia="宋体"/>
                      <w:color w:val="auto"/>
                      <w:kern w:val="0"/>
                      <w:szCs w:val="21"/>
                      <w:highlight w:val="none"/>
                    </w:rPr>
                  </w:pPr>
                </w:p>
              </w:tc>
            </w:tr>
            <w:tr w14:paraId="54F2D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442DE47D">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22</w:t>
                  </w:r>
                </w:p>
              </w:tc>
              <w:tc>
                <w:tcPr>
                  <w:tcW w:w="599" w:type="pct"/>
                  <w:noWrap w:val="0"/>
                  <w:vAlign w:val="center"/>
                </w:tcPr>
                <w:p w14:paraId="10FDA48D">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含油废抹布及手套</w:t>
                  </w:r>
                </w:p>
              </w:tc>
              <w:tc>
                <w:tcPr>
                  <w:tcW w:w="432" w:type="pct"/>
                  <w:noWrap w:val="0"/>
                  <w:vAlign w:val="center"/>
                </w:tcPr>
                <w:p w14:paraId="46AF687C">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危险废物</w:t>
                  </w:r>
                </w:p>
              </w:tc>
              <w:tc>
                <w:tcPr>
                  <w:tcW w:w="524" w:type="pct"/>
                  <w:noWrap w:val="0"/>
                  <w:vAlign w:val="center"/>
                </w:tcPr>
                <w:p w14:paraId="112B29B6">
                  <w:pPr>
                    <w:adjustRightInd w:val="0"/>
                    <w:snapToGrid w:val="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rPr>
                    <w:t>HW</w:t>
                  </w:r>
                  <w:r>
                    <w:rPr>
                      <w:rFonts w:hint="eastAsia" w:ascii="Times New Roman" w:hAnsi="Times New Roman" w:eastAsia="宋体"/>
                      <w:color w:val="auto"/>
                      <w:szCs w:val="21"/>
                      <w:highlight w:val="none"/>
                      <w:lang w:val="en-US" w:eastAsia="zh-CN"/>
                    </w:rPr>
                    <w:t>49</w:t>
                  </w:r>
                </w:p>
                <w:p w14:paraId="78353995">
                  <w:pPr>
                    <w:adjustRightInd w:val="0"/>
                    <w:snapToGrid w:val="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900-</w:t>
                  </w:r>
                  <w:r>
                    <w:rPr>
                      <w:rFonts w:hint="eastAsia" w:ascii="Times New Roman" w:hAnsi="Times New Roman" w:eastAsia="宋体"/>
                      <w:color w:val="auto"/>
                      <w:szCs w:val="21"/>
                      <w:highlight w:val="none"/>
                      <w:lang w:val="en-US" w:eastAsia="zh-CN"/>
                    </w:rPr>
                    <w:t>041-49</w:t>
                  </w:r>
                </w:p>
              </w:tc>
              <w:tc>
                <w:tcPr>
                  <w:tcW w:w="401" w:type="pct"/>
                  <w:noWrap w:val="0"/>
                  <w:vAlign w:val="center"/>
                </w:tcPr>
                <w:p w14:paraId="271EE894">
                  <w:pPr>
                    <w:adjustRightInd w:val="0"/>
                    <w:snapToGrid w:val="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0.5</w:t>
                  </w:r>
                </w:p>
              </w:tc>
              <w:tc>
                <w:tcPr>
                  <w:tcW w:w="649" w:type="pct"/>
                  <w:noWrap w:val="0"/>
                  <w:vAlign w:val="center"/>
                </w:tcPr>
                <w:p w14:paraId="13AA5035">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eastAsia="zh-CN"/>
                    </w:rPr>
                    <w:t>日常作业、地面油渍清理</w:t>
                  </w:r>
                </w:p>
              </w:tc>
              <w:tc>
                <w:tcPr>
                  <w:tcW w:w="363" w:type="pct"/>
                  <w:noWrap w:val="0"/>
                  <w:vAlign w:val="center"/>
                </w:tcPr>
                <w:p w14:paraId="38E7204B">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lang w:eastAsia="zh-CN"/>
                    </w:rPr>
                    <w:t>固态</w:t>
                  </w:r>
                </w:p>
              </w:tc>
              <w:tc>
                <w:tcPr>
                  <w:tcW w:w="479" w:type="pct"/>
                  <w:noWrap w:val="0"/>
                  <w:vAlign w:val="center"/>
                </w:tcPr>
                <w:p w14:paraId="5A0E64E7">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lang w:eastAsia="zh-CN"/>
                    </w:rPr>
                    <w:t>矿物油</w:t>
                  </w:r>
                </w:p>
              </w:tc>
              <w:tc>
                <w:tcPr>
                  <w:tcW w:w="302" w:type="pct"/>
                  <w:noWrap w:val="0"/>
                  <w:vAlign w:val="center"/>
                </w:tcPr>
                <w:p w14:paraId="38FF2417">
                  <w:pPr>
                    <w:topLinePunct/>
                    <w:jc w:val="center"/>
                    <w:rPr>
                      <w:rFonts w:ascii="Times New Roman" w:hAnsi="Times New Roman" w:eastAsia="宋体"/>
                      <w:color w:val="auto"/>
                      <w:kern w:val="0"/>
                      <w:szCs w:val="21"/>
                      <w:highlight w:val="none"/>
                    </w:rPr>
                  </w:pPr>
                  <w:r>
                    <w:rPr>
                      <w:rFonts w:ascii="Times New Roman" w:hAnsi="Times New Roman" w:eastAsia="宋体"/>
                      <w:color w:val="auto"/>
                      <w:kern w:val="0"/>
                      <w:szCs w:val="21"/>
                      <w:highlight w:val="none"/>
                    </w:rPr>
                    <w:t>T</w:t>
                  </w:r>
                </w:p>
              </w:tc>
              <w:tc>
                <w:tcPr>
                  <w:tcW w:w="293" w:type="pct"/>
                  <w:noWrap w:val="0"/>
                  <w:vAlign w:val="center"/>
                </w:tcPr>
                <w:p w14:paraId="50DF8180">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eastAsia="zh-CN"/>
                    </w:rPr>
                    <w:t>每天</w:t>
                  </w:r>
                </w:p>
              </w:tc>
              <w:tc>
                <w:tcPr>
                  <w:tcW w:w="367" w:type="pct"/>
                  <w:noWrap w:val="0"/>
                  <w:vAlign w:val="center"/>
                </w:tcPr>
                <w:p w14:paraId="34270D74">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混入生活垃圾</w:t>
                  </w:r>
                </w:p>
              </w:tc>
              <w:tc>
                <w:tcPr>
                  <w:tcW w:w="367" w:type="pct"/>
                  <w:vMerge w:val="restart"/>
                  <w:noWrap w:val="0"/>
                  <w:vAlign w:val="center"/>
                </w:tcPr>
                <w:p w14:paraId="7B0501D8">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交由环卫部门统一清运处置</w:t>
                  </w:r>
                </w:p>
              </w:tc>
            </w:tr>
            <w:tr w14:paraId="3AAB8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9" w:type="pct"/>
                  <w:noWrap w:val="0"/>
                  <w:vAlign w:val="center"/>
                </w:tcPr>
                <w:p w14:paraId="1E3DABD1">
                  <w:pPr>
                    <w:topLinePunct/>
                    <w:jc w:val="center"/>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23</w:t>
                  </w:r>
                </w:p>
              </w:tc>
              <w:tc>
                <w:tcPr>
                  <w:tcW w:w="599" w:type="pct"/>
                  <w:noWrap w:val="0"/>
                  <w:vAlign w:val="center"/>
                </w:tcPr>
                <w:p w14:paraId="2D81B4B5">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生活垃圾</w:t>
                  </w:r>
                </w:p>
              </w:tc>
              <w:tc>
                <w:tcPr>
                  <w:tcW w:w="432" w:type="pct"/>
                  <w:noWrap w:val="0"/>
                  <w:vAlign w:val="center"/>
                </w:tcPr>
                <w:p w14:paraId="5B4C4613">
                  <w:pPr>
                    <w:topLinePunct/>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一般固废</w:t>
                  </w:r>
                </w:p>
              </w:tc>
              <w:tc>
                <w:tcPr>
                  <w:tcW w:w="524" w:type="pct"/>
                  <w:noWrap w:val="0"/>
                  <w:vAlign w:val="center"/>
                </w:tcPr>
                <w:p w14:paraId="77F690D8">
                  <w:pPr>
                    <w:adjustRightInd w:val="0"/>
                    <w:snapToGrid w:val="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w:t>
                  </w:r>
                </w:p>
              </w:tc>
              <w:tc>
                <w:tcPr>
                  <w:tcW w:w="401" w:type="pct"/>
                  <w:noWrap w:val="0"/>
                  <w:vAlign w:val="center"/>
                </w:tcPr>
                <w:p w14:paraId="74829A1C">
                  <w:pPr>
                    <w:adjustRightInd w:val="0"/>
                    <w:snapToGrid w:val="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4.5</w:t>
                  </w:r>
                </w:p>
              </w:tc>
              <w:tc>
                <w:tcPr>
                  <w:tcW w:w="649" w:type="pct"/>
                  <w:noWrap w:val="0"/>
                  <w:vAlign w:val="center"/>
                </w:tcPr>
                <w:p w14:paraId="55EDB84F">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员工日常生活</w:t>
                  </w:r>
                </w:p>
              </w:tc>
              <w:tc>
                <w:tcPr>
                  <w:tcW w:w="363" w:type="pct"/>
                  <w:noWrap w:val="0"/>
                  <w:vAlign w:val="center"/>
                </w:tcPr>
                <w:p w14:paraId="25D20417">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固态</w:t>
                  </w:r>
                </w:p>
              </w:tc>
              <w:tc>
                <w:tcPr>
                  <w:tcW w:w="479" w:type="pct"/>
                  <w:noWrap w:val="0"/>
                  <w:vAlign w:val="center"/>
                </w:tcPr>
                <w:p w14:paraId="68E282F3">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w:t>
                  </w:r>
                </w:p>
              </w:tc>
              <w:tc>
                <w:tcPr>
                  <w:tcW w:w="302" w:type="pct"/>
                  <w:noWrap w:val="0"/>
                  <w:vAlign w:val="center"/>
                </w:tcPr>
                <w:p w14:paraId="7287ACF6">
                  <w:pPr>
                    <w:topLinePun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w:t>
                  </w:r>
                </w:p>
              </w:tc>
              <w:tc>
                <w:tcPr>
                  <w:tcW w:w="293" w:type="pct"/>
                  <w:noWrap w:val="0"/>
                  <w:vAlign w:val="center"/>
                </w:tcPr>
                <w:p w14:paraId="797A0541">
                  <w:pPr>
                    <w:topLinePunct/>
                    <w:jc w:val="center"/>
                    <w:rPr>
                      <w:rFonts w:hint="eastAsia"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每天</w:t>
                  </w:r>
                </w:p>
              </w:tc>
              <w:tc>
                <w:tcPr>
                  <w:tcW w:w="367" w:type="pct"/>
                  <w:noWrap w:val="0"/>
                  <w:vAlign w:val="center"/>
                </w:tcPr>
                <w:p w14:paraId="418586A6">
                  <w:pPr>
                    <w:topLinePunct/>
                    <w:jc w:val="center"/>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采用垃圾桶定点收集</w:t>
                  </w:r>
                </w:p>
              </w:tc>
              <w:tc>
                <w:tcPr>
                  <w:tcW w:w="367" w:type="pct"/>
                  <w:vMerge w:val="continue"/>
                  <w:noWrap w:val="0"/>
                  <w:vAlign w:val="center"/>
                </w:tcPr>
                <w:p w14:paraId="11683848">
                  <w:pPr>
                    <w:topLinePunct/>
                    <w:jc w:val="center"/>
                    <w:rPr>
                      <w:rFonts w:hint="eastAsia" w:ascii="Times New Roman" w:hAnsi="Times New Roman" w:eastAsia="宋体"/>
                      <w:color w:val="auto"/>
                      <w:kern w:val="0"/>
                      <w:szCs w:val="21"/>
                      <w:highlight w:val="none"/>
                      <w:lang w:eastAsia="zh-CN"/>
                    </w:rPr>
                  </w:pPr>
                </w:p>
              </w:tc>
            </w:tr>
          </w:tbl>
          <w:p w14:paraId="7976181D">
            <w:pPr>
              <w:pStyle w:val="17"/>
              <w:jc w:val="both"/>
              <w:outlineLvl w:val="0"/>
              <w:rPr>
                <w:rFonts w:hint="default" w:ascii="Times New Roman" w:hAnsi="Times New Roman" w:eastAsia="黑体" w:cs="Times New Roman"/>
                <w:snapToGrid w:val="0"/>
                <w:color w:val="auto"/>
                <w:sz w:val="30"/>
                <w:szCs w:val="30"/>
                <w:vertAlign w:val="baseline"/>
                <w:lang w:val="en-US" w:eastAsia="zh-CN"/>
              </w:rPr>
            </w:pPr>
          </w:p>
        </w:tc>
      </w:tr>
    </w:tbl>
    <w:p w14:paraId="25C05821">
      <w:pPr>
        <w:pStyle w:val="17"/>
        <w:jc w:val="both"/>
        <w:outlineLvl w:val="0"/>
        <w:rPr>
          <w:rFonts w:hint="default" w:ascii="Times New Roman" w:hAnsi="Times New Roman" w:eastAsia="黑体" w:cs="Times New Roman"/>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8462"/>
      </w:tblGrid>
      <w:tr w14:paraId="7F1B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4" w:hRule="atLeast"/>
        </w:trPr>
        <w:tc>
          <w:tcPr>
            <w:tcW w:w="598" w:type="dxa"/>
            <w:noWrap w:val="0"/>
            <w:vAlign w:val="top"/>
          </w:tcPr>
          <w:p w14:paraId="7C0D27B0">
            <w:pPr>
              <w:pStyle w:val="17"/>
              <w:jc w:val="both"/>
              <w:outlineLvl w:val="0"/>
              <w:rPr>
                <w:rFonts w:hint="default" w:ascii="Times New Roman" w:hAnsi="Times New Roman" w:eastAsia="黑体" w:cs="Times New Roman"/>
                <w:snapToGrid w:val="0"/>
                <w:color w:val="auto"/>
                <w:sz w:val="30"/>
                <w:szCs w:val="30"/>
                <w:vertAlign w:val="baseline"/>
              </w:rPr>
            </w:pPr>
          </w:p>
        </w:tc>
        <w:tc>
          <w:tcPr>
            <w:tcW w:w="8462" w:type="dxa"/>
            <w:noWrap w:val="0"/>
            <w:vAlign w:val="top"/>
          </w:tcPr>
          <w:p w14:paraId="51656527">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ascii="Times New Roman" w:hAnsi="Times New Roman" w:eastAsia="黑体"/>
                <w:b/>
                <w:color w:val="auto"/>
                <w:sz w:val="24"/>
              </w:rPr>
            </w:pPr>
            <w:r>
              <w:rPr>
                <w:rFonts w:ascii="Times New Roman" w:hAnsi="Times New Roman" w:eastAsia="黑体"/>
                <w:b/>
                <w:bCs/>
                <w:color w:val="auto"/>
                <w:kern w:val="0"/>
                <w:sz w:val="24"/>
              </w:rPr>
              <w:t>4.</w:t>
            </w:r>
            <w:r>
              <w:rPr>
                <w:rFonts w:hint="eastAsia" w:ascii="Times New Roman" w:hAnsi="Times New Roman" w:eastAsia="黑体"/>
                <w:b/>
                <w:bCs/>
                <w:color w:val="auto"/>
                <w:kern w:val="0"/>
                <w:sz w:val="24"/>
                <w:lang w:val="en-US" w:eastAsia="zh-CN"/>
              </w:rPr>
              <w:t>5.</w:t>
            </w:r>
            <w:r>
              <w:rPr>
                <w:rFonts w:ascii="Times New Roman" w:hAnsi="Times New Roman" w:eastAsia="黑体"/>
                <w:b/>
                <w:bCs/>
                <w:color w:val="auto"/>
                <w:kern w:val="0"/>
                <w:sz w:val="24"/>
              </w:rPr>
              <w:t xml:space="preserve">2 </w:t>
            </w:r>
            <w:r>
              <w:rPr>
                <w:rFonts w:hint="default" w:ascii="Times New Roman" w:hAnsi="Times New Roman" w:eastAsia="宋体" w:cs="Times New Roman"/>
                <w:b/>
                <w:color w:val="auto"/>
                <w:sz w:val="24"/>
              </w:rPr>
              <w:t>运营期固体废物影响分析及环境管理要求</w:t>
            </w:r>
          </w:p>
          <w:p w14:paraId="65E66D8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4.5.2.1</w:t>
            </w:r>
            <w:r>
              <w:rPr>
                <w:rFonts w:hint="default" w:ascii="Times New Roman" w:hAnsi="Times New Roman" w:cs="Times New Roman"/>
                <w:b/>
                <w:bCs/>
                <w:color w:val="auto"/>
                <w:sz w:val="24"/>
                <w:szCs w:val="24"/>
                <w:highlight w:val="none"/>
              </w:rPr>
              <w:t>一般工业固废</w:t>
            </w:r>
          </w:p>
          <w:p w14:paraId="2ED259FB">
            <w:pPr>
              <w:spacing w:line="360" w:lineRule="auto"/>
              <w:ind w:firstLine="482" w:firstLineChars="200"/>
              <w:rPr>
                <w:rFonts w:hint="eastAsia" w:ascii="Times New Roman" w:hAnsi="Times New Roman" w:eastAsia="宋体"/>
                <w:b/>
                <w:bCs/>
                <w:color w:val="auto"/>
                <w:sz w:val="24"/>
                <w:lang w:eastAsia="zh-CN"/>
              </w:rPr>
            </w:pPr>
            <w:r>
              <w:rPr>
                <w:rFonts w:hint="eastAsia" w:ascii="Times New Roman" w:hAnsi="Times New Roman"/>
                <w:b/>
                <w:bCs/>
                <w:color w:val="auto"/>
                <w:sz w:val="24"/>
                <w:lang w:eastAsia="zh-CN"/>
              </w:rPr>
              <w:t>（</w:t>
            </w:r>
            <w:r>
              <w:rPr>
                <w:rFonts w:hint="eastAsia" w:ascii="Times New Roman" w:hAnsi="Times New Roman"/>
                <w:b/>
                <w:bCs/>
                <w:color w:val="auto"/>
                <w:sz w:val="24"/>
                <w:lang w:val="en-US" w:eastAsia="zh-CN"/>
              </w:rPr>
              <w:t>1</w:t>
            </w:r>
            <w:r>
              <w:rPr>
                <w:rFonts w:hint="eastAsia" w:ascii="Times New Roman" w:hAnsi="Times New Roman"/>
                <w:b/>
                <w:bCs/>
                <w:color w:val="auto"/>
                <w:sz w:val="24"/>
                <w:lang w:eastAsia="zh-CN"/>
              </w:rPr>
              <w:t>）动力蓄电池临时贮存措施与要求</w:t>
            </w:r>
          </w:p>
          <w:p w14:paraId="5F0B1F28">
            <w:pPr>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废动力蓄电池虽未列入《国家危险废物名录》，但根据《报废机动车回收拆解企业技术规范》（GB 22128-2019）要求需要设置专门的贮存场地</w:t>
            </w:r>
            <w:r>
              <w:rPr>
                <w:rFonts w:hint="eastAsia" w:ascii="Times New Roman" w:hAnsi="Times New Roman" w:eastAsia="宋体" w:cs="Times New Roman"/>
                <w:color w:val="auto"/>
                <w:sz w:val="24"/>
                <w:lang w:eastAsia="zh-CN"/>
              </w:rPr>
              <w:t>。</w:t>
            </w:r>
          </w:p>
          <w:p w14:paraId="389591EC">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本项目拟在厂区西侧设置</w:t>
            </w:r>
            <w:r>
              <w:rPr>
                <w:rFonts w:hint="eastAsia" w:ascii="Times New Roman" w:hAnsi="Times New Roman" w:eastAsia="宋体" w:cs="Times New Roman"/>
                <w:color w:val="auto"/>
                <w:sz w:val="24"/>
                <w:lang w:val="en-US" w:eastAsia="zh-CN"/>
              </w:rPr>
              <w:t>1间废动力蓄电池暂存间，建筑面积约50m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，储存能力一次可达40t，项目动力蓄电池产生量约340t/a</w:t>
            </w:r>
            <w:r>
              <w:rPr>
                <w:rFonts w:hint="eastAsia" w:ascii="Times New Roman" w:hAnsi="Times New Roman" w:eastAsia="宋体" w:cs="Times New Roman"/>
                <w:color w:val="auto"/>
                <w:sz w:val="24"/>
              </w:rPr>
              <w:t>，暂存周期约</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rPr>
              <w:t>个月，</w:t>
            </w:r>
            <w:r>
              <w:rPr>
                <w:rFonts w:hint="eastAsia" w:ascii="Times New Roman" w:hAnsi="Times New Roman" w:eastAsia="宋体" w:cs="Times New Roman"/>
                <w:color w:val="auto"/>
                <w:sz w:val="24"/>
                <w:lang w:val="en-US" w:eastAsia="zh-CN"/>
              </w:rPr>
              <w:t>一次最大暂存量约28.3t，</w:t>
            </w:r>
            <w:r>
              <w:rPr>
                <w:rFonts w:hint="eastAsia" w:ascii="Times New Roman" w:hAnsi="Times New Roman" w:eastAsia="宋体" w:cs="Times New Roman"/>
                <w:color w:val="auto"/>
                <w:sz w:val="24"/>
              </w:rPr>
              <w:t>因此项目动力蓄电池</w:t>
            </w:r>
            <w:r>
              <w:rPr>
                <w:rFonts w:hint="eastAsia" w:ascii="Times New Roman" w:hAnsi="Times New Roman" w:eastAsia="宋体" w:cs="Times New Roman"/>
                <w:color w:val="auto"/>
                <w:sz w:val="24"/>
                <w:lang w:eastAsia="zh-CN"/>
              </w:rPr>
              <w:t>暂存间</w:t>
            </w:r>
            <w:r>
              <w:rPr>
                <w:rFonts w:hint="eastAsia" w:ascii="Times New Roman" w:hAnsi="Times New Roman" w:eastAsia="宋体" w:cs="Times New Roman"/>
                <w:color w:val="auto"/>
                <w:sz w:val="24"/>
              </w:rPr>
              <w:t>可满足项目动力蓄电池的储存。</w:t>
            </w:r>
          </w:p>
          <w:p w14:paraId="55DCBA9E">
            <w:pPr>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项目动力蓄电池</w:t>
            </w:r>
            <w:r>
              <w:rPr>
                <w:rFonts w:hint="eastAsia" w:ascii="Times New Roman" w:hAnsi="Times New Roman" w:eastAsia="宋体" w:cs="Times New Roman"/>
                <w:color w:val="auto"/>
                <w:sz w:val="24"/>
                <w:lang w:eastAsia="zh-CN"/>
              </w:rPr>
              <w:t>暂存间</w:t>
            </w:r>
            <w:r>
              <w:rPr>
                <w:rFonts w:hint="eastAsia" w:ascii="Times New Roman" w:hAnsi="Times New Roman" w:eastAsia="宋体" w:cs="Times New Roman"/>
                <w:color w:val="auto"/>
                <w:sz w:val="24"/>
              </w:rPr>
              <w:t>按照《一般工业固体废物贮存和填埋污染控制标准》（GB18599-2020）、《</w:t>
            </w:r>
            <w:r>
              <w:rPr>
                <w:rFonts w:hint="eastAsia" w:ascii="Times New Roman" w:hAnsi="Times New Roman" w:eastAsia="宋体" w:cs="Times New Roman"/>
                <w:color w:val="auto"/>
                <w:sz w:val="24"/>
                <w:lang w:eastAsia="zh-CN"/>
              </w:rPr>
              <w:t>废锂离子动力蓄电池处理污染控制技术规范（试行）</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HJ1186-2021</w:t>
            </w:r>
            <w:r>
              <w:rPr>
                <w:rFonts w:hint="eastAsia" w:ascii="Times New Roman" w:hAnsi="Times New Roman" w:eastAsia="宋体" w:cs="Times New Roman"/>
                <w:color w:val="auto"/>
                <w:sz w:val="24"/>
              </w:rPr>
              <w:t>）、《废蓄电池回收管理规范》 （WB/T1061-2016）、《报废机动车回收拆解企业技术规范》（GB 22128-2019）</w:t>
            </w:r>
            <w:r>
              <w:rPr>
                <w:rFonts w:hint="eastAsia" w:ascii="Times New Roman" w:hAnsi="Times New Roman" w:eastAsia="宋体" w:cs="Times New Roman"/>
                <w:color w:val="auto"/>
                <w:sz w:val="24"/>
                <w:lang w:eastAsia="zh-CN"/>
              </w:rPr>
              <w:t>等文件</w:t>
            </w:r>
            <w:r>
              <w:rPr>
                <w:rFonts w:hint="eastAsia" w:ascii="Times New Roman" w:hAnsi="Times New Roman" w:eastAsia="宋体" w:cs="Times New Roman"/>
                <w:color w:val="auto"/>
                <w:sz w:val="24"/>
              </w:rPr>
              <w:t>要求设置并管理，</w:t>
            </w:r>
            <w:r>
              <w:rPr>
                <w:rFonts w:hint="eastAsia" w:ascii="Times New Roman" w:hAnsi="Times New Roman" w:eastAsia="宋体" w:cs="Times New Roman"/>
                <w:color w:val="auto"/>
                <w:sz w:val="24"/>
                <w:lang w:eastAsia="zh-CN"/>
              </w:rPr>
              <w:t>动力蓄电池暂存间防风防雨，不露天存放，地面硬化并构筑防渗层，</w:t>
            </w:r>
            <w:r>
              <w:rPr>
                <w:rFonts w:hint="eastAsia" w:ascii="Times New Roman" w:hAnsi="Times New Roman" w:eastAsia="宋体" w:cs="Times New Roman"/>
                <w:color w:val="auto"/>
                <w:sz w:val="24"/>
                <w:lang w:val="en-US" w:eastAsia="zh-CN"/>
              </w:rPr>
              <w:t>绝缘处理，</w:t>
            </w:r>
            <w:r>
              <w:rPr>
                <w:rFonts w:hint="eastAsia" w:ascii="Times New Roman" w:hAnsi="Times New Roman" w:eastAsia="宋体" w:cs="Times New Roman"/>
                <w:color w:val="auto"/>
                <w:sz w:val="24"/>
                <w:lang w:eastAsia="zh-CN"/>
              </w:rPr>
              <w:t>粘土衬层厚度应不小于0.75 m，且经压实、人工改性等措施处理后的饱和渗透系数不应大于1.0×10</w:t>
            </w:r>
            <w:r>
              <w:rPr>
                <w:rFonts w:hint="eastAsia" w:ascii="Times New Roman" w:hAnsi="Times New Roman" w:eastAsia="宋体" w:cs="Times New Roman"/>
                <w:color w:val="auto"/>
                <w:sz w:val="24"/>
                <w:vertAlign w:val="superscript"/>
                <w:lang w:eastAsia="zh-CN"/>
              </w:rPr>
              <w:t>-7</w:t>
            </w:r>
            <w:r>
              <w:rPr>
                <w:rFonts w:hint="eastAsia" w:ascii="Times New Roman" w:hAnsi="Times New Roman" w:eastAsia="宋体" w:cs="Times New Roman"/>
                <w:color w:val="auto"/>
                <w:sz w:val="24"/>
                <w:lang w:eastAsia="zh-CN"/>
              </w:rPr>
              <w:t xml:space="preserve"> cm/s，使用其他粘土类防渗衬层材料时，应具有同等以上隔水效力。贮存时</w:t>
            </w:r>
            <w:r>
              <w:rPr>
                <w:rFonts w:hint="eastAsia" w:ascii="Times New Roman" w:hAnsi="Times New Roman" w:eastAsia="宋体" w:cs="Times New Roman"/>
                <w:color w:val="auto"/>
                <w:sz w:val="24"/>
              </w:rPr>
              <w:t>动力蓄电池日常暂存时采用塑胶槽装存</w:t>
            </w:r>
            <w:r>
              <w:rPr>
                <w:rFonts w:hint="eastAsia" w:ascii="Times New Roman" w:hAnsi="Times New Roman" w:eastAsia="宋体" w:cs="Times New Roman"/>
                <w:color w:val="auto"/>
                <w:sz w:val="24"/>
                <w:lang w:eastAsia="zh-CN"/>
              </w:rPr>
              <w:t>，保证废蓄电池正、负极相互隔离，以防短路引起火灾，</w:t>
            </w:r>
            <w:r>
              <w:rPr>
                <w:rFonts w:hint="eastAsia" w:ascii="Times New Roman" w:hAnsi="Times New Roman" w:eastAsia="宋体" w:cs="Times New Roman"/>
                <w:color w:val="auto"/>
                <w:sz w:val="24"/>
              </w:rPr>
              <w:t>间内</w:t>
            </w:r>
            <w:r>
              <w:rPr>
                <w:rFonts w:hint="eastAsia" w:ascii="Times New Roman" w:hAnsi="Times New Roman" w:eastAsia="宋体" w:cs="Times New Roman"/>
                <w:color w:val="auto"/>
                <w:sz w:val="24"/>
                <w:lang w:eastAsia="zh-CN"/>
              </w:rPr>
              <w:t>设置防腐防渗紧急收集池，用以收集废蓄电池破损时渗漏出来的有害液体</w:t>
            </w:r>
            <w:r>
              <w:rPr>
                <w:rFonts w:hint="eastAsia" w:ascii="Times New Roman" w:hAnsi="Times New Roman" w:eastAsia="宋体" w:cs="Times New Roman"/>
                <w:color w:val="auto"/>
                <w:sz w:val="24"/>
              </w:rPr>
              <w:t>，日常做好台账管理。</w:t>
            </w:r>
            <w:r>
              <w:rPr>
                <w:rFonts w:hint="eastAsia" w:ascii="Times New Roman" w:hAnsi="Times New Roman" w:eastAsia="宋体" w:cs="Times New Roman"/>
                <w:color w:val="auto"/>
                <w:sz w:val="24"/>
                <w:lang w:eastAsia="zh-CN"/>
              </w:rPr>
              <w:t>按《环境保护图形标识－固体废物贮存（处置）场》（GB15562.2）及其修改单设置环境保护图形标志。</w:t>
            </w:r>
          </w:p>
          <w:p w14:paraId="5C228C78">
            <w:pPr>
              <w:spacing w:line="360" w:lineRule="auto"/>
              <w:ind w:firstLine="482" w:firstLineChars="200"/>
              <w:rPr>
                <w:rFonts w:hint="eastAsia" w:ascii="Times New Roman" w:hAnsi="Times New Roman" w:eastAsia="宋体"/>
                <w:b/>
                <w:bCs/>
                <w:color w:val="auto"/>
                <w:sz w:val="24"/>
                <w:lang w:eastAsia="zh-CN"/>
              </w:rPr>
            </w:pPr>
            <w:r>
              <w:rPr>
                <w:rFonts w:hint="eastAsia" w:ascii="Times New Roman" w:hAnsi="Times New Roman"/>
                <w:b/>
                <w:bCs/>
                <w:color w:val="auto"/>
                <w:sz w:val="24"/>
                <w:lang w:eastAsia="zh-CN"/>
              </w:rPr>
              <w:t>（</w:t>
            </w:r>
            <w:r>
              <w:rPr>
                <w:rFonts w:hint="eastAsia" w:ascii="Times New Roman" w:hAnsi="Times New Roman"/>
                <w:b/>
                <w:bCs/>
                <w:color w:val="auto"/>
                <w:sz w:val="24"/>
                <w:lang w:val="en-US" w:eastAsia="zh-CN"/>
              </w:rPr>
              <w:t>2</w:t>
            </w:r>
            <w:r>
              <w:rPr>
                <w:rFonts w:hint="eastAsia" w:ascii="Times New Roman" w:hAnsi="Times New Roman"/>
                <w:b/>
                <w:bCs/>
                <w:color w:val="auto"/>
                <w:sz w:val="24"/>
                <w:lang w:eastAsia="zh-CN"/>
              </w:rPr>
              <w:t>）其他一般工业固废</w:t>
            </w:r>
          </w:p>
          <w:p w14:paraId="66CE4549">
            <w:pPr>
              <w:spacing w:line="360" w:lineRule="auto"/>
              <w:ind w:firstLine="480" w:firstLineChars="200"/>
              <w:jc w:val="both"/>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①储存管理要求</w:t>
            </w:r>
          </w:p>
          <w:p w14:paraId="76E38255">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本评价要求项目产生的</w:t>
            </w:r>
            <w:r>
              <w:rPr>
                <w:rFonts w:hint="eastAsia" w:ascii="Times New Roman" w:hAnsi="Times New Roman" w:eastAsia="宋体" w:cs="Times New Roman"/>
                <w:color w:val="auto"/>
                <w:sz w:val="24"/>
                <w:lang w:eastAsia="zh-CN"/>
              </w:rPr>
              <w:t>除动力蓄电池暂存间外的</w:t>
            </w:r>
            <w:r>
              <w:rPr>
                <w:rFonts w:hint="default" w:ascii="Times New Roman" w:hAnsi="Times New Roman" w:eastAsia="宋体" w:cs="Times New Roman"/>
                <w:color w:val="auto"/>
                <w:sz w:val="24"/>
              </w:rPr>
              <w:t>一般工业固废应按</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一般工业固体废物贮存和填埋污染控制标准</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GB18599-2020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要求进行规范化的处理处置。</w:t>
            </w:r>
          </w:p>
          <w:p w14:paraId="38B44E18">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对一般工业固废暂存场所按照《一般工业固体废物贮存和填埋污染控制标准》（GB18599-2020）相关规定建设：</w:t>
            </w:r>
          </w:p>
          <w:p w14:paraId="27BFE87F">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A.地面应采取硬化措施并满足承载力要求，必要时采取相应措施防止地基下沉。I类场技术要求：当天然基础层饱和渗透系数不大于1.0×10</w:t>
            </w:r>
            <w:r>
              <w:rPr>
                <w:rFonts w:hint="eastAsia" w:ascii="Times New Roman" w:hAnsi="Times New Roman" w:eastAsia="宋体" w:cs="Times New Roman"/>
                <w:color w:val="auto"/>
                <w:sz w:val="24"/>
                <w:vertAlign w:val="superscript"/>
                <w:lang w:val="en-US" w:eastAsia="zh-CN"/>
              </w:rPr>
              <w:t>-5</w:t>
            </w:r>
            <w:r>
              <w:rPr>
                <w:rFonts w:hint="eastAsia" w:ascii="Times New Roman" w:hAnsi="Times New Roman" w:eastAsia="宋体" w:cs="Times New Roman"/>
                <w:color w:val="auto"/>
                <w:sz w:val="24"/>
                <w:lang w:val="en-US" w:eastAsia="zh-CN"/>
              </w:rPr>
              <w:t xml:space="preserve"> cm/s，且厚度不小于0.75m时，可以采用天然基础层作为防渗衬层。当天然基础层不能满足上条防渗要求时，可采用改性压实粘土类衬层或具有同等以上隔水效力的其他材料防渗衬层，其防渗性能应至少相当于渗透系数为1.0×10</w:t>
            </w:r>
            <w:r>
              <w:rPr>
                <w:rFonts w:hint="eastAsia" w:ascii="Times New Roman" w:hAnsi="Times New Roman" w:eastAsia="宋体" w:cs="Times New Roman"/>
                <w:color w:val="auto"/>
                <w:sz w:val="24"/>
                <w:vertAlign w:val="superscript"/>
                <w:lang w:val="en-US" w:eastAsia="zh-CN"/>
              </w:rPr>
              <w:t>-5</w:t>
            </w:r>
            <w:r>
              <w:rPr>
                <w:rFonts w:hint="eastAsia" w:ascii="Times New Roman" w:hAnsi="Times New Roman" w:eastAsia="宋体" w:cs="Times New Roman"/>
                <w:color w:val="auto"/>
                <w:sz w:val="24"/>
                <w:lang w:val="en-US" w:eastAsia="zh-CN"/>
              </w:rPr>
              <w:t xml:space="preserve"> cm/s 且厚度为0.75 m的天然基础层。</w:t>
            </w:r>
          </w:p>
          <w:p w14:paraId="4847CC62">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B.要求设置必要的防风、防雨、防晒措施，并采取相应的防尘措施。</w:t>
            </w:r>
          </w:p>
          <w:p w14:paraId="0EDD1152">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C.按《环境保护图形标识－固体废物贮存（处置）场》（GB15562.2）及其修改单设置环境保护图形标志。</w:t>
            </w:r>
          </w:p>
          <w:p w14:paraId="5A90375F">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D.一般固体废物区内一般工业固废应按类别分区存放，不得随意堆放，严禁一般工业固废混合堆放。禁止生活垃圾、危险废物混入一般工业固废仓库堆放。</w:t>
            </w:r>
          </w:p>
          <w:p w14:paraId="690DDB11">
            <w:pPr>
              <w:spacing w:line="360" w:lineRule="auto"/>
              <w:ind w:firstLine="480" w:firstLineChars="200"/>
              <w:jc w:val="both"/>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同时，</w:t>
            </w: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应当采取防扬散、防流失、防渗漏或者其他防止污染环境的措施，不得擅自倾倒、堆放、丢弃、遗撒固体废物。应当建立健全工业固体废物产生、收集、贮存、运输、利用、处置全过程的污染环境防治责任制度，建立工业固体废物管理台账，如实记录产生工业</w:t>
            </w:r>
            <w:r>
              <w:rPr>
                <w:rFonts w:hint="eastAsia" w:ascii="Times New Roman" w:hAnsi="Times New Roman" w:eastAsia="宋体" w:cs="Times New Roman"/>
                <w:color w:val="auto"/>
                <w:sz w:val="24"/>
                <w:lang w:eastAsia="zh-CN"/>
              </w:rPr>
              <w:t>固</w:t>
            </w:r>
            <w:r>
              <w:rPr>
                <w:rFonts w:hint="default" w:ascii="Times New Roman" w:hAnsi="Times New Roman" w:eastAsia="宋体" w:cs="Times New Roman"/>
                <w:color w:val="auto"/>
                <w:sz w:val="24"/>
              </w:rPr>
              <w:t>体废物的种类、数量、流向、贮存、利用、处置等信息，实现工业固体废物可追溯、可查询，并采取防治工业固体废物污染环境的措施</w:t>
            </w:r>
            <w:r>
              <w:rPr>
                <w:rFonts w:hint="default" w:ascii="Times New Roman" w:hAnsi="Times New Roman" w:eastAsia="宋体" w:cs="Times New Roman"/>
                <w:color w:val="auto"/>
                <w:sz w:val="24"/>
                <w:lang w:eastAsia="zh-CN"/>
              </w:rPr>
              <w:t>。</w:t>
            </w:r>
          </w:p>
          <w:p w14:paraId="46CF0D03">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中华人民共和国固体废物污染环境防治法》要求，产生工业固体废物的单位在委托他人运输、‌利用、‌处置工业固体废物时，‌应当对受托方的主体资格和技术能力进行核实，‌并依法签订书面合同，‌在合同中约定污染防治要求。因此建设单位对一般工业固废委托综合利用前，将对物资回收单位审查，‌‌审查内包括但不限于包括对企业的营业执照、环保资质、安全生产许可证等证照进行检查，核实企业是否具备从事工业固废处理活动的合法资质。同时，还需审查企业的组织机构、管理体系、人员配备等方面，确保企业具备完善的管理制度和专业的技术团队，确保回收单位的合规性。</w:t>
            </w:r>
          </w:p>
          <w:p w14:paraId="5FC52566">
            <w:pPr>
              <w:spacing w:line="360" w:lineRule="auto"/>
              <w:ind w:firstLine="480" w:firstLineChars="200"/>
              <w:jc w:val="both"/>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②一般工业固废储存情况</w:t>
            </w:r>
          </w:p>
          <w:p w14:paraId="4C44AFEB">
            <w:pPr>
              <w:spacing w:line="360" w:lineRule="auto"/>
              <w:ind w:firstLine="480" w:firstLineChars="200"/>
              <w:jc w:val="both"/>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本项目在厂区西侧设置一间一般工业固废暂存间，建筑面积约</w:t>
            </w:r>
            <w:r>
              <w:rPr>
                <w:rFonts w:hint="eastAsia" w:ascii="Times New Roman" w:hAnsi="Times New Roman" w:eastAsia="宋体" w:cs="Times New Roman"/>
                <w:color w:val="auto"/>
                <w:sz w:val="24"/>
                <w:lang w:val="en-US" w:eastAsia="zh-CN"/>
              </w:rPr>
              <w:t>200m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，暂存能力约170t。根据前文分析，项目需在一般工业固废暂存间暂存的一般工业固废产生量约为876.3302t/a</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转运周期不超过</w:t>
            </w:r>
            <w:r>
              <w:rPr>
                <w:rFonts w:hint="eastAsia" w:ascii="Times New Roman" w:hAnsi="Times New Roman" w:eastAsia="宋体" w:cs="Times New Roman"/>
                <w:color w:val="auto"/>
                <w:sz w:val="24"/>
                <w:lang w:val="en-US" w:eastAsia="zh-CN"/>
              </w:rPr>
              <w:t>二</w:t>
            </w:r>
            <w:r>
              <w:rPr>
                <w:rFonts w:hint="eastAsia" w:ascii="Times New Roman" w:hAnsi="Times New Roman" w:eastAsia="宋体" w:cs="Times New Roman"/>
                <w:color w:val="auto"/>
                <w:sz w:val="24"/>
                <w:lang w:eastAsia="zh-CN"/>
              </w:rPr>
              <w:t>个月，</w:t>
            </w:r>
            <w:r>
              <w:rPr>
                <w:rFonts w:hint="default" w:ascii="Times New Roman" w:hAnsi="Times New Roman" w:eastAsia="宋体" w:cs="Times New Roman"/>
                <w:color w:val="auto"/>
                <w:sz w:val="24"/>
                <w:lang w:eastAsia="zh-CN"/>
              </w:rPr>
              <w:t>因此一般工业固废暂存间内一次最大暂存量</w:t>
            </w:r>
            <w:r>
              <w:rPr>
                <w:rFonts w:hint="eastAsia" w:ascii="Times New Roman" w:hAnsi="Times New Roman" w:eastAsia="宋体" w:cs="Times New Roman"/>
                <w:color w:val="auto"/>
                <w:sz w:val="24"/>
                <w:lang w:eastAsia="zh-CN"/>
              </w:rPr>
              <w:t>约</w:t>
            </w:r>
            <w:r>
              <w:rPr>
                <w:rFonts w:hint="eastAsia" w:ascii="Times New Roman" w:hAnsi="Times New Roman" w:eastAsia="宋体" w:cs="Times New Roman"/>
                <w:color w:val="auto"/>
                <w:sz w:val="24"/>
                <w:lang w:val="en-US" w:eastAsia="zh-CN"/>
              </w:rPr>
              <w:t>146.06t</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项目拟建一般固废暂存间</w:t>
            </w:r>
            <w:r>
              <w:rPr>
                <w:rFonts w:hint="eastAsia" w:ascii="Times New Roman" w:hAnsi="Times New Roman" w:eastAsia="宋体" w:cs="Times New Roman"/>
                <w:color w:val="auto"/>
                <w:sz w:val="24"/>
                <w:lang w:val="en-US" w:eastAsia="zh-CN"/>
              </w:rPr>
              <w:t>满足本项目建成后一般工业固废的暂存需求</w:t>
            </w:r>
            <w:r>
              <w:rPr>
                <w:rFonts w:hint="default" w:ascii="Times New Roman" w:hAnsi="Times New Roman" w:eastAsia="宋体" w:cs="Times New Roman"/>
                <w:color w:val="auto"/>
                <w:sz w:val="24"/>
                <w:lang w:eastAsia="zh-CN"/>
              </w:rPr>
              <w:t>。</w:t>
            </w:r>
          </w:p>
          <w:p w14:paraId="418A2BDC">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4.5.2.2</w:t>
            </w:r>
            <w:r>
              <w:rPr>
                <w:rFonts w:hint="default" w:ascii="Times New Roman" w:hAnsi="Times New Roman" w:cs="Times New Roman"/>
                <w:b/>
                <w:bCs/>
                <w:color w:val="auto"/>
                <w:sz w:val="24"/>
                <w:szCs w:val="24"/>
                <w:highlight w:val="none"/>
                <w:lang w:val="en-US" w:eastAsia="zh-CN"/>
              </w:rPr>
              <w:t>危险废物</w:t>
            </w:r>
          </w:p>
          <w:p w14:paraId="61EE714F">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1</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危险废物贮存场所环境影响分析</w:t>
            </w:r>
          </w:p>
          <w:p w14:paraId="60759F53">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项目危险废物暂存区应按照《危险废物贮存污染控制标准》</w:t>
            </w:r>
            <w:r>
              <w:rPr>
                <w:rFonts w:hint="eastAsia" w:ascii="Times New Roman" w:hAnsi="Times New Roman" w:eastAsia="宋体" w:cs="Times New Roman"/>
                <w:color w:val="auto"/>
                <w:sz w:val="24"/>
                <w:szCs w:val="24"/>
                <w:highlight w:val="none"/>
                <w:lang w:val="en-US" w:eastAsia="zh-CN"/>
              </w:rPr>
              <w:t>（GB 18597-2023）</w:t>
            </w:r>
            <w:r>
              <w:rPr>
                <w:rFonts w:hint="default" w:ascii="Times New Roman" w:hAnsi="Times New Roman" w:eastAsia="宋体" w:cs="Times New Roman"/>
                <w:color w:val="auto"/>
                <w:sz w:val="24"/>
                <w:szCs w:val="24"/>
                <w:highlight w:val="none"/>
                <w:lang w:val="en-US" w:eastAsia="zh-CN"/>
              </w:rPr>
              <w:t>要求进行建设，危废暂存间内废铅酸蓄电池</w:t>
            </w:r>
            <w:r>
              <w:rPr>
                <w:rFonts w:hint="eastAsia" w:ascii="Times New Roman" w:hAnsi="Times New Roman" w:eastAsia="宋体" w:cs="Times New Roman"/>
                <w:color w:val="auto"/>
                <w:sz w:val="24"/>
                <w:szCs w:val="24"/>
                <w:highlight w:val="none"/>
                <w:lang w:val="en-US" w:eastAsia="zh-CN"/>
              </w:rPr>
              <w:t>分区</w:t>
            </w:r>
            <w:r>
              <w:rPr>
                <w:rFonts w:hint="default" w:ascii="Times New Roman" w:hAnsi="Times New Roman" w:eastAsia="宋体" w:cs="Times New Roman"/>
                <w:color w:val="auto"/>
                <w:sz w:val="24"/>
                <w:szCs w:val="24"/>
                <w:highlight w:val="none"/>
                <w:lang w:val="en-US" w:eastAsia="zh-CN"/>
              </w:rPr>
              <w:t>还应满足《电池废料贮运规范》（GB/T 26493-2011）有关规定</w:t>
            </w:r>
            <w:r>
              <w:rPr>
                <w:rFonts w:hint="eastAsia" w:ascii="Times New Roman" w:hAnsi="Times New Roman" w:eastAsia="宋体" w:cs="Times New Roman"/>
                <w:color w:val="auto"/>
                <w:sz w:val="24"/>
                <w:szCs w:val="24"/>
                <w:highlight w:val="none"/>
                <w:lang w:val="en-US" w:eastAsia="zh-CN"/>
              </w:rPr>
              <w:t>：</w:t>
            </w:r>
          </w:p>
          <w:p w14:paraId="0AD7C4DB">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①具备防风、防雨、防晒、防渗漏</w:t>
            </w:r>
            <w:r>
              <w:rPr>
                <w:rFonts w:hint="eastAsia" w:ascii="Times New Roman" w:hAnsi="Times New Roman" w:eastAsia="宋体" w:cs="Times New Roman"/>
                <w:color w:val="auto"/>
                <w:sz w:val="24"/>
                <w:szCs w:val="24"/>
                <w:highlight w:val="none"/>
                <w:lang w:val="en-US" w:eastAsia="zh-CN"/>
              </w:rPr>
              <w:t>，配套建设导流沟槽防渗漏</w:t>
            </w:r>
            <w:r>
              <w:rPr>
                <w:rFonts w:hint="default" w:ascii="Times New Roman" w:hAnsi="Times New Roman" w:eastAsia="宋体" w:cs="Times New Roman"/>
                <w:color w:val="auto"/>
                <w:sz w:val="24"/>
                <w:szCs w:val="24"/>
                <w:highlight w:val="none"/>
                <w:lang w:val="en-US" w:eastAsia="zh-CN"/>
              </w:rPr>
              <w:t>。危险废物贮存场所基础必须防渗，贮存设施地面与裙脚</w:t>
            </w:r>
            <w:r>
              <w:rPr>
                <w:rFonts w:hint="eastAsia" w:ascii="Times New Roman" w:hAnsi="Times New Roman" w:eastAsia="宋体" w:cs="Times New Roman"/>
                <w:color w:val="auto"/>
                <w:sz w:val="24"/>
                <w:szCs w:val="24"/>
                <w:highlight w:val="none"/>
                <w:lang w:val="en-US" w:eastAsia="zh-CN"/>
              </w:rPr>
              <w:t>、导流沟</w:t>
            </w:r>
            <w:r>
              <w:rPr>
                <w:rFonts w:hint="default" w:ascii="Times New Roman" w:hAnsi="Times New Roman" w:eastAsia="宋体" w:cs="Times New Roman"/>
                <w:color w:val="auto"/>
                <w:sz w:val="24"/>
                <w:szCs w:val="24"/>
                <w:highlight w:val="none"/>
                <w:lang w:val="en-US" w:eastAsia="zh-CN"/>
              </w:rPr>
              <w:t>应采取表面防渗措施，表面防渗材料应与所接触的物料或污染物相容，可采用抗渗混凝土、高密度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、钠基膨润土防水毯或其他防渗性能等效的材料。贮存的危险废物直接接触地面的，还应进行基础防渗，防渗层为至少1m厚黏土层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cm/s)，或至少2mm厚高密度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等人工防渗材料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cm/s)，或其他防渗性能等效的材料。</w:t>
            </w:r>
          </w:p>
          <w:p w14:paraId="3BAF521B">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②项目危险废物暂存标志按照《危险废物识别标志设置技术规范》（HJ 1276-2022）要求进行。</w:t>
            </w:r>
          </w:p>
          <w:p w14:paraId="56662842">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③贮存设施或贮存分区内地面、墙面裙脚、堵截泄漏的围堰、接触危险废物的隔板和墙体等应采用坚固的材料建造，表面无裂缝。</w:t>
            </w:r>
          </w:p>
          <w:p w14:paraId="6F5C2CB9">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④贮存库内不同贮存分区之间应采取隔离措施。隔离措施可根据危险废物特性采用过道、隔板或隔墙等方式。</w:t>
            </w:r>
          </w:p>
          <w:p w14:paraId="6FFB8244">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⑤使用容器盛装液态、半固态危险废物时，容器内部应留有适当的空间，以适应因温度变化等可能引发的收缩和膨胀，防止其导致容器渗漏或永久变形</w:t>
            </w:r>
            <w:r>
              <w:rPr>
                <w:rFonts w:hint="eastAsia" w:ascii="Times New Roman" w:hAnsi="Times New Roman" w:eastAsia="宋体" w:cs="Times New Roman"/>
                <w:color w:val="auto"/>
                <w:sz w:val="24"/>
                <w:highlight w:val="none"/>
                <w:lang w:eastAsia="zh-CN"/>
              </w:rPr>
              <w:t>。</w:t>
            </w:r>
          </w:p>
          <w:p w14:paraId="582C9AFB">
            <w:pPr>
              <w:spacing w:line="360" w:lineRule="auto"/>
              <w:ind w:firstLine="480" w:firstLineChars="200"/>
              <w:rPr>
                <w:rFonts w:hint="default"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⑥废铅酸蓄电池分区还应按照《电池废料贮运规范》（GB/T 26493-2011）的规定，地面设置耐酸隔离层，间内设置防火装置、通讯设备、照明设施、安全防护装置等，设置废液收集系统。</w:t>
            </w:r>
          </w:p>
          <w:p w14:paraId="368A8AF4">
            <w:pPr>
              <w:spacing w:line="360" w:lineRule="auto"/>
              <w:ind w:firstLine="480" w:firstLineChars="200"/>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⑦回收废空调制冷剂的钢瓶应符合GB150-2011的相关规定，且单独存放；</w:t>
            </w:r>
          </w:p>
          <w:p w14:paraId="2E16B3E3">
            <w:pPr>
              <w:spacing w:line="360" w:lineRule="auto"/>
              <w:ind w:firstLine="480" w:firstLineChars="200"/>
              <w:jc w:val="both"/>
              <w:rPr>
                <w:rFonts w:hint="default"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⑧贮存易产生粉尘、CVOCs、酸雾、有毒有害大气污染物和刺激性气味气体的危险废物贮存库，应设置气体收集装置和气体净化设施，气体净化设施排气筒高度应符合GB16297要求。</w:t>
            </w:r>
          </w:p>
          <w:p w14:paraId="7C1BE4C3">
            <w:pPr>
              <w:spacing w:line="360" w:lineRule="auto"/>
              <w:ind w:firstLine="480" w:firstLineChars="200"/>
              <w:jc w:val="both"/>
              <w:rPr>
                <w:rFonts w:hint="default" w:ascii="Times New Roman" w:hAnsi="Times New Roman" w:cs="Times New Roman"/>
                <w:color w:val="auto"/>
                <w:sz w:val="24"/>
                <w:lang w:val="en-US" w:eastAsia="zh-CN"/>
              </w:rPr>
            </w:pPr>
            <w:r>
              <w:rPr>
                <w:rFonts w:hint="eastAsia" w:ascii="Times New Roman" w:hAnsi="Times New Roman" w:cs="Times New Roman"/>
                <w:color w:val="auto"/>
                <w:kern w:val="0"/>
                <w:sz w:val="24"/>
                <w:lang w:val="en-US" w:eastAsia="zh-CN"/>
              </w:rPr>
              <w:t>项目拟在厂区西侧建设1间危废暂存间，建设面积约200m</w:t>
            </w:r>
            <w:r>
              <w:rPr>
                <w:rFonts w:hint="eastAsia" w:ascii="Times New Roman" w:hAnsi="Times New Roman" w:cs="Times New Roman"/>
                <w:color w:val="auto"/>
                <w:kern w:val="0"/>
                <w:sz w:val="24"/>
                <w:vertAlign w:val="superscript"/>
                <w:lang w:val="en-US" w:eastAsia="zh-CN"/>
              </w:rPr>
              <w:t>2</w:t>
            </w:r>
            <w:r>
              <w:rPr>
                <w:rFonts w:hint="eastAsia" w:ascii="Times New Roman" w:hAnsi="Times New Roman" w:cs="Times New Roman"/>
                <w:color w:val="auto"/>
                <w:kern w:val="0"/>
                <w:sz w:val="24"/>
                <w:vertAlign w:val="baseline"/>
                <w:lang w:val="en-US" w:eastAsia="zh-CN"/>
              </w:rPr>
              <w:t>（含过道等，储存区约170m</w:t>
            </w:r>
            <w:r>
              <w:rPr>
                <w:rFonts w:hint="eastAsia" w:ascii="Times New Roman" w:hAnsi="Times New Roman" w:cs="Times New Roman"/>
                <w:color w:val="auto"/>
                <w:kern w:val="0"/>
                <w:sz w:val="24"/>
                <w:vertAlign w:val="superscript"/>
                <w:lang w:val="en-US" w:eastAsia="zh-CN"/>
              </w:rPr>
              <w:t>2</w:t>
            </w:r>
            <w:r>
              <w:rPr>
                <w:rFonts w:hint="eastAsia" w:ascii="Times New Roman" w:hAnsi="Times New Roman" w:cs="Times New Roman"/>
                <w:color w:val="auto"/>
                <w:kern w:val="0"/>
                <w:sz w:val="24"/>
                <w:vertAlign w:val="baseline"/>
                <w:lang w:val="en-US" w:eastAsia="zh-CN"/>
              </w:rPr>
              <w:t>）</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kern w:val="0"/>
                <w:sz w:val="24"/>
                <w:lang w:val="en-US" w:eastAsia="zh-CN"/>
              </w:rPr>
              <w:t>建成后</w:t>
            </w:r>
            <w:r>
              <w:rPr>
                <w:rFonts w:hint="default" w:ascii="Times New Roman" w:hAnsi="Times New Roman" w:cs="Times New Roman"/>
                <w:color w:val="auto"/>
                <w:sz w:val="24"/>
                <w:lang w:eastAsia="zh-CN"/>
              </w:rPr>
              <w:t>危险废物贮存间具体详见表</w:t>
            </w:r>
            <w:r>
              <w:rPr>
                <w:rFonts w:hint="eastAsia" w:ascii="Times New Roman" w:hAnsi="Times New Roman" w:cs="Times New Roman"/>
                <w:color w:val="auto"/>
                <w:sz w:val="24"/>
                <w:lang w:val="en-US" w:eastAsia="zh-CN"/>
              </w:rPr>
              <w:t>4.5</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2，根据该表可知，项目拟建危废暂存间可满足本项目危险废物的暂存需求。同时本评价要求建设单位按危废种类分区存放，委托资质单位及时清运。危废暂存间废气经集气管道收集后引入一套双级活性炭吸附装置处理后，尾气由1根15m排气筒DA003排放。</w:t>
            </w:r>
          </w:p>
          <w:p w14:paraId="04C336B9">
            <w:pPr>
              <w:spacing w:line="360" w:lineRule="auto"/>
              <w:ind w:firstLine="480" w:firstLineChars="200"/>
              <w:jc w:val="both"/>
              <w:rPr>
                <w:rFonts w:hint="default" w:ascii="Times New Roman" w:hAnsi="Times New Roman" w:cs="Times New Roman"/>
                <w:color w:val="auto"/>
                <w:sz w:val="24"/>
                <w:lang w:val="en-US" w:eastAsia="zh-CN"/>
              </w:rPr>
            </w:pPr>
          </w:p>
          <w:p w14:paraId="4D1E3FEF">
            <w:pPr>
              <w:pStyle w:val="17"/>
              <w:jc w:val="both"/>
              <w:outlineLvl w:val="0"/>
              <w:rPr>
                <w:rFonts w:hint="default" w:ascii="Times New Roman" w:hAnsi="Times New Roman" w:eastAsia="黑体" w:cs="Times New Roman"/>
                <w:snapToGrid w:val="0"/>
                <w:color w:val="auto"/>
                <w:sz w:val="30"/>
                <w:szCs w:val="30"/>
                <w:vertAlign w:val="baseline"/>
              </w:rPr>
            </w:pPr>
          </w:p>
        </w:tc>
      </w:tr>
    </w:tbl>
    <w:p w14:paraId="6F94A930">
      <w:pPr>
        <w:pStyle w:val="17"/>
        <w:jc w:val="both"/>
        <w:outlineLvl w:val="0"/>
        <w:rPr>
          <w:rFonts w:hint="default" w:ascii="Times New Roman" w:hAnsi="Times New Roman" w:eastAsia="黑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978"/>
      </w:tblGrid>
      <w:tr w14:paraId="51C4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noWrap w:val="0"/>
            <w:vAlign w:val="top"/>
          </w:tcPr>
          <w:p w14:paraId="25BB5740">
            <w:pPr>
              <w:pStyle w:val="17"/>
              <w:jc w:val="both"/>
              <w:outlineLvl w:val="0"/>
              <w:rPr>
                <w:rFonts w:hint="default" w:ascii="Times New Roman" w:hAnsi="Times New Roman" w:eastAsia="黑体" w:cs="Times New Roman"/>
                <w:snapToGrid w:val="0"/>
                <w:color w:val="auto"/>
                <w:sz w:val="30"/>
                <w:szCs w:val="30"/>
                <w:vertAlign w:val="baseline"/>
              </w:rPr>
            </w:pPr>
          </w:p>
        </w:tc>
        <w:tc>
          <w:tcPr>
            <w:tcW w:w="12978" w:type="dxa"/>
            <w:noWrap w:val="0"/>
            <w:vAlign w:val="top"/>
          </w:tcPr>
          <w:p w14:paraId="5F4C74F6">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表</w:t>
            </w:r>
            <w:r>
              <w:rPr>
                <w:rFonts w:hint="eastAsia" w:ascii="Times New Roman" w:hAnsi="Times New Roman" w:eastAsia="黑体" w:cs="Times New Roman"/>
                <w:color w:val="auto"/>
                <w:sz w:val="24"/>
                <w:lang w:val="en-US" w:eastAsia="zh-CN"/>
              </w:rPr>
              <w:t>4</w:t>
            </w:r>
            <w:r>
              <w:rPr>
                <w:rFonts w:hint="default" w:ascii="Times New Roman" w:hAnsi="Times New Roman" w:eastAsia="黑体" w:cs="Times New Roman"/>
                <w:color w:val="auto"/>
                <w:sz w:val="24"/>
                <w:lang w:val="en-US" w:eastAsia="zh-CN"/>
              </w:rPr>
              <w:t>.</w:t>
            </w:r>
            <w:r>
              <w:rPr>
                <w:rFonts w:hint="eastAsia" w:ascii="Times New Roman" w:hAnsi="Times New Roman" w:eastAsia="黑体" w:cs="Times New Roman"/>
                <w:color w:val="auto"/>
                <w:sz w:val="24"/>
                <w:lang w:val="en-US" w:eastAsia="zh-CN"/>
              </w:rPr>
              <w:t>5</w:t>
            </w:r>
            <w:r>
              <w:rPr>
                <w:rFonts w:hint="default" w:ascii="Times New Roman" w:hAnsi="Times New Roman" w:eastAsia="黑体" w:cs="Times New Roman"/>
                <w:color w:val="auto"/>
                <w:sz w:val="24"/>
                <w:lang w:val="en-US" w:eastAsia="zh-CN"/>
              </w:rPr>
              <w:t>-</w:t>
            </w:r>
            <w:r>
              <w:rPr>
                <w:rFonts w:hint="eastAsia" w:ascii="Times New Roman" w:hAnsi="Times New Roman" w:eastAsia="黑体" w:cs="Times New Roman"/>
                <w:color w:val="auto"/>
                <w:sz w:val="24"/>
                <w:lang w:val="en-US" w:eastAsia="zh-CN"/>
              </w:rPr>
              <w:t>2</w:t>
            </w:r>
            <w:r>
              <w:rPr>
                <w:rFonts w:hint="default" w:ascii="Times New Roman" w:hAnsi="Times New Roman" w:eastAsia="黑体" w:cs="Times New Roman"/>
                <w:color w:val="auto"/>
                <w:sz w:val="24"/>
                <w:lang w:val="en-US" w:eastAsia="zh-CN"/>
              </w:rPr>
              <w:t xml:space="preserve"> </w:t>
            </w:r>
            <w:r>
              <w:rPr>
                <w:rFonts w:hint="eastAsia" w:ascii="Times New Roman" w:hAnsi="Times New Roman" w:eastAsia="黑体" w:cs="Times New Roman"/>
                <w:color w:val="auto"/>
                <w:sz w:val="24"/>
                <w:lang w:val="en-US" w:eastAsia="zh-CN"/>
              </w:rPr>
              <w:t>建设项目危险废物贮存场所（设施）基本情况表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170"/>
              <w:gridCol w:w="1216"/>
              <w:gridCol w:w="1053"/>
              <w:gridCol w:w="1413"/>
              <w:gridCol w:w="760"/>
              <w:gridCol w:w="630"/>
              <w:gridCol w:w="2491"/>
              <w:gridCol w:w="933"/>
              <w:gridCol w:w="867"/>
              <w:gridCol w:w="898"/>
            </w:tblGrid>
            <w:tr w14:paraId="06DEB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8" w:type="pct"/>
                  <w:gridSpan w:val="2"/>
                  <w:tcBorders>
                    <w:tl2br w:val="nil"/>
                    <w:tr2bl w:val="nil"/>
                  </w:tcBorders>
                  <w:noWrap w:val="0"/>
                  <w:vAlign w:val="center"/>
                </w:tcPr>
                <w:p w14:paraId="5553A4D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贮存场</w:t>
                  </w:r>
                </w:p>
                <w:p w14:paraId="7C73CB0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所名称</w:t>
                  </w:r>
                </w:p>
              </w:tc>
              <w:tc>
                <w:tcPr>
                  <w:tcW w:w="476" w:type="pct"/>
                  <w:tcBorders>
                    <w:tl2br w:val="nil"/>
                    <w:tr2bl w:val="nil"/>
                  </w:tcBorders>
                  <w:noWrap w:val="0"/>
                  <w:vAlign w:val="center"/>
                </w:tcPr>
                <w:p w14:paraId="34ABF27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危险废物名称</w:t>
                  </w:r>
                </w:p>
              </w:tc>
              <w:tc>
                <w:tcPr>
                  <w:tcW w:w="412" w:type="pct"/>
                  <w:tcBorders>
                    <w:tl2br w:val="nil"/>
                    <w:tr2bl w:val="nil"/>
                  </w:tcBorders>
                  <w:noWrap w:val="0"/>
                  <w:vAlign w:val="center"/>
                </w:tcPr>
                <w:p w14:paraId="16CE467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危险废物类别</w:t>
                  </w:r>
                </w:p>
              </w:tc>
              <w:tc>
                <w:tcPr>
                  <w:tcW w:w="553" w:type="pct"/>
                  <w:tcBorders>
                    <w:tl2br w:val="nil"/>
                    <w:tr2bl w:val="nil"/>
                  </w:tcBorders>
                  <w:noWrap w:val="0"/>
                  <w:vAlign w:val="center"/>
                </w:tcPr>
                <w:p w14:paraId="5E9A7C6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危险废物</w:t>
                  </w:r>
                </w:p>
                <w:p w14:paraId="05B68F2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代码</w:t>
                  </w:r>
                </w:p>
              </w:tc>
              <w:tc>
                <w:tcPr>
                  <w:tcW w:w="297" w:type="pct"/>
                  <w:tcBorders>
                    <w:tl2br w:val="nil"/>
                    <w:tr2bl w:val="nil"/>
                  </w:tcBorders>
                  <w:noWrap w:val="0"/>
                  <w:vAlign w:val="center"/>
                </w:tcPr>
                <w:p w14:paraId="60C5903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占地</w:t>
                  </w:r>
                </w:p>
                <w:p w14:paraId="08557AD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面积</w:t>
                  </w:r>
                </w:p>
              </w:tc>
              <w:tc>
                <w:tcPr>
                  <w:tcW w:w="246" w:type="pct"/>
                  <w:tcBorders>
                    <w:tl2br w:val="nil"/>
                    <w:tr2bl w:val="nil"/>
                  </w:tcBorders>
                  <w:noWrap w:val="0"/>
                  <w:vAlign w:val="center"/>
                </w:tcPr>
                <w:p w14:paraId="15C3984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贮存</w:t>
                  </w:r>
                </w:p>
                <w:p w14:paraId="5F193BD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能力</w:t>
                  </w:r>
                </w:p>
              </w:tc>
              <w:tc>
                <w:tcPr>
                  <w:tcW w:w="976" w:type="pct"/>
                  <w:tcBorders>
                    <w:tl2br w:val="nil"/>
                    <w:tr2bl w:val="nil"/>
                  </w:tcBorders>
                  <w:noWrap w:val="0"/>
                  <w:vAlign w:val="center"/>
                </w:tcPr>
                <w:p w14:paraId="50641FC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贮存方式</w:t>
                  </w:r>
                </w:p>
              </w:tc>
              <w:tc>
                <w:tcPr>
                  <w:tcW w:w="365" w:type="pct"/>
                  <w:tcBorders>
                    <w:tl2br w:val="nil"/>
                    <w:tr2bl w:val="nil"/>
                  </w:tcBorders>
                  <w:noWrap w:val="0"/>
                  <w:vAlign w:val="center"/>
                </w:tcPr>
                <w:p w14:paraId="2110A53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年产生量（t/a）</w:t>
                  </w:r>
                </w:p>
              </w:tc>
              <w:tc>
                <w:tcPr>
                  <w:tcW w:w="339" w:type="pct"/>
                  <w:tcBorders>
                    <w:tl2br w:val="nil"/>
                    <w:tr2bl w:val="nil"/>
                  </w:tcBorders>
                  <w:noWrap w:val="0"/>
                  <w:vAlign w:val="center"/>
                </w:tcPr>
                <w:p w14:paraId="40AD2EC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最大贮存量</w:t>
                  </w:r>
                </w:p>
              </w:tc>
              <w:tc>
                <w:tcPr>
                  <w:tcW w:w="351" w:type="pct"/>
                  <w:tcBorders>
                    <w:tl2br w:val="nil"/>
                    <w:tr2bl w:val="nil"/>
                  </w:tcBorders>
                  <w:noWrap w:val="0"/>
                  <w:vAlign w:val="center"/>
                </w:tcPr>
                <w:p w14:paraId="5D9D35E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贮存</w:t>
                  </w:r>
                </w:p>
                <w:p w14:paraId="06B8DB3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周期</w:t>
                  </w:r>
                </w:p>
              </w:tc>
            </w:tr>
            <w:tr w14:paraId="40F0F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restart"/>
                  <w:tcBorders>
                    <w:tl2br w:val="nil"/>
                    <w:tr2bl w:val="nil"/>
                  </w:tcBorders>
                  <w:noWrap w:val="0"/>
                  <w:vAlign w:val="center"/>
                </w:tcPr>
                <w:p w14:paraId="508C843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危险废物暂存间</w:t>
                  </w:r>
                  <w:r>
                    <w:rPr>
                      <w:rFonts w:hint="eastAsia" w:ascii="Times New Roman" w:hAnsi="Times New Roman" w:eastAsia="宋体" w:cs="Times New Roman"/>
                      <w:color w:val="auto"/>
                      <w:kern w:val="0"/>
                      <w:sz w:val="21"/>
                      <w:szCs w:val="21"/>
                      <w:lang w:val="en-US" w:eastAsia="zh-CN"/>
                    </w:rPr>
                    <w:t>厂区</w:t>
                  </w:r>
                </w:p>
                <w:p w14:paraId="101F7F1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北侧</w:t>
                  </w:r>
                </w:p>
                <w:p w14:paraId="54B7655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E</w:t>
                  </w:r>
                  <w:r>
                    <w:rPr>
                      <w:rFonts w:hint="default" w:ascii="Times New Roman" w:hAnsi="Times New Roman" w:eastAsia="宋体" w:cs="Times New Roman"/>
                      <w:color w:val="auto"/>
                      <w:kern w:val="0"/>
                      <w:sz w:val="21"/>
                      <w:szCs w:val="21"/>
                      <w:highlight w:val="none"/>
                      <w:lang w:val="en-US" w:eastAsia="zh-CN"/>
                    </w:rPr>
                    <w:t>119°</w:t>
                  </w:r>
                  <w:r>
                    <w:rPr>
                      <w:rFonts w:hint="eastAsia" w:ascii="Times New Roman" w:hAnsi="Times New Roman" w:eastAsia="宋体" w:cs="Times New Roman"/>
                      <w:color w:val="auto"/>
                      <w:kern w:val="0"/>
                      <w:sz w:val="21"/>
                      <w:szCs w:val="21"/>
                      <w:highlight w:val="none"/>
                      <w:lang w:val="en-US" w:eastAsia="zh-CN"/>
                    </w:rPr>
                    <w:t>35</w:t>
                  </w:r>
                  <w:r>
                    <w:rPr>
                      <w:rFonts w:hint="default" w:ascii="Times New Roman" w:hAnsi="Times New Roman" w:eastAsia="宋体" w:cs="Times New Roman"/>
                      <w:color w:val="auto"/>
                      <w:kern w:val="0"/>
                      <w:sz w:val="21"/>
                      <w:szCs w:val="21"/>
                      <w:highlight w:val="none"/>
                      <w:lang w:val="en-US" w:eastAsia="zh-CN"/>
                    </w:rPr>
                    <w:t>'</w:t>
                  </w:r>
                </w:p>
                <w:p w14:paraId="16A7E0B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03.302</w:t>
                  </w:r>
                  <w:r>
                    <w:rPr>
                      <w:rFonts w:hint="default" w:ascii="Times New Roman" w:hAnsi="Times New Roman" w:eastAsia="宋体" w:cs="Times New Roman"/>
                      <w:color w:val="auto"/>
                      <w:kern w:val="0"/>
                      <w:sz w:val="21"/>
                      <w:szCs w:val="21"/>
                      <w:highlight w:val="none"/>
                      <w:lang w:val="en-US" w:eastAsia="zh-CN"/>
                    </w:rPr>
                    <w:t>"</w:t>
                  </w:r>
                </w:p>
                <w:p w14:paraId="5229508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N25</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42</w:t>
                  </w:r>
                  <w:r>
                    <w:rPr>
                      <w:rFonts w:hint="default" w:ascii="Times New Roman" w:hAnsi="Times New Roman" w:eastAsia="宋体" w:cs="Times New Roman"/>
                      <w:color w:val="auto"/>
                      <w:kern w:val="0"/>
                      <w:sz w:val="21"/>
                      <w:szCs w:val="21"/>
                      <w:highlight w:val="none"/>
                      <w:lang w:val="en-US" w:eastAsia="zh-CN"/>
                    </w:rPr>
                    <w:t>'</w:t>
                  </w:r>
                </w:p>
                <w:p w14:paraId="3A86780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11.085</w:t>
                  </w:r>
                  <w:r>
                    <w:rPr>
                      <w:rFonts w:hint="default" w:ascii="Times New Roman" w:hAnsi="Times New Roman" w:eastAsia="宋体" w:cs="Times New Roman"/>
                      <w:color w:val="auto"/>
                      <w:kern w:val="0"/>
                      <w:sz w:val="21"/>
                      <w:szCs w:val="21"/>
                      <w:highlight w:val="none"/>
                      <w:lang w:val="en-US" w:eastAsia="zh-CN"/>
                    </w:rPr>
                    <w:t>"</w:t>
                  </w:r>
                </w:p>
              </w:tc>
              <w:tc>
                <w:tcPr>
                  <w:tcW w:w="458" w:type="pct"/>
                  <w:tcBorders>
                    <w:tl2br w:val="nil"/>
                    <w:tr2bl w:val="nil"/>
                  </w:tcBorders>
                  <w:noWrap w:val="0"/>
                  <w:vAlign w:val="center"/>
                </w:tcPr>
                <w:p w14:paraId="35851E0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HW</w:t>
                  </w:r>
                </w:p>
                <w:p w14:paraId="382B0A8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31类分区</w:t>
                  </w:r>
                </w:p>
              </w:tc>
              <w:tc>
                <w:tcPr>
                  <w:tcW w:w="476" w:type="pct"/>
                  <w:tcBorders>
                    <w:tl2br w:val="nil"/>
                    <w:tr2bl w:val="nil"/>
                  </w:tcBorders>
                  <w:noWrap w:val="0"/>
                  <w:vAlign w:val="center"/>
                </w:tcPr>
                <w:p w14:paraId="26A304EB">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废铅酸蓄电池</w:t>
                  </w:r>
                </w:p>
              </w:tc>
              <w:tc>
                <w:tcPr>
                  <w:tcW w:w="412" w:type="pct"/>
                  <w:tcBorders>
                    <w:tl2br w:val="nil"/>
                    <w:tr2bl w:val="nil"/>
                  </w:tcBorders>
                  <w:noWrap w:val="0"/>
                  <w:vAlign w:val="center"/>
                </w:tcPr>
                <w:p w14:paraId="718C131E">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HW</w:t>
                  </w:r>
                  <w:r>
                    <w:rPr>
                      <w:rFonts w:hint="eastAsia" w:ascii="Times New Roman" w:hAnsi="Times New Roman" w:eastAsia="宋体" w:cs="Times New Roman"/>
                      <w:color w:val="auto"/>
                      <w:sz w:val="21"/>
                      <w:szCs w:val="21"/>
                      <w:highlight w:val="none"/>
                      <w:lang w:val="en-US" w:eastAsia="zh-CN"/>
                    </w:rPr>
                    <w:t>31</w:t>
                  </w:r>
                </w:p>
              </w:tc>
              <w:tc>
                <w:tcPr>
                  <w:tcW w:w="553" w:type="pct"/>
                  <w:tcBorders>
                    <w:tl2br w:val="nil"/>
                    <w:tr2bl w:val="nil"/>
                  </w:tcBorders>
                  <w:noWrap w:val="0"/>
                  <w:vAlign w:val="center"/>
                </w:tcPr>
                <w:p w14:paraId="47484526">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900-052-31</w:t>
                  </w:r>
                </w:p>
              </w:tc>
              <w:tc>
                <w:tcPr>
                  <w:tcW w:w="297" w:type="pct"/>
                  <w:tcBorders>
                    <w:tl2br w:val="nil"/>
                    <w:tr2bl w:val="nil"/>
                  </w:tcBorders>
                  <w:noWrap w:val="0"/>
                  <w:vAlign w:val="center"/>
                </w:tcPr>
                <w:p w14:paraId="61A6FB1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p>
              </w:tc>
              <w:tc>
                <w:tcPr>
                  <w:tcW w:w="246" w:type="pct"/>
                  <w:tcBorders>
                    <w:tl2br w:val="nil"/>
                    <w:tr2bl w:val="nil"/>
                  </w:tcBorders>
                  <w:noWrap w:val="0"/>
                  <w:vAlign w:val="center"/>
                </w:tcPr>
                <w:p w14:paraId="1062915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40t</w:t>
                  </w:r>
                </w:p>
              </w:tc>
              <w:tc>
                <w:tcPr>
                  <w:tcW w:w="976" w:type="pct"/>
                  <w:tcBorders>
                    <w:tl2br w:val="nil"/>
                    <w:tr2bl w:val="nil"/>
                  </w:tcBorders>
                  <w:noWrap w:val="0"/>
                  <w:vAlign w:val="center"/>
                </w:tcPr>
                <w:p w14:paraId="40AFE63C">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eastAsia="宋体" w:cs="Times New Roman"/>
                      <w:color w:val="auto"/>
                      <w:spacing w:val="0"/>
                      <w:kern w:val="0"/>
                      <w:sz w:val="21"/>
                      <w:szCs w:val="21"/>
                      <w:highlight w:val="none"/>
                      <w:lang w:val="en-US" w:eastAsia="zh-CN" w:bidi="he-IL"/>
                    </w:rPr>
                    <w:t>耐酸密闭容器装存，设置导流沟槽，地面设置耐酸隔离层，区内配套灭火器等防火装置、设置防火装置、通讯设备、照明设施、安全防护装置</w:t>
                  </w:r>
                </w:p>
              </w:tc>
              <w:tc>
                <w:tcPr>
                  <w:tcW w:w="365" w:type="pct"/>
                  <w:tcBorders>
                    <w:tl2br w:val="nil"/>
                    <w:tr2bl w:val="nil"/>
                  </w:tcBorders>
                  <w:noWrap w:val="0"/>
                  <w:vAlign w:val="center"/>
                </w:tcPr>
                <w:p w14:paraId="3E036DC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412</w:t>
                  </w:r>
                </w:p>
              </w:tc>
              <w:tc>
                <w:tcPr>
                  <w:tcW w:w="339" w:type="pct"/>
                  <w:tcBorders>
                    <w:tl2br w:val="nil"/>
                    <w:tr2bl w:val="nil"/>
                  </w:tcBorders>
                  <w:noWrap w:val="0"/>
                  <w:vAlign w:val="center"/>
                </w:tcPr>
                <w:p w14:paraId="6A01137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34t</w:t>
                  </w:r>
                </w:p>
              </w:tc>
              <w:tc>
                <w:tcPr>
                  <w:tcW w:w="351" w:type="pct"/>
                  <w:tcBorders>
                    <w:tl2br w:val="nil"/>
                    <w:tr2bl w:val="nil"/>
                  </w:tcBorders>
                  <w:noWrap w:val="0"/>
                  <w:vAlign w:val="center"/>
                </w:tcPr>
                <w:p w14:paraId="432BE78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不超过一个月</w:t>
                  </w:r>
                </w:p>
              </w:tc>
            </w:tr>
            <w:tr w14:paraId="00F36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4EFCAD2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vMerge w:val="restart"/>
                  <w:tcBorders>
                    <w:tl2br w:val="nil"/>
                    <w:tr2bl w:val="nil"/>
                  </w:tcBorders>
                  <w:noWrap w:val="0"/>
                  <w:vAlign w:val="center"/>
                </w:tcPr>
                <w:p w14:paraId="407401B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HW</w:t>
                  </w:r>
                </w:p>
                <w:p w14:paraId="2064FA1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08类</w:t>
                  </w:r>
                </w:p>
                <w:p w14:paraId="445DBAB4">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default" w:ascii="Times New Roman" w:hAnsi="Times New Roman"/>
                      <w:color w:val="auto"/>
                      <w:lang w:val="en-US" w:eastAsia="zh-CN"/>
                    </w:rPr>
                  </w:pPr>
                  <w:r>
                    <w:rPr>
                      <w:rFonts w:hint="eastAsia" w:ascii="Times New Roman" w:hAnsi="Times New Roman" w:eastAsia="宋体" w:cs="Times New Roman"/>
                      <w:color w:val="auto"/>
                      <w:kern w:val="0"/>
                      <w:sz w:val="21"/>
                      <w:szCs w:val="21"/>
                      <w:lang w:val="en-US" w:eastAsia="zh-CN"/>
                    </w:rPr>
                    <w:t>分区</w:t>
                  </w:r>
                </w:p>
              </w:tc>
              <w:tc>
                <w:tcPr>
                  <w:tcW w:w="476" w:type="pct"/>
                  <w:tcBorders>
                    <w:tl2br w:val="nil"/>
                    <w:tr2bl w:val="nil"/>
                  </w:tcBorders>
                  <w:noWrap w:val="0"/>
                  <w:vAlign w:val="center"/>
                </w:tcPr>
                <w:p w14:paraId="254932FC">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废油液（机动车拆解）</w:t>
                  </w:r>
                </w:p>
              </w:tc>
              <w:tc>
                <w:tcPr>
                  <w:tcW w:w="412" w:type="pct"/>
                  <w:tcBorders>
                    <w:tl2br w:val="nil"/>
                    <w:tr2bl w:val="nil"/>
                  </w:tcBorders>
                  <w:noWrap w:val="0"/>
                  <w:vAlign w:val="center"/>
                </w:tcPr>
                <w:p w14:paraId="169E3C7F">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HW08</w:t>
                  </w:r>
                </w:p>
              </w:tc>
              <w:tc>
                <w:tcPr>
                  <w:tcW w:w="553" w:type="pct"/>
                  <w:tcBorders>
                    <w:tl2br w:val="nil"/>
                    <w:tr2bl w:val="nil"/>
                  </w:tcBorders>
                  <w:noWrap w:val="0"/>
                  <w:vAlign w:val="center"/>
                </w:tcPr>
                <w:p w14:paraId="79874B61">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900-199-08</w:t>
                  </w:r>
                </w:p>
              </w:tc>
              <w:tc>
                <w:tcPr>
                  <w:tcW w:w="297" w:type="pct"/>
                  <w:vMerge w:val="restart"/>
                  <w:tcBorders>
                    <w:tl2br w:val="nil"/>
                    <w:tr2bl w:val="nil"/>
                  </w:tcBorders>
                  <w:noWrap w:val="0"/>
                  <w:vAlign w:val="center"/>
                </w:tcPr>
                <w:p w14:paraId="335484D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70m</w:t>
                  </w:r>
                  <w:r>
                    <w:rPr>
                      <w:rFonts w:hint="eastAsia" w:ascii="Times New Roman" w:hAnsi="Times New Roman" w:eastAsia="宋体" w:cs="Times New Roman"/>
                      <w:color w:val="auto"/>
                      <w:kern w:val="0"/>
                      <w:sz w:val="21"/>
                      <w:szCs w:val="21"/>
                      <w:highlight w:val="none"/>
                      <w:vertAlign w:val="superscript"/>
                      <w:lang w:val="en-US" w:eastAsia="zh-CN"/>
                    </w:rPr>
                    <w:t>2</w:t>
                  </w:r>
                </w:p>
              </w:tc>
              <w:tc>
                <w:tcPr>
                  <w:tcW w:w="246" w:type="pct"/>
                  <w:vMerge w:val="restart"/>
                  <w:tcBorders>
                    <w:tl2br w:val="nil"/>
                    <w:tr2bl w:val="nil"/>
                  </w:tcBorders>
                  <w:noWrap w:val="0"/>
                  <w:vAlign w:val="center"/>
                </w:tcPr>
                <w:p w14:paraId="4A5DCE2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60t</w:t>
                  </w:r>
                </w:p>
              </w:tc>
              <w:tc>
                <w:tcPr>
                  <w:tcW w:w="976" w:type="pct"/>
                  <w:vMerge w:val="restart"/>
                  <w:tcBorders>
                    <w:tl2br w:val="nil"/>
                    <w:tr2bl w:val="nil"/>
                  </w:tcBorders>
                  <w:noWrap w:val="0"/>
                  <w:vAlign w:val="center"/>
                </w:tcPr>
                <w:p w14:paraId="49887B49">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eastAsia="宋体" w:cs="Times New Roman"/>
                      <w:color w:val="auto"/>
                      <w:spacing w:val="0"/>
                      <w:kern w:val="0"/>
                      <w:sz w:val="21"/>
                      <w:szCs w:val="21"/>
                      <w:highlight w:val="none"/>
                      <w:lang w:val="en-US" w:eastAsia="zh-CN" w:bidi="he-IL"/>
                    </w:rPr>
                    <w:t>密闭容器装存，油类收集桶内顶部与各废油液表面之间保留100mm以上空间，设置导流沟槽</w:t>
                  </w:r>
                </w:p>
              </w:tc>
              <w:tc>
                <w:tcPr>
                  <w:tcW w:w="365" w:type="pct"/>
                  <w:tcBorders>
                    <w:tl2br w:val="nil"/>
                    <w:tr2bl w:val="nil"/>
                  </w:tcBorders>
                  <w:noWrap w:val="0"/>
                  <w:vAlign w:val="center"/>
                </w:tcPr>
                <w:p w14:paraId="7DA8D33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157.046</w:t>
                  </w:r>
                </w:p>
              </w:tc>
              <w:tc>
                <w:tcPr>
                  <w:tcW w:w="339" w:type="pct"/>
                  <w:tcBorders>
                    <w:tl2br w:val="nil"/>
                    <w:tr2bl w:val="nil"/>
                  </w:tcBorders>
                  <w:noWrap w:val="0"/>
                  <w:vAlign w:val="center"/>
                </w:tcPr>
                <w:p w14:paraId="46AB625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6.54</w:t>
                  </w:r>
                </w:p>
              </w:tc>
              <w:tc>
                <w:tcPr>
                  <w:tcW w:w="351" w:type="pct"/>
                  <w:tcBorders>
                    <w:tl2br w:val="nil"/>
                    <w:tr2bl w:val="nil"/>
                  </w:tcBorders>
                  <w:noWrap w:val="0"/>
                  <w:vAlign w:val="center"/>
                </w:tcPr>
                <w:p w14:paraId="1422389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不超过半个月</w:t>
                  </w:r>
                </w:p>
              </w:tc>
            </w:tr>
            <w:tr w14:paraId="7196F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32B5B47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vMerge w:val="continue"/>
                  <w:tcBorders>
                    <w:tl2br w:val="nil"/>
                    <w:tr2bl w:val="nil"/>
                  </w:tcBorders>
                  <w:noWrap w:val="0"/>
                  <w:vAlign w:val="center"/>
                </w:tcPr>
                <w:p w14:paraId="7E935B34">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76" w:type="pct"/>
                  <w:tcBorders>
                    <w:tl2br w:val="nil"/>
                    <w:tr2bl w:val="nil"/>
                  </w:tcBorders>
                  <w:noWrap w:val="0"/>
                  <w:vAlign w:val="center"/>
                </w:tcPr>
                <w:p w14:paraId="3C08421A">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Cs w:val="21"/>
                      <w:highlight w:val="none"/>
                      <w:lang w:eastAsia="zh-CN"/>
                    </w:rPr>
                    <w:t>废变压器油</w:t>
                  </w:r>
                </w:p>
              </w:tc>
              <w:tc>
                <w:tcPr>
                  <w:tcW w:w="412" w:type="pct"/>
                  <w:tcBorders>
                    <w:tl2br w:val="nil"/>
                    <w:tr2bl w:val="nil"/>
                  </w:tcBorders>
                  <w:noWrap w:val="0"/>
                  <w:vAlign w:val="center"/>
                </w:tcPr>
                <w:p w14:paraId="3F8FD71D">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HW08</w:t>
                  </w:r>
                </w:p>
              </w:tc>
              <w:tc>
                <w:tcPr>
                  <w:tcW w:w="553" w:type="pct"/>
                  <w:tcBorders>
                    <w:tl2br w:val="nil"/>
                    <w:tr2bl w:val="nil"/>
                  </w:tcBorders>
                  <w:noWrap w:val="0"/>
                  <w:vAlign w:val="center"/>
                </w:tcPr>
                <w:p w14:paraId="45545CF0">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900-220-08</w:t>
                  </w:r>
                </w:p>
              </w:tc>
              <w:tc>
                <w:tcPr>
                  <w:tcW w:w="297" w:type="pct"/>
                  <w:vMerge w:val="continue"/>
                  <w:tcBorders>
                    <w:tl2br w:val="nil"/>
                    <w:tr2bl w:val="nil"/>
                  </w:tcBorders>
                  <w:noWrap w:val="0"/>
                  <w:vAlign w:val="center"/>
                </w:tcPr>
                <w:p w14:paraId="14722F5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246" w:type="pct"/>
                  <w:vMerge w:val="continue"/>
                  <w:tcBorders>
                    <w:tl2br w:val="nil"/>
                    <w:tr2bl w:val="nil"/>
                  </w:tcBorders>
                  <w:noWrap w:val="0"/>
                  <w:vAlign w:val="center"/>
                </w:tcPr>
                <w:p w14:paraId="3F1E451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p>
              </w:tc>
              <w:tc>
                <w:tcPr>
                  <w:tcW w:w="976" w:type="pct"/>
                  <w:vMerge w:val="continue"/>
                  <w:tcBorders>
                    <w:tl2br w:val="nil"/>
                    <w:tr2bl w:val="nil"/>
                  </w:tcBorders>
                  <w:noWrap w:val="0"/>
                  <w:vAlign w:val="center"/>
                </w:tcPr>
                <w:p w14:paraId="39629E92">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p>
              </w:tc>
              <w:tc>
                <w:tcPr>
                  <w:tcW w:w="365" w:type="pct"/>
                  <w:tcBorders>
                    <w:tl2br w:val="nil"/>
                    <w:tr2bl w:val="nil"/>
                  </w:tcBorders>
                  <w:noWrap w:val="0"/>
                  <w:vAlign w:val="center"/>
                </w:tcPr>
                <w:p w14:paraId="197CDC0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929.535</w:t>
                  </w:r>
                </w:p>
              </w:tc>
              <w:tc>
                <w:tcPr>
                  <w:tcW w:w="339" w:type="pct"/>
                  <w:tcBorders>
                    <w:tl2br w:val="nil"/>
                    <w:tr2bl w:val="nil"/>
                  </w:tcBorders>
                  <w:noWrap w:val="0"/>
                  <w:vAlign w:val="center"/>
                </w:tcPr>
                <w:p w14:paraId="1D53496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38.73</w:t>
                  </w:r>
                </w:p>
              </w:tc>
              <w:tc>
                <w:tcPr>
                  <w:tcW w:w="351" w:type="pct"/>
                  <w:tcBorders>
                    <w:tl2br w:val="nil"/>
                    <w:tr2bl w:val="nil"/>
                  </w:tcBorders>
                  <w:noWrap w:val="0"/>
                  <w:vAlign w:val="center"/>
                </w:tcPr>
                <w:p w14:paraId="0800039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不超过半个月</w:t>
                  </w:r>
                </w:p>
              </w:tc>
            </w:tr>
            <w:tr w14:paraId="05E6F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7CAB8F0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vMerge w:val="continue"/>
                  <w:tcBorders>
                    <w:tl2br w:val="nil"/>
                    <w:tr2bl w:val="nil"/>
                  </w:tcBorders>
                  <w:noWrap w:val="0"/>
                  <w:vAlign w:val="center"/>
                </w:tcPr>
                <w:p w14:paraId="3958CED7">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76" w:type="pct"/>
                  <w:tcBorders>
                    <w:tl2br w:val="nil"/>
                    <w:tr2bl w:val="nil"/>
                  </w:tcBorders>
                  <w:noWrap w:val="0"/>
                  <w:vAlign w:val="center"/>
                </w:tcPr>
                <w:p w14:paraId="26979499">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废液压油</w:t>
                  </w:r>
                </w:p>
              </w:tc>
              <w:tc>
                <w:tcPr>
                  <w:tcW w:w="412" w:type="pct"/>
                  <w:tcBorders>
                    <w:tl2br w:val="nil"/>
                    <w:tr2bl w:val="nil"/>
                  </w:tcBorders>
                  <w:noWrap w:val="0"/>
                  <w:vAlign w:val="center"/>
                </w:tcPr>
                <w:p w14:paraId="2A1AF197">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HW08</w:t>
                  </w:r>
                </w:p>
              </w:tc>
              <w:tc>
                <w:tcPr>
                  <w:tcW w:w="553" w:type="pct"/>
                  <w:tcBorders>
                    <w:tl2br w:val="nil"/>
                    <w:tr2bl w:val="nil"/>
                  </w:tcBorders>
                  <w:noWrap w:val="0"/>
                  <w:vAlign w:val="center"/>
                </w:tcPr>
                <w:p w14:paraId="70D2B950">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900-218-08</w:t>
                  </w:r>
                </w:p>
              </w:tc>
              <w:tc>
                <w:tcPr>
                  <w:tcW w:w="297" w:type="pct"/>
                  <w:vMerge w:val="continue"/>
                  <w:tcBorders>
                    <w:tl2br w:val="nil"/>
                    <w:tr2bl w:val="nil"/>
                  </w:tcBorders>
                  <w:noWrap w:val="0"/>
                  <w:vAlign w:val="center"/>
                </w:tcPr>
                <w:p w14:paraId="01D2316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246" w:type="pct"/>
                  <w:vMerge w:val="continue"/>
                  <w:tcBorders>
                    <w:tl2br w:val="nil"/>
                    <w:tr2bl w:val="nil"/>
                  </w:tcBorders>
                  <w:noWrap w:val="0"/>
                  <w:vAlign w:val="center"/>
                </w:tcPr>
                <w:p w14:paraId="17A716F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p>
              </w:tc>
              <w:tc>
                <w:tcPr>
                  <w:tcW w:w="976" w:type="pct"/>
                  <w:vMerge w:val="continue"/>
                  <w:tcBorders>
                    <w:tl2br w:val="nil"/>
                    <w:tr2bl w:val="nil"/>
                  </w:tcBorders>
                  <w:noWrap w:val="0"/>
                  <w:vAlign w:val="center"/>
                </w:tcPr>
                <w:p w14:paraId="5BD70A6F">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p>
              </w:tc>
              <w:tc>
                <w:tcPr>
                  <w:tcW w:w="365" w:type="pct"/>
                  <w:tcBorders>
                    <w:tl2br w:val="nil"/>
                    <w:tr2bl w:val="nil"/>
                  </w:tcBorders>
                  <w:noWrap w:val="0"/>
                  <w:vAlign w:val="center"/>
                </w:tcPr>
                <w:p w14:paraId="670D484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0.05</w:t>
                  </w:r>
                </w:p>
              </w:tc>
              <w:tc>
                <w:tcPr>
                  <w:tcW w:w="339" w:type="pct"/>
                  <w:tcBorders>
                    <w:tl2br w:val="nil"/>
                    <w:tr2bl w:val="nil"/>
                  </w:tcBorders>
                  <w:noWrap w:val="0"/>
                  <w:vAlign w:val="center"/>
                </w:tcPr>
                <w:p w14:paraId="412CC3B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0.05</w:t>
                  </w:r>
                </w:p>
              </w:tc>
              <w:tc>
                <w:tcPr>
                  <w:tcW w:w="351" w:type="pct"/>
                  <w:tcBorders>
                    <w:tl2br w:val="nil"/>
                    <w:tr2bl w:val="nil"/>
                  </w:tcBorders>
                  <w:noWrap w:val="0"/>
                  <w:vAlign w:val="center"/>
                </w:tcPr>
                <w:p w14:paraId="7371BBD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不超过一年</w:t>
                  </w:r>
                </w:p>
              </w:tc>
            </w:tr>
            <w:tr w14:paraId="47585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0E338C5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vMerge w:val="continue"/>
                  <w:tcBorders>
                    <w:tl2br w:val="nil"/>
                    <w:tr2bl w:val="nil"/>
                  </w:tcBorders>
                  <w:noWrap w:val="0"/>
                  <w:vAlign w:val="center"/>
                </w:tcPr>
                <w:p w14:paraId="16574139">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76" w:type="pct"/>
                  <w:tcBorders>
                    <w:tl2br w:val="nil"/>
                    <w:tr2bl w:val="nil"/>
                  </w:tcBorders>
                  <w:noWrap w:val="0"/>
                  <w:vAlign w:val="center"/>
                </w:tcPr>
                <w:p w14:paraId="30DE04FF">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废机油</w:t>
                  </w:r>
                </w:p>
              </w:tc>
              <w:tc>
                <w:tcPr>
                  <w:tcW w:w="412" w:type="pct"/>
                  <w:tcBorders>
                    <w:tl2br w:val="nil"/>
                    <w:tr2bl w:val="nil"/>
                  </w:tcBorders>
                  <w:noWrap w:val="0"/>
                  <w:vAlign w:val="center"/>
                </w:tcPr>
                <w:p w14:paraId="314F5347">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HW08</w:t>
                  </w:r>
                </w:p>
              </w:tc>
              <w:tc>
                <w:tcPr>
                  <w:tcW w:w="553" w:type="pct"/>
                  <w:tcBorders>
                    <w:tl2br w:val="nil"/>
                    <w:tr2bl w:val="nil"/>
                  </w:tcBorders>
                  <w:noWrap w:val="0"/>
                  <w:vAlign w:val="center"/>
                </w:tcPr>
                <w:p w14:paraId="0BDAD4C8">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900-214-08</w:t>
                  </w:r>
                </w:p>
              </w:tc>
              <w:tc>
                <w:tcPr>
                  <w:tcW w:w="297" w:type="pct"/>
                  <w:vMerge w:val="continue"/>
                  <w:tcBorders>
                    <w:tl2br w:val="nil"/>
                    <w:tr2bl w:val="nil"/>
                  </w:tcBorders>
                  <w:noWrap w:val="0"/>
                  <w:vAlign w:val="center"/>
                </w:tcPr>
                <w:p w14:paraId="0BC180A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246" w:type="pct"/>
                  <w:vMerge w:val="continue"/>
                  <w:tcBorders>
                    <w:tl2br w:val="nil"/>
                    <w:tr2bl w:val="nil"/>
                  </w:tcBorders>
                  <w:noWrap w:val="0"/>
                  <w:vAlign w:val="center"/>
                </w:tcPr>
                <w:p w14:paraId="4D27199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p>
              </w:tc>
              <w:tc>
                <w:tcPr>
                  <w:tcW w:w="976" w:type="pct"/>
                  <w:vMerge w:val="continue"/>
                  <w:tcBorders>
                    <w:tl2br w:val="nil"/>
                    <w:tr2bl w:val="nil"/>
                  </w:tcBorders>
                  <w:noWrap w:val="0"/>
                  <w:vAlign w:val="center"/>
                </w:tcPr>
                <w:p w14:paraId="5BB191CD">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p>
              </w:tc>
              <w:tc>
                <w:tcPr>
                  <w:tcW w:w="365" w:type="pct"/>
                  <w:tcBorders>
                    <w:tl2br w:val="nil"/>
                    <w:tr2bl w:val="nil"/>
                  </w:tcBorders>
                  <w:noWrap w:val="0"/>
                  <w:vAlign w:val="center"/>
                </w:tcPr>
                <w:p w14:paraId="0399BB6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0.1</w:t>
                  </w:r>
                </w:p>
              </w:tc>
              <w:tc>
                <w:tcPr>
                  <w:tcW w:w="339" w:type="pct"/>
                  <w:tcBorders>
                    <w:tl2br w:val="nil"/>
                    <w:tr2bl w:val="nil"/>
                  </w:tcBorders>
                  <w:noWrap w:val="0"/>
                  <w:vAlign w:val="center"/>
                </w:tcPr>
                <w:p w14:paraId="5FC0D0D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0.1</w:t>
                  </w:r>
                </w:p>
              </w:tc>
              <w:tc>
                <w:tcPr>
                  <w:tcW w:w="351" w:type="pct"/>
                  <w:tcBorders>
                    <w:tl2br w:val="nil"/>
                    <w:tr2bl w:val="nil"/>
                  </w:tcBorders>
                  <w:noWrap w:val="0"/>
                  <w:vAlign w:val="center"/>
                </w:tcPr>
                <w:p w14:paraId="6714BF9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不超过一年</w:t>
                  </w:r>
                </w:p>
              </w:tc>
            </w:tr>
            <w:tr w14:paraId="6969C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54C6F37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vMerge w:val="continue"/>
                  <w:tcBorders>
                    <w:tl2br w:val="nil"/>
                    <w:tr2bl w:val="nil"/>
                  </w:tcBorders>
                  <w:noWrap w:val="0"/>
                  <w:vAlign w:val="center"/>
                </w:tcPr>
                <w:p w14:paraId="0E9AEDDC">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76" w:type="pct"/>
                  <w:tcBorders>
                    <w:tl2br w:val="nil"/>
                    <w:tr2bl w:val="nil"/>
                  </w:tcBorders>
                  <w:noWrap w:val="0"/>
                  <w:vAlign w:val="center"/>
                </w:tcPr>
                <w:p w14:paraId="09D5212D">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废油桶</w:t>
                  </w:r>
                </w:p>
              </w:tc>
              <w:tc>
                <w:tcPr>
                  <w:tcW w:w="412" w:type="pct"/>
                  <w:tcBorders>
                    <w:tl2br w:val="nil"/>
                    <w:tr2bl w:val="nil"/>
                  </w:tcBorders>
                  <w:noWrap w:val="0"/>
                  <w:vAlign w:val="center"/>
                </w:tcPr>
                <w:p w14:paraId="4F8D4BAB">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HW08</w:t>
                  </w:r>
                </w:p>
              </w:tc>
              <w:tc>
                <w:tcPr>
                  <w:tcW w:w="553" w:type="pct"/>
                  <w:tcBorders>
                    <w:tl2br w:val="nil"/>
                    <w:tr2bl w:val="nil"/>
                  </w:tcBorders>
                  <w:noWrap w:val="0"/>
                  <w:vAlign w:val="center"/>
                </w:tcPr>
                <w:p w14:paraId="073B353E">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900-249-08</w:t>
                  </w:r>
                </w:p>
              </w:tc>
              <w:tc>
                <w:tcPr>
                  <w:tcW w:w="297" w:type="pct"/>
                  <w:vMerge w:val="continue"/>
                  <w:tcBorders>
                    <w:tl2br w:val="nil"/>
                    <w:tr2bl w:val="nil"/>
                  </w:tcBorders>
                  <w:noWrap w:val="0"/>
                  <w:vAlign w:val="center"/>
                </w:tcPr>
                <w:p w14:paraId="35CD2D3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246" w:type="pct"/>
                  <w:vMerge w:val="continue"/>
                  <w:tcBorders>
                    <w:tl2br w:val="nil"/>
                    <w:tr2bl w:val="nil"/>
                  </w:tcBorders>
                  <w:noWrap w:val="0"/>
                  <w:vAlign w:val="center"/>
                </w:tcPr>
                <w:p w14:paraId="4155B2F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p>
              </w:tc>
              <w:tc>
                <w:tcPr>
                  <w:tcW w:w="976" w:type="pct"/>
                  <w:vMerge w:val="continue"/>
                  <w:tcBorders>
                    <w:tl2br w:val="nil"/>
                    <w:tr2bl w:val="nil"/>
                  </w:tcBorders>
                  <w:noWrap w:val="0"/>
                  <w:vAlign w:val="center"/>
                </w:tcPr>
                <w:p w14:paraId="7F5BC7D7">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p>
              </w:tc>
              <w:tc>
                <w:tcPr>
                  <w:tcW w:w="365" w:type="pct"/>
                  <w:tcBorders>
                    <w:tl2br w:val="nil"/>
                    <w:tr2bl w:val="nil"/>
                  </w:tcBorders>
                  <w:noWrap w:val="0"/>
                  <w:vAlign w:val="center"/>
                </w:tcPr>
                <w:p w14:paraId="18F8223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0.05</w:t>
                  </w:r>
                </w:p>
              </w:tc>
              <w:tc>
                <w:tcPr>
                  <w:tcW w:w="339" w:type="pct"/>
                  <w:tcBorders>
                    <w:tl2br w:val="nil"/>
                    <w:tr2bl w:val="nil"/>
                  </w:tcBorders>
                  <w:noWrap w:val="0"/>
                  <w:vAlign w:val="center"/>
                </w:tcPr>
                <w:p w14:paraId="5A6835C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0.05</w:t>
                  </w:r>
                </w:p>
              </w:tc>
              <w:tc>
                <w:tcPr>
                  <w:tcW w:w="351" w:type="pct"/>
                  <w:tcBorders>
                    <w:tl2br w:val="nil"/>
                    <w:tr2bl w:val="nil"/>
                  </w:tcBorders>
                  <w:noWrap w:val="0"/>
                  <w:vAlign w:val="center"/>
                </w:tcPr>
                <w:p w14:paraId="410E63C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不超过一年</w:t>
                  </w:r>
                </w:p>
              </w:tc>
            </w:tr>
            <w:tr w14:paraId="03B8C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17A9EF7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vMerge w:val="continue"/>
                  <w:tcBorders>
                    <w:tl2br w:val="nil"/>
                    <w:tr2bl w:val="nil"/>
                  </w:tcBorders>
                  <w:noWrap w:val="0"/>
                  <w:vAlign w:val="center"/>
                </w:tcPr>
                <w:p w14:paraId="01F11BF6">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76" w:type="pct"/>
                  <w:tcBorders>
                    <w:tl2br w:val="nil"/>
                    <w:tr2bl w:val="nil"/>
                  </w:tcBorders>
                  <w:noWrap w:val="0"/>
                  <w:vAlign w:val="center"/>
                </w:tcPr>
                <w:p w14:paraId="7EF0547A">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浮油和污泥</w:t>
                  </w:r>
                </w:p>
              </w:tc>
              <w:tc>
                <w:tcPr>
                  <w:tcW w:w="412" w:type="pct"/>
                  <w:tcBorders>
                    <w:tl2br w:val="nil"/>
                    <w:tr2bl w:val="nil"/>
                  </w:tcBorders>
                  <w:noWrap w:val="0"/>
                  <w:vAlign w:val="center"/>
                </w:tcPr>
                <w:p w14:paraId="24A69618">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HW08</w:t>
                  </w:r>
                </w:p>
              </w:tc>
              <w:tc>
                <w:tcPr>
                  <w:tcW w:w="553" w:type="pct"/>
                  <w:tcBorders>
                    <w:tl2br w:val="nil"/>
                    <w:tr2bl w:val="nil"/>
                  </w:tcBorders>
                  <w:noWrap w:val="0"/>
                  <w:vAlign w:val="center"/>
                </w:tcPr>
                <w:p w14:paraId="7675E8E7">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900-210-08</w:t>
                  </w:r>
                </w:p>
              </w:tc>
              <w:tc>
                <w:tcPr>
                  <w:tcW w:w="297" w:type="pct"/>
                  <w:vMerge w:val="continue"/>
                  <w:tcBorders>
                    <w:tl2br w:val="nil"/>
                    <w:tr2bl w:val="nil"/>
                  </w:tcBorders>
                  <w:noWrap w:val="0"/>
                  <w:vAlign w:val="center"/>
                </w:tcPr>
                <w:p w14:paraId="211AA1D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246" w:type="pct"/>
                  <w:vMerge w:val="continue"/>
                  <w:tcBorders>
                    <w:tl2br w:val="nil"/>
                    <w:tr2bl w:val="nil"/>
                  </w:tcBorders>
                  <w:noWrap w:val="0"/>
                  <w:vAlign w:val="center"/>
                </w:tcPr>
                <w:p w14:paraId="23D5772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p>
              </w:tc>
              <w:tc>
                <w:tcPr>
                  <w:tcW w:w="976" w:type="pct"/>
                  <w:vMerge w:val="continue"/>
                  <w:tcBorders>
                    <w:tl2br w:val="nil"/>
                    <w:tr2bl w:val="nil"/>
                  </w:tcBorders>
                  <w:noWrap w:val="0"/>
                  <w:vAlign w:val="center"/>
                </w:tcPr>
                <w:p w14:paraId="3B397836">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p>
              </w:tc>
              <w:tc>
                <w:tcPr>
                  <w:tcW w:w="365" w:type="pct"/>
                  <w:tcBorders>
                    <w:tl2br w:val="nil"/>
                    <w:tr2bl w:val="nil"/>
                  </w:tcBorders>
                  <w:noWrap w:val="0"/>
                  <w:vAlign w:val="center"/>
                </w:tcPr>
                <w:p w14:paraId="08A6A39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2.2251</w:t>
                  </w:r>
                </w:p>
              </w:tc>
              <w:tc>
                <w:tcPr>
                  <w:tcW w:w="339" w:type="pct"/>
                  <w:tcBorders>
                    <w:tl2br w:val="nil"/>
                    <w:tr2bl w:val="nil"/>
                  </w:tcBorders>
                  <w:noWrap w:val="0"/>
                  <w:vAlign w:val="center"/>
                </w:tcPr>
                <w:p w14:paraId="2BB7409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2.2251</w:t>
                  </w:r>
                </w:p>
              </w:tc>
              <w:tc>
                <w:tcPr>
                  <w:tcW w:w="351" w:type="pct"/>
                  <w:tcBorders>
                    <w:tl2br w:val="nil"/>
                    <w:tr2bl w:val="nil"/>
                  </w:tcBorders>
                  <w:noWrap w:val="0"/>
                  <w:vAlign w:val="center"/>
                </w:tcPr>
                <w:p w14:paraId="335D198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不超过一年</w:t>
                  </w:r>
                </w:p>
              </w:tc>
            </w:tr>
            <w:tr w14:paraId="76F5D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58C56CB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vMerge w:val="restart"/>
                  <w:tcBorders>
                    <w:tl2br w:val="nil"/>
                    <w:tr2bl w:val="nil"/>
                  </w:tcBorders>
                  <w:noWrap w:val="0"/>
                  <w:vAlign w:val="center"/>
                </w:tcPr>
                <w:p w14:paraId="46F3429C">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HW49类</w:t>
                  </w:r>
                </w:p>
                <w:p w14:paraId="7C6CF93F">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分区</w:t>
                  </w:r>
                </w:p>
              </w:tc>
              <w:tc>
                <w:tcPr>
                  <w:tcW w:w="476" w:type="pct"/>
                  <w:tcBorders>
                    <w:tl2br w:val="nil"/>
                    <w:tr2bl w:val="nil"/>
                  </w:tcBorders>
                  <w:noWrap w:val="0"/>
                  <w:vAlign w:val="center"/>
                </w:tcPr>
                <w:p w14:paraId="5BDAEFC6">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废制冷剂</w:t>
                  </w:r>
                </w:p>
              </w:tc>
              <w:tc>
                <w:tcPr>
                  <w:tcW w:w="412" w:type="pct"/>
                  <w:tcBorders>
                    <w:tl2br w:val="nil"/>
                    <w:tr2bl w:val="nil"/>
                  </w:tcBorders>
                  <w:noWrap w:val="0"/>
                  <w:vAlign w:val="center"/>
                </w:tcPr>
                <w:p w14:paraId="2D7137AB">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tc>
              <w:tc>
                <w:tcPr>
                  <w:tcW w:w="553" w:type="pct"/>
                  <w:tcBorders>
                    <w:tl2br w:val="nil"/>
                    <w:tr2bl w:val="nil"/>
                  </w:tcBorders>
                  <w:noWrap w:val="0"/>
                  <w:vAlign w:val="center"/>
                </w:tcPr>
                <w:p w14:paraId="527E3B30">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900-999-49</w:t>
                  </w:r>
                </w:p>
              </w:tc>
              <w:tc>
                <w:tcPr>
                  <w:tcW w:w="297" w:type="pct"/>
                  <w:vMerge w:val="restart"/>
                  <w:tcBorders>
                    <w:tl2br w:val="nil"/>
                    <w:tr2bl w:val="nil"/>
                  </w:tcBorders>
                  <w:noWrap w:val="0"/>
                  <w:vAlign w:val="center"/>
                </w:tcPr>
                <w:p w14:paraId="71F9E6D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20m</w:t>
                  </w:r>
                  <w:r>
                    <w:rPr>
                      <w:rFonts w:hint="eastAsia" w:ascii="Times New Roman" w:hAnsi="Times New Roman" w:eastAsia="宋体" w:cs="Times New Roman"/>
                      <w:color w:val="auto"/>
                      <w:kern w:val="0"/>
                      <w:sz w:val="21"/>
                      <w:szCs w:val="21"/>
                      <w:vertAlign w:val="superscript"/>
                      <w:lang w:val="en-US" w:eastAsia="zh-CN"/>
                    </w:rPr>
                    <w:t>2</w:t>
                  </w:r>
                </w:p>
              </w:tc>
              <w:tc>
                <w:tcPr>
                  <w:tcW w:w="246" w:type="pct"/>
                  <w:vMerge w:val="restart"/>
                  <w:tcBorders>
                    <w:tl2br w:val="nil"/>
                    <w:tr2bl w:val="nil"/>
                  </w:tcBorders>
                  <w:noWrap w:val="0"/>
                  <w:vAlign w:val="center"/>
                </w:tcPr>
                <w:p w14:paraId="236BB65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15t</w:t>
                  </w:r>
                </w:p>
              </w:tc>
              <w:tc>
                <w:tcPr>
                  <w:tcW w:w="976" w:type="pct"/>
                  <w:tcBorders>
                    <w:tl2br w:val="nil"/>
                    <w:tr2bl w:val="nil"/>
                  </w:tcBorders>
                  <w:noWrap w:val="0"/>
                  <w:vAlign w:val="center"/>
                </w:tcPr>
                <w:p w14:paraId="7334C627">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eastAsia="宋体" w:cs="Times New Roman"/>
                      <w:color w:val="auto"/>
                      <w:spacing w:val="0"/>
                      <w:kern w:val="0"/>
                      <w:sz w:val="21"/>
                      <w:szCs w:val="21"/>
                      <w:highlight w:val="none"/>
                      <w:lang w:val="en-US" w:eastAsia="zh-CN" w:bidi="he-IL"/>
                    </w:rPr>
                    <w:t>密闭钢瓶，回收废空调制冷剂的钢瓶应符合GB150-2011压力容器的相关规定，设置导流沟槽</w:t>
                  </w:r>
                </w:p>
              </w:tc>
              <w:tc>
                <w:tcPr>
                  <w:tcW w:w="365" w:type="pct"/>
                  <w:tcBorders>
                    <w:tl2br w:val="nil"/>
                    <w:tr2bl w:val="nil"/>
                  </w:tcBorders>
                  <w:noWrap w:val="0"/>
                  <w:vAlign w:val="center"/>
                </w:tcPr>
                <w:p w14:paraId="0832103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10.486</w:t>
                  </w:r>
                </w:p>
              </w:tc>
              <w:tc>
                <w:tcPr>
                  <w:tcW w:w="339" w:type="pct"/>
                  <w:tcBorders>
                    <w:tl2br w:val="nil"/>
                    <w:tr2bl w:val="nil"/>
                  </w:tcBorders>
                  <w:noWrap w:val="0"/>
                  <w:vAlign w:val="center"/>
                </w:tcPr>
                <w:p w14:paraId="01D2DE2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0.87</w:t>
                  </w:r>
                </w:p>
              </w:tc>
              <w:tc>
                <w:tcPr>
                  <w:tcW w:w="351" w:type="pct"/>
                  <w:tcBorders>
                    <w:tl2br w:val="nil"/>
                    <w:tr2bl w:val="nil"/>
                  </w:tcBorders>
                  <w:noWrap w:val="0"/>
                  <w:vAlign w:val="center"/>
                </w:tcPr>
                <w:p w14:paraId="048FB7B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不超过一个月</w:t>
                  </w:r>
                </w:p>
              </w:tc>
            </w:tr>
            <w:tr w14:paraId="52E36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7A324C6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vMerge w:val="continue"/>
                  <w:tcBorders>
                    <w:tl2br w:val="nil"/>
                    <w:tr2bl w:val="nil"/>
                  </w:tcBorders>
                  <w:noWrap w:val="0"/>
                  <w:vAlign w:val="center"/>
                </w:tcPr>
                <w:p w14:paraId="2557BCD4">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76" w:type="pct"/>
                  <w:tcBorders>
                    <w:tl2br w:val="nil"/>
                    <w:tr2bl w:val="nil"/>
                  </w:tcBorders>
                  <w:noWrap w:val="0"/>
                  <w:vAlign w:val="center"/>
                </w:tcPr>
                <w:p w14:paraId="463C0768">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Cs w:val="21"/>
                      <w:highlight w:val="none"/>
                    </w:rPr>
                    <w:t>废滤清器</w:t>
                  </w:r>
                </w:p>
              </w:tc>
              <w:tc>
                <w:tcPr>
                  <w:tcW w:w="412" w:type="pct"/>
                  <w:tcBorders>
                    <w:tl2br w:val="nil"/>
                    <w:tr2bl w:val="nil"/>
                  </w:tcBorders>
                  <w:noWrap w:val="0"/>
                  <w:vAlign w:val="center"/>
                </w:tcPr>
                <w:p w14:paraId="4A415E6E">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tc>
              <w:tc>
                <w:tcPr>
                  <w:tcW w:w="553" w:type="pct"/>
                  <w:tcBorders>
                    <w:tl2br w:val="nil"/>
                    <w:tr2bl w:val="nil"/>
                  </w:tcBorders>
                  <w:noWrap w:val="0"/>
                  <w:vAlign w:val="center"/>
                </w:tcPr>
                <w:p w14:paraId="3194D87B">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900-041-49</w:t>
                  </w:r>
                </w:p>
              </w:tc>
              <w:tc>
                <w:tcPr>
                  <w:tcW w:w="297" w:type="pct"/>
                  <w:vMerge w:val="continue"/>
                  <w:tcBorders>
                    <w:tl2br w:val="nil"/>
                    <w:tr2bl w:val="nil"/>
                  </w:tcBorders>
                  <w:noWrap w:val="0"/>
                  <w:vAlign w:val="center"/>
                </w:tcPr>
                <w:p w14:paraId="01D5327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246" w:type="pct"/>
                  <w:vMerge w:val="continue"/>
                  <w:tcBorders>
                    <w:tl2br w:val="nil"/>
                    <w:tr2bl w:val="nil"/>
                  </w:tcBorders>
                  <w:noWrap w:val="0"/>
                  <w:vAlign w:val="center"/>
                </w:tcPr>
                <w:p w14:paraId="6A5316C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976" w:type="pct"/>
                  <w:tcBorders>
                    <w:tl2br w:val="nil"/>
                    <w:tr2bl w:val="nil"/>
                  </w:tcBorders>
                  <w:noWrap w:val="0"/>
                  <w:vAlign w:val="center"/>
                </w:tcPr>
                <w:p w14:paraId="47083391">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eastAsia="宋体" w:cs="Times New Roman"/>
                      <w:color w:val="auto"/>
                      <w:spacing w:val="0"/>
                      <w:kern w:val="0"/>
                      <w:sz w:val="21"/>
                      <w:szCs w:val="21"/>
                      <w:highlight w:val="none"/>
                      <w:lang w:val="en-US" w:eastAsia="zh-CN" w:bidi="he-IL"/>
                    </w:rPr>
                    <w:t>密闭容器装存</w:t>
                  </w:r>
                </w:p>
              </w:tc>
              <w:tc>
                <w:tcPr>
                  <w:tcW w:w="365" w:type="pct"/>
                  <w:tcBorders>
                    <w:tl2br w:val="nil"/>
                    <w:tr2bl w:val="nil"/>
                  </w:tcBorders>
                  <w:noWrap w:val="0"/>
                  <w:vAlign w:val="center"/>
                </w:tcPr>
                <w:p w14:paraId="0B8BD8A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32</w:t>
                  </w:r>
                </w:p>
              </w:tc>
              <w:tc>
                <w:tcPr>
                  <w:tcW w:w="339" w:type="pct"/>
                  <w:tcBorders>
                    <w:tl2br w:val="nil"/>
                    <w:tr2bl w:val="nil"/>
                  </w:tcBorders>
                  <w:noWrap w:val="0"/>
                  <w:vAlign w:val="center"/>
                </w:tcPr>
                <w:p w14:paraId="768A55A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2.67</w:t>
                  </w:r>
                </w:p>
              </w:tc>
              <w:tc>
                <w:tcPr>
                  <w:tcW w:w="351" w:type="pct"/>
                  <w:tcBorders>
                    <w:tl2br w:val="nil"/>
                    <w:tr2bl w:val="nil"/>
                  </w:tcBorders>
                  <w:noWrap w:val="0"/>
                  <w:vAlign w:val="center"/>
                </w:tcPr>
                <w:p w14:paraId="6C8CE59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不超过一个月</w:t>
                  </w:r>
                </w:p>
              </w:tc>
            </w:tr>
            <w:tr w14:paraId="2EAC8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664F3C3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vMerge w:val="continue"/>
                  <w:tcBorders>
                    <w:tl2br w:val="nil"/>
                    <w:tr2bl w:val="nil"/>
                  </w:tcBorders>
                  <w:noWrap w:val="0"/>
                  <w:vAlign w:val="center"/>
                </w:tcPr>
                <w:p w14:paraId="5705DBC3">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76" w:type="pct"/>
                  <w:tcBorders>
                    <w:tl2br w:val="nil"/>
                    <w:tr2bl w:val="nil"/>
                  </w:tcBorders>
                  <w:noWrap w:val="0"/>
                  <w:vAlign w:val="center"/>
                </w:tcPr>
                <w:p w14:paraId="40CD04E6">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废电路板</w:t>
                  </w:r>
                </w:p>
              </w:tc>
              <w:tc>
                <w:tcPr>
                  <w:tcW w:w="412" w:type="pct"/>
                  <w:tcBorders>
                    <w:tl2br w:val="nil"/>
                    <w:tr2bl w:val="nil"/>
                  </w:tcBorders>
                  <w:noWrap w:val="0"/>
                  <w:vAlign w:val="center"/>
                </w:tcPr>
                <w:p w14:paraId="58A9F54B">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tc>
              <w:tc>
                <w:tcPr>
                  <w:tcW w:w="553" w:type="pct"/>
                  <w:tcBorders>
                    <w:tl2br w:val="nil"/>
                    <w:tr2bl w:val="nil"/>
                  </w:tcBorders>
                  <w:noWrap w:val="0"/>
                  <w:vAlign w:val="center"/>
                </w:tcPr>
                <w:p w14:paraId="55A4C5BD">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900-045-49</w:t>
                  </w:r>
                </w:p>
              </w:tc>
              <w:tc>
                <w:tcPr>
                  <w:tcW w:w="297" w:type="pct"/>
                  <w:vMerge w:val="continue"/>
                  <w:tcBorders>
                    <w:tl2br w:val="nil"/>
                    <w:tr2bl w:val="nil"/>
                  </w:tcBorders>
                  <w:noWrap w:val="0"/>
                  <w:vAlign w:val="center"/>
                </w:tcPr>
                <w:p w14:paraId="76D13FE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246" w:type="pct"/>
                  <w:vMerge w:val="continue"/>
                  <w:tcBorders>
                    <w:tl2br w:val="nil"/>
                    <w:tr2bl w:val="nil"/>
                  </w:tcBorders>
                  <w:noWrap w:val="0"/>
                  <w:vAlign w:val="center"/>
                </w:tcPr>
                <w:p w14:paraId="7F98BEA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976" w:type="pct"/>
                  <w:tcBorders>
                    <w:tl2br w:val="nil"/>
                    <w:tr2bl w:val="nil"/>
                  </w:tcBorders>
                  <w:noWrap w:val="0"/>
                  <w:vAlign w:val="center"/>
                </w:tcPr>
                <w:p w14:paraId="0CE03DB7">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eastAsia="宋体" w:cs="Times New Roman"/>
                      <w:color w:val="auto"/>
                      <w:spacing w:val="0"/>
                      <w:sz w:val="21"/>
                      <w:szCs w:val="21"/>
                    </w:rPr>
                    <w:t>耐酸容器</w:t>
                  </w:r>
                </w:p>
              </w:tc>
              <w:tc>
                <w:tcPr>
                  <w:tcW w:w="365" w:type="pct"/>
                  <w:tcBorders>
                    <w:tl2br w:val="nil"/>
                    <w:tr2bl w:val="nil"/>
                  </w:tcBorders>
                  <w:noWrap w:val="0"/>
                  <w:vAlign w:val="center"/>
                </w:tcPr>
                <w:p w14:paraId="5961AA6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60.7</w:t>
                  </w:r>
                </w:p>
              </w:tc>
              <w:tc>
                <w:tcPr>
                  <w:tcW w:w="339" w:type="pct"/>
                  <w:tcBorders>
                    <w:tl2br w:val="nil"/>
                    <w:tr2bl w:val="nil"/>
                  </w:tcBorders>
                  <w:noWrap w:val="0"/>
                  <w:vAlign w:val="center"/>
                </w:tcPr>
                <w:p w14:paraId="45B9A6C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5.06</w:t>
                  </w:r>
                </w:p>
              </w:tc>
              <w:tc>
                <w:tcPr>
                  <w:tcW w:w="351" w:type="pct"/>
                  <w:tcBorders>
                    <w:tl2br w:val="nil"/>
                    <w:tr2bl w:val="nil"/>
                  </w:tcBorders>
                  <w:noWrap w:val="0"/>
                  <w:vAlign w:val="center"/>
                </w:tcPr>
                <w:p w14:paraId="6412E37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不超过一个月</w:t>
                  </w:r>
                </w:p>
              </w:tc>
            </w:tr>
            <w:tr w14:paraId="74A0A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0EFBBA0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vMerge w:val="continue"/>
                  <w:tcBorders>
                    <w:tl2br w:val="nil"/>
                    <w:tr2bl w:val="nil"/>
                  </w:tcBorders>
                  <w:noWrap w:val="0"/>
                  <w:vAlign w:val="center"/>
                </w:tcPr>
                <w:p w14:paraId="377663C3">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76" w:type="pct"/>
                  <w:tcBorders>
                    <w:tl2br w:val="nil"/>
                    <w:tr2bl w:val="nil"/>
                  </w:tcBorders>
                  <w:noWrap w:val="0"/>
                  <w:vAlign w:val="center"/>
                </w:tcPr>
                <w:p w14:paraId="1ED45834">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废活性炭</w:t>
                  </w:r>
                </w:p>
              </w:tc>
              <w:tc>
                <w:tcPr>
                  <w:tcW w:w="412" w:type="pct"/>
                  <w:tcBorders>
                    <w:tl2br w:val="nil"/>
                    <w:tr2bl w:val="nil"/>
                  </w:tcBorders>
                  <w:noWrap w:val="0"/>
                  <w:vAlign w:val="center"/>
                </w:tcPr>
                <w:p w14:paraId="29CC5BF3">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tc>
              <w:tc>
                <w:tcPr>
                  <w:tcW w:w="553" w:type="pct"/>
                  <w:tcBorders>
                    <w:tl2br w:val="nil"/>
                    <w:tr2bl w:val="nil"/>
                  </w:tcBorders>
                  <w:noWrap w:val="0"/>
                  <w:vAlign w:val="center"/>
                </w:tcPr>
                <w:p w14:paraId="74A59CA8">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900-039-49</w:t>
                  </w:r>
                </w:p>
              </w:tc>
              <w:tc>
                <w:tcPr>
                  <w:tcW w:w="297" w:type="pct"/>
                  <w:vMerge w:val="continue"/>
                  <w:tcBorders>
                    <w:tl2br w:val="nil"/>
                    <w:tr2bl w:val="nil"/>
                  </w:tcBorders>
                  <w:noWrap w:val="0"/>
                  <w:vAlign w:val="center"/>
                </w:tcPr>
                <w:p w14:paraId="3D3F1EF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246" w:type="pct"/>
                  <w:vMerge w:val="continue"/>
                  <w:tcBorders>
                    <w:tl2br w:val="nil"/>
                    <w:tr2bl w:val="nil"/>
                  </w:tcBorders>
                  <w:noWrap w:val="0"/>
                  <w:vAlign w:val="center"/>
                </w:tcPr>
                <w:p w14:paraId="7C9B39E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976" w:type="pct"/>
                  <w:tcBorders>
                    <w:tl2br w:val="nil"/>
                    <w:tr2bl w:val="nil"/>
                  </w:tcBorders>
                  <w:noWrap w:val="0"/>
                  <w:vAlign w:val="center"/>
                </w:tcPr>
                <w:p w14:paraId="2F1113CB">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eastAsia="宋体" w:cs="Times New Roman"/>
                      <w:color w:val="auto"/>
                      <w:spacing w:val="0"/>
                      <w:kern w:val="0"/>
                      <w:sz w:val="21"/>
                      <w:szCs w:val="21"/>
                      <w:highlight w:val="none"/>
                      <w:lang w:val="en-US" w:eastAsia="zh-CN" w:bidi="he-IL"/>
                    </w:rPr>
                    <w:t>密闭容器装存</w:t>
                  </w:r>
                </w:p>
              </w:tc>
              <w:tc>
                <w:tcPr>
                  <w:tcW w:w="365" w:type="pct"/>
                  <w:tcBorders>
                    <w:tl2br w:val="nil"/>
                    <w:tr2bl w:val="nil"/>
                  </w:tcBorders>
                  <w:noWrap w:val="0"/>
                  <w:vAlign w:val="center"/>
                </w:tcPr>
                <w:p w14:paraId="4579911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7.8469</w:t>
                  </w:r>
                </w:p>
              </w:tc>
              <w:tc>
                <w:tcPr>
                  <w:tcW w:w="339" w:type="pct"/>
                  <w:tcBorders>
                    <w:tl2br w:val="nil"/>
                    <w:tr2bl w:val="nil"/>
                  </w:tcBorders>
                  <w:noWrap w:val="0"/>
                  <w:vAlign w:val="center"/>
                </w:tcPr>
                <w:p w14:paraId="79603F5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3.9234</w:t>
                  </w:r>
                </w:p>
              </w:tc>
              <w:tc>
                <w:tcPr>
                  <w:tcW w:w="351" w:type="pct"/>
                  <w:tcBorders>
                    <w:tl2br w:val="nil"/>
                    <w:tr2bl w:val="nil"/>
                  </w:tcBorders>
                  <w:noWrap w:val="0"/>
                  <w:vAlign w:val="center"/>
                </w:tcPr>
                <w:p w14:paraId="01F62DC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不超过半年</w:t>
                  </w:r>
                </w:p>
              </w:tc>
            </w:tr>
            <w:tr w14:paraId="51795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519" w:type="pct"/>
                  <w:vMerge w:val="continue"/>
                  <w:tcBorders>
                    <w:tl2br w:val="nil"/>
                    <w:tr2bl w:val="nil"/>
                  </w:tcBorders>
                  <w:noWrap w:val="0"/>
                  <w:vAlign w:val="center"/>
                </w:tcPr>
                <w:p w14:paraId="52C4863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tcBorders>
                    <w:tl2br w:val="nil"/>
                    <w:tr2bl w:val="nil"/>
                  </w:tcBorders>
                  <w:noWrap w:val="0"/>
                  <w:vAlign w:val="center"/>
                </w:tcPr>
                <w:p w14:paraId="53C0550A">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HW50类</w:t>
                  </w:r>
                </w:p>
                <w:p w14:paraId="24A58BA9">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分区</w:t>
                  </w:r>
                </w:p>
              </w:tc>
              <w:tc>
                <w:tcPr>
                  <w:tcW w:w="476" w:type="pct"/>
                  <w:tcBorders>
                    <w:tl2br w:val="nil"/>
                    <w:tr2bl w:val="nil"/>
                  </w:tcBorders>
                  <w:noWrap w:val="0"/>
                  <w:vAlign w:val="center"/>
                </w:tcPr>
                <w:p w14:paraId="5DD25BA0">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废尾气净化装置及催化剂</w:t>
                  </w:r>
                </w:p>
              </w:tc>
              <w:tc>
                <w:tcPr>
                  <w:tcW w:w="412" w:type="pct"/>
                  <w:tcBorders>
                    <w:tl2br w:val="nil"/>
                    <w:tr2bl w:val="nil"/>
                  </w:tcBorders>
                  <w:noWrap w:val="0"/>
                  <w:vAlign w:val="center"/>
                </w:tcPr>
                <w:p w14:paraId="1DD2F690">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HW50</w:t>
                  </w:r>
                </w:p>
              </w:tc>
              <w:tc>
                <w:tcPr>
                  <w:tcW w:w="553" w:type="pct"/>
                  <w:tcBorders>
                    <w:tl2br w:val="nil"/>
                    <w:tr2bl w:val="nil"/>
                  </w:tcBorders>
                  <w:noWrap w:val="0"/>
                  <w:vAlign w:val="center"/>
                </w:tcPr>
                <w:p w14:paraId="161CA21E">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900-049-50</w:t>
                  </w:r>
                </w:p>
              </w:tc>
              <w:tc>
                <w:tcPr>
                  <w:tcW w:w="297" w:type="pct"/>
                  <w:tcBorders>
                    <w:tl2br w:val="nil"/>
                    <w:tr2bl w:val="nil"/>
                  </w:tcBorders>
                  <w:noWrap w:val="0"/>
                  <w:vAlign w:val="center"/>
                </w:tcPr>
                <w:p w14:paraId="123EEC4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5m</w:t>
                  </w:r>
                  <w:r>
                    <w:rPr>
                      <w:rFonts w:hint="eastAsia" w:ascii="Times New Roman" w:hAnsi="Times New Roman" w:eastAsia="宋体" w:cs="Times New Roman"/>
                      <w:color w:val="auto"/>
                      <w:kern w:val="0"/>
                      <w:sz w:val="21"/>
                      <w:szCs w:val="21"/>
                      <w:vertAlign w:val="superscript"/>
                      <w:lang w:val="en-US" w:eastAsia="zh-CN"/>
                    </w:rPr>
                    <w:t>2</w:t>
                  </w:r>
                </w:p>
              </w:tc>
              <w:tc>
                <w:tcPr>
                  <w:tcW w:w="246" w:type="pct"/>
                  <w:tcBorders>
                    <w:tl2br w:val="nil"/>
                    <w:tr2bl w:val="nil"/>
                  </w:tcBorders>
                  <w:noWrap w:val="0"/>
                  <w:vAlign w:val="center"/>
                </w:tcPr>
                <w:p w14:paraId="3D4A1E7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4t</w:t>
                  </w:r>
                </w:p>
              </w:tc>
              <w:tc>
                <w:tcPr>
                  <w:tcW w:w="976" w:type="pct"/>
                  <w:tcBorders>
                    <w:tl2br w:val="nil"/>
                    <w:tr2bl w:val="nil"/>
                  </w:tcBorders>
                  <w:noWrap w:val="0"/>
                  <w:vAlign w:val="center"/>
                </w:tcPr>
                <w:p w14:paraId="7D927062">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eastAsia="宋体" w:cs="Times New Roman"/>
                      <w:color w:val="auto"/>
                      <w:spacing w:val="0"/>
                      <w:kern w:val="0"/>
                      <w:sz w:val="21"/>
                      <w:szCs w:val="21"/>
                      <w:highlight w:val="none"/>
                      <w:lang w:val="en-US" w:eastAsia="zh-CN" w:bidi="he-IL"/>
                    </w:rPr>
                    <w:t>密闭容器装存</w:t>
                  </w:r>
                </w:p>
              </w:tc>
              <w:tc>
                <w:tcPr>
                  <w:tcW w:w="365" w:type="pct"/>
                  <w:tcBorders>
                    <w:tl2br w:val="nil"/>
                    <w:tr2bl w:val="nil"/>
                  </w:tcBorders>
                  <w:noWrap w:val="0"/>
                  <w:vAlign w:val="center"/>
                </w:tcPr>
                <w:p w14:paraId="071696F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3.9</w:t>
                  </w:r>
                </w:p>
              </w:tc>
              <w:tc>
                <w:tcPr>
                  <w:tcW w:w="339" w:type="pct"/>
                  <w:tcBorders>
                    <w:tl2br w:val="nil"/>
                    <w:tr2bl w:val="nil"/>
                  </w:tcBorders>
                  <w:noWrap w:val="0"/>
                  <w:vAlign w:val="center"/>
                </w:tcPr>
                <w:p w14:paraId="7EE8CCE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1.95</w:t>
                  </w:r>
                </w:p>
              </w:tc>
              <w:tc>
                <w:tcPr>
                  <w:tcW w:w="351" w:type="pct"/>
                  <w:tcBorders>
                    <w:tl2br w:val="nil"/>
                    <w:tr2bl w:val="nil"/>
                  </w:tcBorders>
                  <w:noWrap w:val="0"/>
                  <w:vAlign w:val="center"/>
                </w:tcPr>
                <w:p w14:paraId="13BDD60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不超过半年</w:t>
                  </w:r>
                </w:p>
              </w:tc>
            </w:tr>
            <w:tr w14:paraId="4C4DC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705E92F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tcBorders>
                    <w:tl2br w:val="nil"/>
                    <w:tr2bl w:val="nil"/>
                  </w:tcBorders>
                  <w:noWrap w:val="0"/>
                  <w:vAlign w:val="center"/>
                </w:tcPr>
                <w:p w14:paraId="3D94AAE9">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HW10类分区</w:t>
                  </w:r>
                </w:p>
              </w:tc>
              <w:tc>
                <w:tcPr>
                  <w:tcW w:w="476" w:type="pct"/>
                  <w:tcBorders>
                    <w:tl2br w:val="nil"/>
                    <w:tr2bl w:val="nil"/>
                  </w:tcBorders>
                  <w:noWrap w:val="0"/>
                  <w:vAlign w:val="center"/>
                </w:tcPr>
                <w:p w14:paraId="0F67F855">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电容器</w:t>
                  </w:r>
                </w:p>
              </w:tc>
              <w:tc>
                <w:tcPr>
                  <w:tcW w:w="412" w:type="pct"/>
                  <w:tcBorders>
                    <w:tl2br w:val="nil"/>
                    <w:tr2bl w:val="nil"/>
                  </w:tcBorders>
                  <w:noWrap w:val="0"/>
                  <w:vAlign w:val="center"/>
                </w:tcPr>
                <w:p w14:paraId="138D2C01">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HW10</w:t>
                  </w:r>
                </w:p>
              </w:tc>
              <w:tc>
                <w:tcPr>
                  <w:tcW w:w="553" w:type="pct"/>
                  <w:tcBorders>
                    <w:tl2br w:val="nil"/>
                    <w:tr2bl w:val="nil"/>
                  </w:tcBorders>
                  <w:noWrap w:val="0"/>
                  <w:vAlign w:val="center"/>
                </w:tcPr>
                <w:p w14:paraId="3A69786B">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900-008-10</w:t>
                  </w:r>
                </w:p>
              </w:tc>
              <w:tc>
                <w:tcPr>
                  <w:tcW w:w="297" w:type="pct"/>
                  <w:tcBorders>
                    <w:tl2br w:val="nil"/>
                    <w:tr2bl w:val="nil"/>
                  </w:tcBorders>
                  <w:noWrap w:val="0"/>
                  <w:vAlign w:val="center"/>
                </w:tcPr>
                <w:p w14:paraId="43350D8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5m</w:t>
                  </w:r>
                  <w:r>
                    <w:rPr>
                      <w:rFonts w:hint="eastAsia" w:ascii="Times New Roman" w:hAnsi="Times New Roman" w:eastAsia="宋体" w:cs="Times New Roman"/>
                      <w:color w:val="auto"/>
                      <w:kern w:val="0"/>
                      <w:sz w:val="21"/>
                      <w:szCs w:val="21"/>
                      <w:vertAlign w:val="superscript"/>
                      <w:lang w:val="en-US" w:eastAsia="zh-CN"/>
                    </w:rPr>
                    <w:t>2</w:t>
                  </w:r>
                </w:p>
              </w:tc>
              <w:tc>
                <w:tcPr>
                  <w:tcW w:w="246" w:type="pct"/>
                  <w:tcBorders>
                    <w:tl2br w:val="nil"/>
                    <w:tr2bl w:val="nil"/>
                  </w:tcBorders>
                  <w:noWrap w:val="0"/>
                  <w:vAlign w:val="center"/>
                </w:tcPr>
                <w:p w14:paraId="7BD69B3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4t</w:t>
                  </w:r>
                </w:p>
              </w:tc>
              <w:tc>
                <w:tcPr>
                  <w:tcW w:w="976" w:type="pct"/>
                  <w:tcBorders>
                    <w:tl2br w:val="nil"/>
                    <w:tr2bl w:val="nil"/>
                  </w:tcBorders>
                  <w:noWrap w:val="0"/>
                  <w:vAlign w:val="center"/>
                </w:tcPr>
                <w:p w14:paraId="276FBE6D">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eastAsia="宋体" w:cs="Times New Roman"/>
                      <w:color w:val="auto"/>
                      <w:spacing w:val="0"/>
                      <w:sz w:val="21"/>
                      <w:szCs w:val="21"/>
                    </w:rPr>
                    <w:t>耐酸容器</w:t>
                  </w:r>
                </w:p>
              </w:tc>
              <w:tc>
                <w:tcPr>
                  <w:tcW w:w="365" w:type="pct"/>
                  <w:tcBorders>
                    <w:tl2br w:val="nil"/>
                    <w:tr2bl w:val="nil"/>
                  </w:tcBorders>
                  <w:noWrap w:val="0"/>
                  <w:vAlign w:val="center"/>
                </w:tcPr>
                <w:p w14:paraId="3D59183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4.74</w:t>
                  </w:r>
                </w:p>
              </w:tc>
              <w:tc>
                <w:tcPr>
                  <w:tcW w:w="339" w:type="pct"/>
                  <w:tcBorders>
                    <w:tl2br w:val="nil"/>
                    <w:tr2bl w:val="nil"/>
                  </w:tcBorders>
                  <w:noWrap w:val="0"/>
                  <w:vAlign w:val="center"/>
                </w:tcPr>
                <w:p w14:paraId="7D20A5A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2.37</w:t>
                  </w:r>
                </w:p>
              </w:tc>
              <w:tc>
                <w:tcPr>
                  <w:tcW w:w="351" w:type="pct"/>
                  <w:tcBorders>
                    <w:tl2br w:val="nil"/>
                    <w:tr2bl w:val="nil"/>
                  </w:tcBorders>
                  <w:noWrap w:val="0"/>
                  <w:vAlign w:val="center"/>
                </w:tcPr>
                <w:p w14:paraId="3A27C25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不超过半年</w:t>
                  </w:r>
                </w:p>
              </w:tc>
            </w:tr>
            <w:tr w14:paraId="68C8D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19" w:type="pct"/>
                  <w:vMerge w:val="continue"/>
                  <w:tcBorders>
                    <w:tl2br w:val="nil"/>
                    <w:tr2bl w:val="nil"/>
                  </w:tcBorders>
                  <w:noWrap w:val="0"/>
                  <w:vAlign w:val="center"/>
                </w:tcPr>
                <w:p w14:paraId="4E1C123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tcBorders>
                    <w:tl2br w:val="nil"/>
                    <w:tr2bl w:val="nil"/>
                  </w:tcBorders>
                  <w:noWrap w:val="0"/>
                  <w:vAlign w:val="center"/>
                </w:tcPr>
                <w:p w14:paraId="4852C3C9">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WHW29类分区</w:t>
                  </w:r>
                </w:p>
              </w:tc>
              <w:tc>
                <w:tcPr>
                  <w:tcW w:w="476" w:type="pct"/>
                  <w:tcBorders>
                    <w:tl2br w:val="nil"/>
                    <w:tr2bl w:val="nil"/>
                  </w:tcBorders>
                  <w:noWrap w:val="0"/>
                  <w:vAlign w:val="center"/>
                </w:tcPr>
                <w:p w14:paraId="05888D1F">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Cs w:val="21"/>
                      <w:highlight w:val="none"/>
                    </w:rPr>
                    <w:t>含汞部件</w:t>
                  </w:r>
                </w:p>
              </w:tc>
              <w:tc>
                <w:tcPr>
                  <w:tcW w:w="412" w:type="pct"/>
                  <w:tcBorders>
                    <w:tl2br w:val="nil"/>
                    <w:tr2bl w:val="nil"/>
                  </w:tcBorders>
                  <w:noWrap w:val="0"/>
                  <w:vAlign w:val="center"/>
                </w:tcPr>
                <w:p w14:paraId="427F1198">
                  <w:pPr>
                    <w:keepNext w:val="0"/>
                    <w:keepLines w:val="0"/>
                    <w:pageBreakBefore w:val="0"/>
                    <w:widowControl w:val="0"/>
                    <w:kinsoku/>
                    <w:wordWrap/>
                    <w:overflow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Cs w:val="21"/>
                      <w:highlight w:val="none"/>
                    </w:rPr>
                    <w:t>HW</w:t>
                  </w:r>
                  <w:r>
                    <w:rPr>
                      <w:rFonts w:hint="eastAsia" w:ascii="Times New Roman" w:hAnsi="Times New Roman" w:eastAsia="宋体"/>
                      <w:color w:val="auto"/>
                      <w:szCs w:val="21"/>
                      <w:highlight w:val="none"/>
                      <w:lang w:val="en-US" w:eastAsia="zh-CN"/>
                    </w:rPr>
                    <w:t>29</w:t>
                  </w:r>
                </w:p>
              </w:tc>
              <w:tc>
                <w:tcPr>
                  <w:tcW w:w="553" w:type="pct"/>
                  <w:tcBorders>
                    <w:tl2br w:val="nil"/>
                    <w:tr2bl w:val="nil"/>
                  </w:tcBorders>
                  <w:noWrap w:val="0"/>
                  <w:vAlign w:val="center"/>
                </w:tcPr>
                <w:p w14:paraId="4FF42AA6">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900-024-29</w:t>
                  </w:r>
                </w:p>
              </w:tc>
              <w:tc>
                <w:tcPr>
                  <w:tcW w:w="297" w:type="pct"/>
                  <w:tcBorders>
                    <w:tl2br w:val="nil"/>
                    <w:tr2bl w:val="nil"/>
                  </w:tcBorders>
                  <w:noWrap w:val="0"/>
                  <w:vAlign w:val="center"/>
                </w:tcPr>
                <w:p w14:paraId="061C411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5m</w:t>
                  </w:r>
                  <w:r>
                    <w:rPr>
                      <w:rFonts w:hint="eastAsia" w:ascii="Times New Roman" w:hAnsi="Times New Roman" w:eastAsia="宋体" w:cs="Times New Roman"/>
                      <w:color w:val="auto"/>
                      <w:kern w:val="0"/>
                      <w:sz w:val="21"/>
                      <w:szCs w:val="21"/>
                      <w:vertAlign w:val="superscript"/>
                      <w:lang w:val="en-US" w:eastAsia="zh-CN"/>
                    </w:rPr>
                    <w:t>2</w:t>
                  </w:r>
                </w:p>
              </w:tc>
              <w:tc>
                <w:tcPr>
                  <w:tcW w:w="246" w:type="pct"/>
                  <w:tcBorders>
                    <w:tl2br w:val="nil"/>
                    <w:tr2bl w:val="nil"/>
                  </w:tcBorders>
                  <w:noWrap w:val="0"/>
                  <w:vAlign w:val="center"/>
                </w:tcPr>
                <w:p w14:paraId="5599693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4t</w:t>
                  </w:r>
                </w:p>
              </w:tc>
              <w:tc>
                <w:tcPr>
                  <w:tcW w:w="976" w:type="pct"/>
                  <w:tcBorders>
                    <w:tl2br w:val="nil"/>
                    <w:tr2bl w:val="nil"/>
                  </w:tcBorders>
                  <w:noWrap w:val="0"/>
                  <w:vAlign w:val="center"/>
                </w:tcPr>
                <w:p w14:paraId="302ABFBC">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eastAsia="宋体" w:cs="Times New Roman"/>
                      <w:color w:val="auto"/>
                      <w:spacing w:val="0"/>
                      <w:kern w:val="0"/>
                      <w:sz w:val="21"/>
                      <w:szCs w:val="21"/>
                      <w:highlight w:val="none"/>
                      <w:lang w:val="en-US" w:eastAsia="zh-CN" w:bidi="he-IL"/>
                    </w:rPr>
                    <w:t>密闭容器装存</w:t>
                  </w:r>
                </w:p>
              </w:tc>
              <w:tc>
                <w:tcPr>
                  <w:tcW w:w="365" w:type="pct"/>
                  <w:tcBorders>
                    <w:tl2br w:val="nil"/>
                    <w:tr2bl w:val="nil"/>
                  </w:tcBorders>
                  <w:noWrap w:val="0"/>
                  <w:vAlign w:val="center"/>
                </w:tcPr>
                <w:p w14:paraId="4AE440A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2.68</w:t>
                  </w:r>
                </w:p>
              </w:tc>
              <w:tc>
                <w:tcPr>
                  <w:tcW w:w="339" w:type="pct"/>
                  <w:tcBorders>
                    <w:tl2br w:val="nil"/>
                    <w:tr2bl w:val="nil"/>
                  </w:tcBorders>
                  <w:noWrap w:val="0"/>
                  <w:vAlign w:val="center"/>
                </w:tcPr>
                <w:p w14:paraId="01905DF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1.34</w:t>
                  </w:r>
                </w:p>
              </w:tc>
              <w:tc>
                <w:tcPr>
                  <w:tcW w:w="351" w:type="pct"/>
                  <w:tcBorders>
                    <w:tl2br w:val="nil"/>
                    <w:tr2bl w:val="nil"/>
                  </w:tcBorders>
                  <w:noWrap w:val="0"/>
                  <w:vAlign w:val="center"/>
                </w:tcPr>
                <w:p w14:paraId="1FCEE08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不超过半年</w:t>
                  </w:r>
                </w:p>
              </w:tc>
            </w:tr>
            <w:tr w14:paraId="57B23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19" w:type="pct"/>
                  <w:vMerge w:val="continue"/>
                  <w:tcBorders>
                    <w:tl2br w:val="nil"/>
                    <w:tr2bl w:val="nil"/>
                  </w:tcBorders>
                  <w:noWrap w:val="0"/>
                  <w:vAlign w:val="center"/>
                </w:tcPr>
                <w:p w14:paraId="7D09FCB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p>
              </w:tc>
              <w:tc>
                <w:tcPr>
                  <w:tcW w:w="458" w:type="pct"/>
                  <w:tcBorders>
                    <w:tl2br w:val="nil"/>
                    <w:tr2bl w:val="nil"/>
                  </w:tcBorders>
                  <w:noWrap w:val="0"/>
                  <w:vAlign w:val="center"/>
                </w:tcPr>
                <w:p w14:paraId="113981FD">
                  <w:pPr>
                    <w:pStyle w:val="2"/>
                    <w:keepNext w:val="0"/>
                    <w:keepLines w:val="0"/>
                    <w:pageBreakBefore w:val="0"/>
                    <w:widowControl w:val="0"/>
                    <w:kinsoku/>
                    <w:wordWrap/>
                    <w:overflowPunct/>
                    <w:bidi w:val="0"/>
                    <w:adjustRightIn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HW36类分区</w:t>
                  </w:r>
                </w:p>
              </w:tc>
              <w:tc>
                <w:tcPr>
                  <w:tcW w:w="476" w:type="pct"/>
                  <w:tcBorders>
                    <w:tl2br w:val="nil"/>
                    <w:tr2bl w:val="nil"/>
                  </w:tcBorders>
                  <w:noWrap w:val="0"/>
                  <w:vAlign w:val="center"/>
                </w:tcPr>
                <w:p w14:paraId="0689AC5E">
                  <w:pPr>
                    <w:keepNext w:val="0"/>
                    <w:keepLines w:val="0"/>
                    <w:pageBreakBefore w:val="0"/>
                    <w:widowControl w:val="0"/>
                    <w:kinsoku/>
                    <w:wordWrap/>
                    <w:overflowPunct/>
                    <w:topLinePunct/>
                    <w:autoSpaceDE/>
                    <w:autoSpaceDN/>
                    <w:bidi w:val="0"/>
                    <w:adjustRightInd w:val="0"/>
                    <w:snapToGrid w:val="0"/>
                    <w:spacing w:beforeAutospacing="0" w:afterAutospacing="0" w:line="340" w:lineRule="exact"/>
                    <w:ind w:lef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废石棉刹车片</w:t>
                  </w:r>
                </w:p>
              </w:tc>
              <w:tc>
                <w:tcPr>
                  <w:tcW w:w="412" w:type="pct"/>
                  <w:tcBorders>
                    <w:tl2br w:val="nil"/>
                    <w:tr2bl w:val="nil"/>
                  </w:tcBorders>
                  <w:noWrap w:val="0"/>
                  <w:vAlign w:val="center"/>
                </w:tcPr>
                <w:p w14:paraId="23BF8079">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HW36</w:t>
                  </w:r>
                </w:p>
              </w:tc>
              <w:tc>
                <w:tcPr>
                  <w:tcW w:w="553" w:type="pct"/>
                  <w:tcBorders>
                    <w:tl2br w:val="nil"/>
                    <w:tr2bl w:val="nil"/>
                  </w:tcBorders>
                  <w:noWrap w:val="0"/>
                  <w:vAlign w:val="center"/>
                </w:tcPr>
                <w:p w14:paraId="582879F0">
                  <w:pPr>
                    <w:pStyle w:val="6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900-032-36</w:t>
                  </w:r>
                </w:p>
              </w:tc>
              <w:tc>
                <w:tcPr>
                  <w:tcW w:w="297" w:type="pct"/>
                  <w:tcBorders>
                    <w:tl2br w:val="nil"/>
                    <w:tr2bl w:val="nil"/>
                  </w:tcBorders>
                  <w:noWrap w:val="0"/>
                  <w:vAlign w:val="center"/>
                </w:tcPr>
                <w:p w14:paraId="4CF0DDA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15m</w:t>
                  </w:r>
                  <w:r>
                    <w:rPr>
                      <w:rFonts w:hint="eastAsia" w:ascii="Times New Roman" w:hAnsi="Times New Roman" w:eastAsia="宋体" w:cs="Times New Roman"/>
                      <w:color w:val="auto"/>
                      <w:kern w:val="0"/>
                      <w:sz w:val="21"/>
                      <w:szCs w:val="21"/>
                      <w:vertAlign w:val="superscript"/>
                      <w:lang w:val="en-US" w:eastAsia="zh-CN"/>
                    </w:rPr>
                    <w:t>2</w:t>
                  </w:r>
                </w:p>
              </w:tc>
              <w:tc>
                <w:tcPr>
                  <w:tcW w:w="246" w:type="pct"/>
                  <w:tcBorders>
                    <w:tl2br w:val="nil"/>
                    <w:tr2bl w:val="nil"/>
                  </w:tcBorders>
                  <w:noWrap w:val="0"/>
                  <w:vAlign w:val="center"/>
                </w:tcPr>
                <w:p w14:paraId="36F75C1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10t</w:t>
                  </w:r>
                </w:p>
              </w:tc>
              <w:tc>
                <w:tcPr>
                  <w:tcW w:w="976" w:type="pct"/>
                  <w:tcBorders>
                    <w:tl2br w:val="nil"/>
                    <w:tr2bl w:val="nil"/>
                  </w:tcBorders>
                  <w:noWrap w:val="0"/>
                  <w:vAlign w:val="center"/>
                </w:tcPr>
                <w:p w14:paraId="4716E5D9">
                  <w:pPr>
                    <w:pStyle w:val="25"/>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eastAsia="宋体" w:cs="Times New Roman"/>
                      <w:color w:val="auto"/>
                      <w:spacing w:val="0"/>
                      <w:kern w:val="0"/>
                      <w:sz w:val="21"/>
                      <w:szCs w:val="21"/>
                      <w:highlight w:val="none"/>
                      <w:lang w:val="en-US" w:eastAsia="zh-CN" w:bidi="he-IL"/>
                    </w:rPr>
                    <w:t>密闭容器装存</w:t>
                  </w:r>
                </w:p>
              </w:tc>
              <w:tc>
                <w:tcPr>
                  <w:tcW w:w="365" w:type="pct"/>
                  <w:tcBorders>
                    <w:tl2br w:val="nil"/>
                    <w:tr2bl w:val="nil"/>
                  </w:tcBorders>
                  <w:noWrap w:val="0"/>
                  <w:vAlign w:val="center"/>
                </w:tcPr>
                <w:p w14:paraId="348CB0A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47</w:t>
                  </w:r>
                </w:p>
              </w:tc>
              <w:tc>
                <w:tcPr>
                  <w:tcW w:w="339" w:type="pct"/>
                  <w:tcBorders>
                    <w:tl2br w:val="nil"/>
                    <w:tr2bl w:val="nil"/>
                  </w:tcBorders>
                  <w:noWrap w:val="0"/>
                  <w:vAlign w:val="center"/>
                </w:tcPr>
                <w:p w14:paraId="3CEEB7E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3.917</w:t>
                  </w:r>
                </w:p>
              </w:tc>
              <w:tc>
                <w:tcPr>
                  <w:tcW w:w="351" w:type="pct"/>
                  <w:tcBorders>
                    <w:tl2br w:val="nil"/>
                    <w:tr2bl w:val="nil"/>
                  </w:tcBorders>
                  <w:noWrap w:val="0"/>
                  <w:vAlign w:val="center"/>
                </w:tcPr>
                <w:p w14:paraId="1396BD3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不超过一个月</w:t>
                  </w:r>
                </w:p>
              </w:tc>
            </w:tr>
          </w:tbl>
          <w:p w14:paraId="4359BA9C">
            <w:pPr>
              <w:pStyle w:val="17"/>
              <w:jc w:val="both"/>
              <w:outlineLvl w:val="0"/>
              <w:rPr>
                <w:rFonts w:hint="default" w:ascii="Times New Roman" w:hAnsi="Times New Roman" w:eastAsia="黑体" w:cs="Times New Roman"/>
                <w:snapToGrid w:val="0"/>
                <w:color w:val="auto"/>
                <w:sz w:val="30"/>
                <w:szCs w:val="30"/>
                <w:vertAlign w:val="baseline"/>
              </w:rPr>
            </w:pPr>
          </w:p>
        </w:tc>
      </w:tr>
    </w:tbl>
    <w:p w14:paraId="0546BDB4">
      <w:pPr>
        <w:pStyle w:val="17"/>
        <w:jc w:val="both"/>
        <w:outlineLvl w:val="0"/>
        <w:rPr>
          <w:rFonts w:hint="default" w:ascii="Times New Roman" w:hAnsi="Times New Roman" w:eastAsia="黑体" w:cs="Times New Roman"/>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263"/>
      </w:tblGrid>
      <w:tr w14:paraId="4A74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5" w:hRule="atLeast"/>
          <w:jc w:val="center"/>
        </w:trPr>
        <w:tc>
          <w:tcPr>
            <w:tcW w:w="680" w:type="dxa"/>
            <w:noWrap w:val="0"/>
            <w:vAlign w:val="top"/>
          </w:tcPr>
          <w:p w14:paraId="2E76674A">
            <w:pPr>
              <w:pStyle w:val="17"/>
              <w:jc w:val="both"/>
              <w:outlineLvl w:val="0"/>
              <w:rPr>
                <w:rFonts w:hint="default" w:ascii="Times New Roman" w:hAnsi="Times New Roman" w:eastAsia="黑体" w:cs="Times New Roman"/>
                <w:snapToGrid w:val="0"/>
                <w:color w:val="auto"/>
                <w:sz w:val="30"/>
                <w:szCs w:val="30"/>
                <w:vertAlign w:val="baseline"/>
              </w:rPr>
            </w:pPr>
          </w:p>
        </w:tc>
        <w:tc>
          <w:tcPr>
            <w:tcW w:w="8263" w:type="dxa"/>
            <w:noWrap w:val="0"/>
            <w:vAlign w:val="top"/>
          </w:tcPr>
          <w:p w14:paraId="3C6528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委托利用或者处置的环境影响分析</w:t>
            </w:r>
          </w:p>
          <w:p w14:paraId="5CF86B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本项目不具备危险废物利用或处置能力，项目危险废物定期委托有资质单位统一转移处置，危险废物运输过程也全部委托有资质单位统一进行。</w:t>
            </w:r>
          </w:p>
          <w:p w14:paraId="61F1B6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固体废物运输过程的环境影响分析</w:t>
            </w:r>
          </w:p>
          <w:p w14:paraId="3146E9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本项目危险废物</w:t>
            </w:r>
            <w:r>
              <w:rPr>
                <w:rFonts w:hint="eastAsia" w:ascii="Times New Roman" w:hAnsi="Times New Roman" w:eastAsia="宋体" w:cs="Times New Roman"/>
                <w:color w:val="auto"/>
                <w:sz w:val="24"/>
                <w:szCs w:val="24"/>
                <w:highlight w:val="none"/>
                <w:lang w:val="en-US" w:eastAsia="zh-CN"/>
              </w:rPr>
              <w:t>密闭袋装后</w:t>
            </w:r>
            <w:r>
              <w:rPr>
                <w:rFonts w:hint="default" w:ascii="Times New Roman" w:hAnsi="Times New Roman" w:eastAsia="宋体" w:cs="Times New Roman"/>
                <w:color w:val="auto"/>
                <w:sz w:val="24"/>
                <w:szCs w:val="24"/>
                <w:highlight w:val="none"/>
              </w:rPr>
              <w:t>委托有资质的单位处置；</w:t>
            </w:r>
            <w:r>
              <w:rPr>
                <w:rFonts w:hint="eastAsia" w:ascii="Times New Roman" w:hAnsi="Times New Roman" w:eastAsia="宋体" w:cs="Times New Roman"/>
                <w:color w:val="auto"/>
                <w:sz w:val="24"/>
                <w:szCs w:val="24"/>
                <w:highlight w:val="none"/>
                <w:lang w:eastAsia="zh-CN"/>
              </w:rPr>
              <w:t>项目危险废物运输委托有资质单位进行</w:t>
            </w:r>
            <w:r>
              <w:rPr>
                <w:rFonts w:hint="default" w:ascii="Times New Roman" w:hAnsi="Times New Roman" w:eastAsia="宋体" w:cs="Times New Roman"/>
                <w:color w:val="auto"/>
                <w:sz w:val="24"/>
                <w:szCs w:val="24"/>
                <w:highlight w:val="none"/>
                <w:lang w:val="en-US" w:eastAsia="zh-CN"/>
              </w:rPr>
              <w:t>统一进行</w:t>
            </w:r>
            <w:r>
              <w:rPr>
                <w:rFonts w:hint="default" w:ascii="Times New Roman" w:hAnsi="Times New Roman" w:eastAsia="宋体" w:cs="Times New Roman"/>
                <w:color w:val="auto"/>
                <w:sz w:val="24"/>
                <w:szCs w:val="24"/>
                <w:highlight w:val="none"/>
              </w:rPr>
              <w:t>。</w:t>
            </w:r>
          </w:p>
          <w:p w14:paraId="6349A4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（4）危险废物管理要求</w:t>
            </w:r>
          </w:p>
          <w:p w14:paraId="7438D6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产生危险废物的单位应按照国家有关规定通过生态环境部建设运行的全国固体废物管理信息系统（以下简称国家固废信息系统）定期申报危险废物的种类、产生量、流向、贮存、处置等有关资料。使用国家固废信息系统建立危险废物电子管理台账的单位，对自动生成的申报报告确认并在线提交后，完成申报。</w:t>
            </w:r>
          </w:p>
          <w:p w14:paraId="5E8FB1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②产生危险废物的单位已经取得排污许可证的，执行排污许可管理制度的规定。</w:t>
            </w:r>
          </w:p>
          <w:p w14:paraId="50C826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③从事收集、贮存、利用、处置危险废物经营活动的单位，贮存危险废物不得超过一年；确需延长期限的，应当报经颁发许可证的生态环境主管部门批准。</w:t>
            </w:r>
          </w:p>
          <w:p w14:paraId="613394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④对危险废物的容器和包装物以及收集、贮存、运输、利用、处置危险废物的设施、场所，应当按照规定设置危险废物识别标志。</w:t>
            </w:r>
          </w:p>
          <w:p w14:paraId="2A3C9F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⑤应用电子标签、电子管理台账等信息化措施，领取电子标签、建立电子管理台账，转移的危险废物包装容器张贴电子标签的，与电子转移联单关联，使用国家固废系统及其APP等实时记录转移轨迹。</w:t>
            </w:r>
          </w:p>
          <w:p w14:paraId="73F70D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（5）危险废物转移要求</w:t>
            </w:r>
          </w:p>
          <w:p w14:paraId="525F83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根据《危险废物转移管理办法》（2021年11月30日生态环境部、公安部、交通运输部令第23号公布，自2022年1月1日起施行），危险废物转移过程应满足以下要求：</w:t>
            </w:r>
          </w:p>
          <w:p w14:paraId="381EAB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转移危险废物的单位，应当通过国家固废信息系统填写、运行危险废物电子转移联单。危险废物转移联单由生态环境部通过国家固废信息系统统一编号，联单中危险废物相关信息与在国家固废信息系统中备案的危险废物管理计划关联。危险废物转移轨迹应通过国家固废信息系统记录，并与危险废物电子转移联单关联。</w:t>
            </w:r>
          </w:p>
          <w:p w14:paraId="1A79C7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移出人每转移一车（船或者其他运输工具）次同类危险废物，应当填写运行一份危险废物转移联单；每车（船或者其他运输工具）一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6B5324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③采用联运方式转移危险废物的，前一承运人和后一承运人应当明确运输交接的时间和地点。后一承运人应当核实危险废物转移联单确定的移出人信息、前一承运人信息及危险废物相关信息。</w:t>
            </w:r>
          </w:p>
          <w:p w14:paraId="34DF82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接受人应当对运抵的危险废物进行核实验收，并在接收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14:paraId="6C5441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⑤危险废物电子转移联单数据应当在信息系统中至少保存十年。因特殊原因无法运行危险废物电子转移联单的，可以先使用纸质转移联单，并于转移活动完成后十个工作日内在信息系统中补录电子转移联单。</w:t>
            </w:r>
          </w:p>
          <w:p w14:paraId="40D33D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综述，本项目固体废物</w:t>
            </w:r>
            <w:r>
              <w:rPr>
                <w:rFonts w:hint="eastAsia" w:ascii="Times New Roman" w:hAnsi="Times New Roman" w:eastAsia="宋体" w:cs="Times New Roman"/>
                <w:color w:val="auto"/>
                <w:sz w:val="24"/>
                <w:szCs w:val="24"/>
                <w:highlight w:val="none"/>
                <w:lang w:val="en-US" w:eastAsia="zh-CN"/>
              </w:rPr>
              <w:t>采取以上处置处理措施后，正常情况下，不会对周边环境造成二次污染</w:t>
            </w:r>
            <w:r>
              <w:rPr>
                <w:rFonts w:hint="default" w:ascii="Times New Roman" w:hAnsi="Times New Roman" w:eastAsia="宋体" w:cs="Times New Roman"/>
                <w:color w:val="auto"/>
                <w:sz w:val="24"/>
                <w:szCs w:val="24"/>
                <w:highlight w:val="none"/>
                <w:lang w:val="en-US" w:eastAsia="zh-CN"/>
              </w:rPr>
              <w:t>。</w:t>
            </w:r>
          </w:p>
          <w:p w14:paraId="041633FA">
            <w:pPr>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4.5.2.3</w:t>
            </w:r>
            <w:r>
              <w:rPr>
                <w:rFonts w:hint="default" w:ascii="Times New Roman" w:hAnsi="Times New Roman" w:eastAsia="宋体" w:cs="Times New Roman"/>
                <w:b/>
                <w:bCs/>
                <w:color w:val="auto"/>
                <w:sz w:val="24"/>
                <w:szCs w:val="24"/>
                <w:highlight w:val="none"/>
              </w:rPr>
              <w:t>生活垃圾</w:t>
            </w:r>
          </w:p>
          <w:p w14:paraId="098C4C4C">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项目职工产生的生活垃圾应采取分类收集，并委托环卫部门统一外运处置。综述，本项目固体废物</w:t>
            </w:r>
            <w:r>
              <w:rPr>
                <w:rFonts w:hint="eastAsia" w:ascii="Times New Roman" w:hAnsi="Times New Roman" w:eastAsia="宋体" w:cs="Times New Roman"/>
                <w:color w:val="auto"/>
                <w:sz w:val="24"/>
                <w:szCs w:val="24"/>
                <w:highlight w:val="none"/>
                <w:lang w:eastAsia="zh-CN"/>
              </w:rPr>
              <w:t>采取以上处置处理措施后，正常情况下，不会对周边环境造成二次污染</w:t>
            </w:r>
            <w:r>
              <w:rPr>
                <w:rFonts w:hint="default" w:ascii="Times New Roman" w:hAnsi="Times New Roman" w:eastAsia="宋体" w:cs="Times New Roman"/>
                <w:color w:val="auto"/>
                <w:sz w:val="24"/>
                <w:szCs w:val="24"/>
                <w:highlight w:val="none"/>
              </w:rPr>
              <w:t>。</w:t>
            </w:r>
          </w:p>
          <w:p w14:paraId="1126B41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Style w:val="68"/>
                <w:rFonts w:hint="default" w:ascii="Times New Roman" w:hAnsi="Times New Roman" w:eastAsia="宋体" w:cs="Times New Roman"/>
                <w:b/>
                <w:bCs/>
                <w:color w:val="auto"/>
                <w:sz w:val="28"/>
                <w:szCs w:val="28"/>
                <w:highlight w:val="none"/>
                <w:lang w:eastAsia="zh-CN"/>
              </w:rPr>
            </w:pPr>
            <w:r>
              <w:rPr>
                <w:rStyle w:val="68"/>
                <w:rFonts w:hint="default" w:ascii="Times New Roman" w:hAnsi="Times New Roman" w:eastAsia="宋体" w:cs="Times New Roman"/>
                <w:b/>
                <w:bCs/>
                <w:color w:val="auto"/>
                <w:sz w:val="28"/>
                <w:szCs w:val="28"/>
                <w:highlight w:val="none"/>
                <w:lang w:val="en-US" w:eastAsia="zh-CN"/>
              </w:rPr>
              <w:t>4.</w:t>
            </w:r>
            <w:r>
              <w:rPr>
                <w:rStyle w:val="68"/>
                <w:rFonts w:hint="eastAsia" w:ascii="Times New Roman" w:hAnsi="Times New Roman" w:eastAsia="宋体" w:cs="Times New Roman"/>
                <w:b/>
                <w:bCs/>
                <w:color w:val="auto"/>
                <w:sz w:val="28"/>
                <w:szCs w:val="28"/>
                <w:highlight w:val="none"/>
                <w:lang w:val="en-US" w:eastAsia="zh-CN"/>
              </w:rPr>
              <w:t>6</w:t>
            </w:r>
            <w:r>
              <w:rPr>
                <w:rStyle w:val="68"/>
                <w:rFonts w:hint="default" w:ascii="Times New Roman" w:hAnsi="Times New Roman" w:eastAsia="宋体" w:cs="Times New Roman"/>
                <w:b/>
                <w:bCs/>
                <w:color w:val="auto"/>
                <w:sz w:val="28"/>
                <w:szCs w:val="28"/>
                <w:highlight w:val="none"/>
                <w:lang w:eastAsia="zh-CN"/>
              </w:rPr>
              <w:t>地下水、土壤环境影响和保护措施</w:t>
            </w:r>
          </w:p>
          <w:p w14:paraId="4E5EE925">
            <w:pPr>
              <w:spacing w:line="360" w:lineRule="auto"/>
              <w:rPr>
                <w:rFonts w:hint="eastAsia" w:ascii="Times New Roman" w:hAnsi="Times New Roman"/>
                <w:b/>
                <w:bCs/>
                <w:color w:val="auto"/>
                <w:sz w:val="24"/>
              </w:rPr>
            </w:pPr>
            <w:r>
              <w:rPr>
                <w:rFonts w:hint="eastAsia" w:ascii="Times New Roman" w:hAnsi="Times New Roman"/>
                <w:b/>
                <w:bCs/>
                <w:color w:val="auto"/>
                <w:sz w:val="24"/>
              </w:rPr>
              <w:t>4.</w:t>
            </w:r>
            <w:r>
              <w:rPr>
                <w:rFonts w:hint="eastAsia" w:ascii="Times New Roman" w:hAnsi="Times New Roman"/>
                <w:b/>
                <w:bCs/>
                <w:color w:val="auto"/>
                <w:sz w:val="24"/>
                <w:lang w:val="en-US" w:eastAsia="zh-CN"/>
              </w:rPr>
              <w:t>6</w:t>
            </w:r>
            <w:r>
              <w:rPr>
                <w:rFonts w:hint="eastAsia" w:ascii="Times New Roman" w:hAnsi="Times New Roman"/>
                <w:b/>
                <w:bCs/>
                <w:color w:val="auto"/>
                <w:sz w:val="24"/>
              </w:rPr>
              <w:t xml:space="preserve">.1 </w:t>
            </w:r>
            <w:r>
              <w:rPr>
                <w:rFonts w:ascii="Times New Roman" w:hAnsi="Times New Roman"/>
                <w:b/>
                <w:bCs/>
                <w:color w:val="auto"/>
                <w:sz w:val="24"/>
              </w:rPr>
              <w:t>地下水、土壤环境影响</w:t>
            </w:r>
            <w:r>
              <w:rPr>
                <w:rFonts w:hint="eastAsia" w:ascii="Times New Roman" w:hAnsi="Times New Roman"/>
                <w:b/>
                <w:bCs/>
                <w:color w:val="auto"/>
                <w:sz w:val="24"/>
              </w:rPr>
              <w:t>分析</w:t>
            </w:r>
          </w:p>
          <w:p w14:paraId="778CB497">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地下水环境影响分析</w:t>
            </w:r>
          </w:p>
          <w:p w14:paraId="52717140">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本项目</w:t>
            </w:r>
            <w:r>
              <w:rPr>
                <w:rFonts w:hint="eastAsia" w:ascii="Times New Roman" w:hAnsi="Times New Roman" w:eastAsia="宋体" w:cs="Times New Roman"/>
                <w:color w:val="auto"/>
                <w:sz w:val="24"/>
                <w:lang w:eastAsia="zh-CN"/>
              </w:rPr>
              <w:t>清洁废水、作业区露天区域初期雨水经处理后全部回用于场地洒水清扫、停车区冲洗，不外排；</w:t>
            </w:r>
            <w:r>
              <w:rPr>
                <w:rFonts w:hint="eastAsia" w:ascii="Times New Roman" w:hAnsi="Times New Roman" w:eastAsia="宋体" w:cs="Times New Roman"/>
                <w:color w:val="auto"/>
                <w:sz w:val="24"/>
                <w:lang w:val="en-US" w:eastAsia="zh-CN"/>
              </w:rPr>
              <w:t>生活污水经</w:t>
            </w:r>
            <w:r>
              <w:rPr>
                <w:rFonts w:hint="eastAsia" w:ascii="Times New Roman" w:hAnsi="Times New Roman" w:eastAsia="宋体" w:cs="Times New Roman"/>
                <w:color w:val="auto"/>
                <w:sz w:val="24"/>
              </w:rPr>
              <w:t>处理达标后排入</w:t>
            </w:r>
            <w:r>
              <w:rPr>
                <w:rFonts w:hint="eastAsia" w:ascii="Times New Roman" w:hAnsi="Times New Roman" w:eastAsia="宋体" w:cs="Times New Roman"/>
                <w:color w:val="auto"/>
                <w:sz w:val="24"/>
                <w:lang w:eastAsia="zh-CN"/>
              </w:rPr>
              <w:t>松下镇山前村污水管网</w:t>
            </w:r>
            <w:r>
              <w:rPr>
                <w:rFonts w:hint="eastAsia" w:ascii="Times New Roman" w:hAnsi="Times New Roman" w:eastAsia="宋体" w:cs="Times New Roman"/>
                <w:color w:val="auto"/>
                <w:sz w:val="24"/>
              </w:rPr>
              <w:t>，送往</w:t>
            </w:r>
            <w:r>
              <w:rPr>
                <w:rFonts w:hint="eastAsia" w:ascii="Times New Roman" w:hAnsi="Times New Roman" w:eastAsia="宋体" w:cs="Times New Roman"/>
                <w:color w:val="auto"/>
                <w:sz w:val="24"/>
                <w:lang w:eastAsia="zh-CN"/>
              </w:rPr>
              <w:t>福州市长乐区松下镇山前村污水处理站</w:t>
            </w:r>
            <w:r>
              <w:rPr>
                <w:rFonts w:hint="eastAsia" w:ascii="Times New Roman" w:hAnsi="Times New Roman" w:eastAsia="宋体" w:cs="Times New Roman"/>
                <w:color w:val="auto"/>
                <w:sz w:val="24"/>
              </w:rPr>
              <w:t>集中处理，</w:t>
            </w:r>
            <w:r>
              <w:rPr>
                <w:rFonts w:ascii="Times New Roman" w:hAnsi="Times New Roman" w:eastAsia="宋体" w:cs="Times New Roman"/>
                <w:color w:val="auto"/>
                <w:sz w:val="24"/>
              </w:rPr>
              <w:t>项目废水不含有毒有害污染物，不含重金属等污染物，</w:t>
            </w:r>
            <w:r>
              <w:rPr>
                <w:rFonts w:hint="default" w:ascii="Times New Roman" w:hAnsi="Times New Roman" w:eastAsia="宋体" w:cs="Times New Roman"/>
                <w:color w:val="auto"/>
                <w:sz w:val="24"/>
              </w:rPr>
              <w:t>正常工况下</w:t>
            </w:r>
            <w:r>
              <w:rPr>
                <w:rFonts w:hint="eastAsia" w:ascii="Times New Roman" w:hAnsi="Times New Roman" w:eastAsia="宋体" w:cs="Times New Roman"/>
                <w:color w:val="auto"/>
                <w:sz w:val="24"/>
                <w:lang w:val="en-US" w:eastAsia="zh-CN"/>
              </w:rPr>
              <w:t>污水</w:t>
            </w:r>
            <w:r>
              <w:rPr>
                <w:rFonts w:hint="default" w:ascii="Times New Roman" w:hAnsi="Times New Roman" w:eastAsia="宋体" w:cs="Times New Roman"/>
                <w:color w:val="auto"/>
                <w:sz w:val="24"/>
              </w:rPr>
              <w:t>不易渗漏和进入地下水。根据现场调查，项目</w:t>
            </w:r>
            <w:r>
              <w:rPr>
                <w:rFonts w:hint="eastAsia" w:ascii="Times New Roman" w:hAnsi="Times New Roman" w:eastAsia="宋体" w:cs="Times New Roman"/>
                <w:color w:val="auto"/>
                <w:sz w:val="24"/>
                <w:lang w:val="en-US" w:eastAsia="zh-CN"/>
              </w:rPr>
              <w:t>周边</w:t>
            </w:r>
            <w:r>
              <w:rPr>
                <w:rFonts w:hint="eastAsia" w:ascii="Times New Roman" w:hAnsi="Times New Roman" w:eastAsia="宋体" w:cs="Times New Roman"/>
                <w:color w:val="auto"/>
                <w:sz w:val="24"/>
                <w:lang w:eastAsia="zh-CN"/>
              </w:rPr>
              <w:t>区域</w:t>
            </w:r>
            <w:r>
              <w:rPr>
                <w:rFonts w:hint="default" w:ascii="Times New Roman" w:hAnsi="Times New Roman" w:eastAsia="宋体" w:cs="Times New Roman"/>
                <w:color w:val="auto"/>
                <w:sz w:val="24"/>
              </w:rPr>
              <w:t>已全部开通自来水管网、生活用水采用自来水。</w:t>
            </w:r>
            <w:r>
              <w:rPr>
                <w:rFonts w:hint="eastAsia" w:ascii="Times New Roman" w:hAnsi="Times New Roman" w:eastAsia="宋体" w:cs="Times New Roman"/>
                <w:color w:val="auto"/>
                <w:sz w:val="24"/>
                <w:lang w:val="en-US" w:eastAsia="zh-CN"/>
              </w:rPr>
              <w:t>拟建</w:t>
            </w:r>
            <w:r>
              <w:rPr>
                <w:rFonts w:ascii="Times New Roman" w:hAnsi="Times New Roman" w:eastAsia="宋体" w:cs="Times New Roman"/>
                <w:color w:val="auto"/>
                <w:sz w:val="24"/>
              </w:rPr>
              <w:t>项目未对</w:t>
            </w:r>
            <w:r>
              <w:rPr>
                <w:rFonts w:hint="eastAsia" w:ascii="Times New Roman" w:hAnsi="Times New Roman" w:eastAsia="宋体" w:cs="Times New Roman"/>
                <w:color w:val="auto"/>
                <w:sz w:val="24"/>
              </w:rPr>
              <w:t>地下水进行开采，运营期间用水由市政</w:t>
            </w:r>
            <w:r>
              <w:rPr>
                <w:rFonts w:hint="eastAsia" w:ascii="Times New Roman" w:hAnsi="Times New Roman" w:eastAsia="宋体" w:cs="Times New Roman"/>
                <w:color w:val="auto"/>
                <w:sz w:val="24"/>
                <w:lang w:eastAsia="zh-CN"/>
              </w:rPr>
              <w:t>管网</w:t>
            </w:r>
            <w:r>
              <w:rPr>
                <w:rFonts w:hint="eastAsia" w:ascii="Times New Roman" w:hAnsi="Times New Roman" w:eastAsia="宋体" w:cs="Times New Roman"/>
                <w:color w:val="auto"/>
                <w:sz w:val="24"/>
              </w:rPr>
              <w:t>供水，不会对地下水水位产生影响。</w:t>
            </w:r>
          </w:p>
          <w:p w14:paraId="4F648F9B">
            <w:pPr>
              <w:spacing w:line="360" w:lineRule="auto"/>
              <w:ind w:firstLine="480" w:firstLineChars="200"/>
              <w:rPr>
                <w:rFonts w:ascii="Times New Roman" w:hAnsi="Times New Roman" w:eastAsia="宋体" w:cs="Times New Roman"/>
                <w:color w:val="auto"/>
                <w:sz w:val="24"/>
              </w:rPr>
            </w:pPr>
            <w:r>
              <w:rPr>
                <w:rFonts w:ascii="Times New Roman" w:hAnsi="Times New Roman"/>
                <w:color w:val="auto"/>
                <w:kern w:val="18"/>
                <w:sz w:val="24"/>
                <w:szCs w:val="52"/>
              </w:rPr>
              <w:t>建设单位采取分区防渗防控措施</w:t>
            </w:r>
            <w:r>
              <w:rPr>
                <w:rFonts w:hint="eastAsia" w:ascii="Times New Roman" w:hAnsi="Times New Roman"/>
                <w:color w:val="auto"/>
                <w:kern w:val="18"/>
                <w:sz w:val="24"/>
                <w:szCs w:val="52"/>
              </w:rPr>
              <w:t>后</w:t>
            </w:r>
            <w:r>
              <w:rPr>
                <w:rFonts w:hint="eastAsia" w:ascii="Times New Roman" w:hAnsi="Times New Roman"/>
                <w:color w:val="auto"/>
                <w:kern w:val="18"/>
                <w:sz w:val="24"/>
                <w:szCs w:val="20"/>
              </w:rPr>
              <w:t>，在正常工况下，建设项目防渗设施充足，不会发生污水泄漏</w:t>
            </w:r>
            <w:r>
              <w:rPr>
                <w:rFonts w:hint="eastAsia" w:ascii="Times New Roman" w:hAnsi="Times New Roman"/>
                <w:color w:val="auto"/>
                <w:kern w:val="18"/>
                <w:sz w:val="24"/>
                <w:szCs w:val="20"/>
                <w:lang w:eastAsia="zh-CN"/>
              </w:rPr>
              <w:t>；</w:t>
            </w:r>
            <w:r>
              <w:rPr>
                <w:rFonts w:hint="eastAsia" w:ascii="Times New Roman" w:hAnsi="Times New Roman" w:eastAsia="宋体" w:cs="Times New Roman"/>
                <w:color w:val="auto"/>
                <w:sz w:val="24"/>
              </w:rPr>
              <w:t>非正常工况下，会对地下水下游造成一定的污染。为了避免污染事故，评价要求建设单位应严格落实评价提出的各项防治措施及相关设计规范的要求，同时做好地下水监控及污染事故应急方案。</w:t>
            </w:r>
          </w:p>
          <w:p w14:paraId="5DA29D39">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2</w:t>
            </w:r>
            <w:r>
              <w:rPr>
                <w:rFonts w:hint="eastAsia" w:ascii="Times New Roman" w:hAnsi="Times New Roman"/>
                <w:color w:val="auto"/>
                <w:sz w:val="24"/>
                <w:lang w:eastAsia="zh-CN"/>
              </w:rPr>
              <w:t>）</w:t>
            </w:r>
            <w:r>
              <w:rPr>
                <w:rFonts w:hint="eastAsia" w:ascii="Times New Roman" w:hAnsi="Times New Roman"/>
                <w:color w:val="auto"/>
                <w:sz w:val="24"/>
              </w:rPr>
              <w:t>土壤</w:t>
            </w:r>
            <w:r>
              <w:rPr>
                <w:rFonts w:ascii="Times New Roman" w:hAnsi="Times New Roman"/>
                <w:color w:val="auto"/>
                <w:sz w:val="24"/>
              </w:rPr>
              <w:t>环境</w:t>
            </w:r>
            <w:r>
              <w:rPr>
                <w:rFonts w:hint="eastAsia" w:ascii="Times New Roman" w:hAnsi="Times New Roman" w:eastAsia="宋体" w:cs="Times New Roman"/>
                <w:color w:val="auto"/>
                <w:sz w:val="24"/>
              </w:rPr>
              <w:t>影响分析</w:t>
            </w:r>
          </w:p>
          <w:p w14:paraId="5E319230">
            <w:pPr>
              <w:widowControl/>
              <w:spacing w:line="360" w:lineRule="auto"/>
              <w:ind w:firstLine="480" w:firstLineChars="200"/>
              <w:jc w:val="left"/>
              <w:rPr>
                <w:rFonts w:ascii="Times New Roman" w:hAnsi="Times New Roman"/>
                <w:color w:val="auto"/>
                <w:kern w:val="0"/>
                <w:sz w:val="24"/>
              </w:rPr>
            </w:pPr>
            <w:r>
              <w:rPr>
                <w:rFonts w:hint="eastAsia" w:ascii="Times New Roman" w:hAnsi="Times New Roman"/>
                <w:color w:val="auto"/>
                <w:kern w:val="0"/>
                <w:sz w:val="24"/>
              </w:rPr>
              <w:t>项目运营期对土壤的环境影响主要来自“三废”排放。</w:t>
            </w:r>
          </w:p>
          <w:p w14:paraId="575905B2">
            <w:pPr>
              <w:widowControl/>
              <w:spacing w:line="360" w:lineRule="auto"/>
              <w:ind w:firstLine="480" w:firstLineChars="200"/>
              <w:jc w:val="left"/>
              <w:rPr>
                <w:rFonts w:ascii="Times New Roman" w:hAnsi="Times New Roman"/>
                <w:color w:val="auto"/>
                <w:kern w:val="0"/>
                <w:sz w:val="24"/>
              </w:rPr>
            </w:pPr>
            <w:r>
              <w:rPr>
                <w:rFonts w:hint="eastAsia" w:ascii="Times New Roman" w:hAnsi="Times New Roman"/>
                <w:color w:val="auto"/>
                <w:kern w:val="0"/>
                <w:sz w:val="24"/>
                <w:lang w:val="en-US" w:eastAsia="zh-CN"/>
              </w:rPr>
              <w:t>①</w:t>
            </w:r>
            <w:r>
              <w:rPr>
                <w:rFonts w:hint="eastAsia" w:ascii="Times New Roman" w:hAnsi="Times New Roman"/>
                <w:color w:val="auto"/>
                <w:kern w:val="0"/>
                <w:sz w:val="24"/>
              </w:rPr>
              <w:t>废气对土壤环境的影响</w:t>
            </w:r>
          </w:p>
          <w:p w14:paraId="040826F2">
            <w:pPr>
              <w:widowControl/>
              <w:spacing w:line="360" w:lineRule="auto"/>
              <w:ind w:firstLine="480" w:firstLineChars="200"/>
              <w:jc w:val="left"/>
              <w:rPr>
                <w:rFonts w:ascii="Times New Roman" w:hAnsi="Times New Roman"/>
                <w:color w:val="auto"/>
                <w:kern w:val="0"/>
                <w:sz w:val="24"/>
              </w:rPr>
            </w:pPr>
            <w:r>
              <w:rPr>
                <w:rFonts w:hint="eastAsia" w:ascii="Times New Roman" w:hAnsi="Times New Roman"/>
                <w:color w:val="auto"/>
                <w:kern w:val="0"/>
                <w:sz w:val="24"/>
              </w:rPr>
              <w:t>废气中的污染物，通过降水、扩散和重力作用降落至地面，渗透进入土壤，进而污染土壤环境。</w:t>
            </w:r>
          </w:p>
          <w:p w14:paraId="1813CDDB">
            <w:pPr>
              <w:widowControl/>
              <w:spacing w:line="360" w:lineRule="auto"/>
              <w:ind w:firstLine="480" w:firstLineChars="200"/>
              <w:jc w:val="left"/>
              <w:rPr>
                <w:rFonts w:ascii="Times New Roman" w:hAnsi="Times New Roman"/>
                <w:color w:val="auto"/>
                <w:kern w:val="0"/>
                <w:sz w:val="24"/>
              </w:rPr>
            </w:pPr>
            <w:r>
              <w:rPr>
                <w:rFonts w:hint="eastAsia" w:ascii="Times New Roman" w:hAnsi="Times New Roman"/>
                <w:color w:val="auto"/>
                <w:kern w:val="0"/>
                <w:sz w:val="24"/>
                <w:lang w:val="en-US" w:eastAsia="zh-CN"/>
              </w:rPr>
              <w:t>②</w:t>
            </w:r>
            <w:r>
              <w:rPr>
                <w:rFonts w:hint="eastAsia" w:ascii="Times New Roman" w:hAnsi="Times New Roman"/>
                <w:color w:val="auto"/>
                <w:kern w:val="0"/>
                <w:sz w:val="24"/>
              </w:rPr>
              <w:t>废水对土壤环境的影响</w:t>
            </w:r>
          </w:p>
          <w:p w14:paraId="0DB9F866">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rPr>
              <w:t>项目</w:t>
            </w:r>
            <w:r>
              <w:rPr>
                <w:rFonts w:hint="eastAsia" w:ascii="Times New Roman" w:hAnsi="Times New Roman" w:eastAsia="宋体" w:cs="Times New Roman"/>
                <w:color w:val="auto"/>
                <w:sz w:val="24"/>
                <w:lang w:eastAsia="zh-CN"/>
              </w:rPr>
              <w:t>清洁废水、作业区露天区域初期雨水经处理后全部回用于场地洒水清扫、停车区冲洗，不外排；生活污水</w:t>
            </w:r>
            <w:r>
              <w:rPr>
                <w:rFonts w:hint="eastAsia" w:ascii="Times New Roman" w:hAnsi="Times New Roman" w:eastAsia="宋体" w:cs="Times New Roman"/>
                <w:color w:val="auto"/>
                <w:sz w:val="24"/>
                <w:szCs w:val="24"/>
                <w:highlight w:val="none"/>
                <w:lang w:val="en-US" w:eastAsia="zh-CN"/>
              </w:rPr>
              <w:t>经处理达标后</w:t>
            </w:r>
            <w:r>
              <w:rPr>
                <w:rFonts w:hint="eastAsia" w:ascii="Times New Roman" w:hAnsi="Times New Roman" w:eastAsia="宋体" w:cs="Times New Roman"/>
                <w:color w:val="auto"/>
                <w:sz w:val="24"/>
                <w:szCs w:val="24"/>
                <w:highlight w:val="none"/>
                <w:lang w:val="en-GB" w:eastAsia="zh-CN"/>
              </w:rPr>
              <w:t>排入松下镇山前村污水管网</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正常情况下，</w:t>
            </w:r>
            <w:r>
              <w:rPr>
                <w:rFonts w:hint="default" w:ascii="Times New Roman" w:hAnsi="Times New Roman" w:eastAsia="宋体" w:cs="Times New Roman"/>
                <w:color w:val="auto"/>
                <w:sz w:val="24"/>
                <w:szCs w:val="24"/>
                <w:highlight w:val="none"/>
                <w:lang w:eastAsia="zh-CN"/>
              </w:rPr>
              <w:t>项目运营期废水对土壤环境的影响不大。</w:t>
            </w:r>
          </w:p>
          <w:p w14:paraId="5063A845">
            <w:pPr>
              <w:widowControl/>
              <w:spacing w:line="360" w:lineRule="auto"/>
              <w:ind w:firstLine="480" w:firstLineChars="200"/>
              <w:jc w:val="left"/>
              <w:rPr>
                <w:rFonts w:ascii="Times New Roman" w:hAnsi="Times New Roman"/>
                <w:color w:val="auto"/>
                <w:kern w:val="0"/>
                <w:sz w:val="24"/>
              </w:rPr>
            </w:pPr>
            <w:r>
              <w:rPr>
                <w:rFonts w:hint="eastAsia" w:ascii="Times New Roman" w:hAnsi="Times New Roman"/>
                <w:color w:val="auto"/>
                <w:kern w:val="0"/>
                <w:sz w:val="24"/>
                <w:lang w:val="en-US" w:eastAsia="zh-CN"/>
              </w:rPr>
              <w:t>③</w:t>
            </w:r>
            <w:r>
              <w:rPr>
                <w:rFonts w:hint="eastAsia" w:ascii="Times New Roman" w:hAnsi="Times New Roman"/>
                <w:color w:val="auto"/>
                <w:kern w:val="0"/>
                <w:sz w:val="24"/>
              </w:rPr>
              <w:t>危险废物对土壤环境的影响</w:t>
            </w:r>
          </w:p>
          <w:p w14:paraId="30CDDC39">
            <w:pPr>
              <w:widowControl/>
              <w:spacing w:line="360" w:lineRule="auto"/>
              <w:ind w:firstLine="480" w:firstLineChars="200"/>
              <w:jc w:val="left"/>
              <w:rPr>
                <w:rFonts w:ascii="Times New Roman" w:hAnsi="Times New Roman"/>
                <w:color w:val="auto"/>
                <w:kern w:val="0"/>
                <w:sz w:val="24"/>
              </w:rPr>
            </w:pPr>
            <w:r>
              <w:rPr>
                <w:rFonts w:hint="eastAsia" w:ascii="Times New Roman" w:hAnsi="Times New Roman"/>
                <w:color w:val="auto"/>
                <w:kern w:val="0"/>
                <w:sz w:val="24"/>
              </w:rPr>
              <w:t>危险废物泄漏或危险废物未及时处理而产生的渗出液、滤沥液进入土壤，进而污染土壤环境。</w:t>
            </w:r>
          </w:p>
          <w:p w14:paraId="3C2C317C">
            <w:pPr>
              <w:spacing w:line="360" w:lineRule="auto"/>
              <w:ind w:firstLine="480" w:firstLineChars="200"/>
              <w:rPr>
                <w:rFonts w:ascii="Times New Roman" w:hAnsi="Times New Roman"/>
                <w:color w:val="auto"/>
                <w:sz w:val="24"/>
              </w:rPr>
            </w:pPr>
            <w:r>
              <w:rPr>
                <w:rFonts w:hint="eastAsia" w:ascii="Times New Roman" w:hAnsi="Times New Roman"/>
                <w:color w:val="auto"/>
                <w:sz w:val="24"/>
                <w:lang w:val="en-US" w:eastAsia="zh-CN"/>
              </w:rPr>
              <w:t>④</w:t>
            </w:r>
            <w:r>
              <w:rPr>
                <w:rFonts w:hint="eastAsia" w:ascii="Times New Roman" w:hAnsi="Times New Roman"/>
                <w:color w:val="auto"/>
                <w:sz w:val="24"/>
              </w:rPr>
              <w:t>污染物进入土壤产生的影响</w:t>
            </w:r>
          </w:p>
          <w:p w14:paraId="3F7073A2">
            <w:pPr>
              <w:spacing w:line="360" w:lineRule="auto"/>
              <w:ind w:firstLine="480" w:firstLineChars="200"/>
              <w:rPr>
                <w:rFonts w:hint="default" w:ascii="Times New Roman" w:hAnsi="Times New Roman" w:eastAsia="宋体"/>
                <w:color w:val="auto"/>
                <w:sz w:val="24"/>
                <w:lang w:val="en-US" w:eastAsia="zh-CN"/>
              </w:rPr>
            </w:pPr>
            <w:r>
              <w:rPr>
                <w:rFonts w:hint="eastAsia" w:ascii="Times New Roman" w:hAnsi="Times New Roman"/>
                <w:color w:val="auto"/>
                <w:sz w:val="24"/>
              </w:rPr>
              <w:t>根据分析可知，物料渗漏影响土壤的主要是有机物，有机物进入土壤的数量和速度超过了土壤的净化作用的速度，破坏了自然动态平衡，使污染物的积累过程逐渐占据优势，从而导致土壤自然正常功能失调，土壤质量下降，并影响到作物的生长发育，以及产量和质量下降。有机物污染进入土壤后，可危及农作物生长和土壤生物的生存，</w:t>
            </w:r>
            <w:r>
              <w:rPr>
                <w:rFonts w:ascii="Times New Roman" w:hAnsi="Times New Roman"/>
                <w:color w:val="auto"/>
                <w:sz w:val="24"/>
              </w:rPr>
              <w:t>而土壤污染往往是以食物链方式通过粮食、蔬菜、水果、茶叶及草食性动物(如家禽家畜)乃至肉食性动物等最后进入人体而影响人群健康。因此，这是一个逐步累积的过程，具有隐蔽性和潜伏性。</w:t>
            </w:r>
            <w:r>
              <w:rPr>
                <w:rFonts w:hint="eastAsia" w:ascii="Times New Roman" w:hAnsi="Times New Roman"/>
                <w:color w:val="auto"/>
                <w:sz w:val="24"/>
              </w:rPr>
              <w:t>人体接触污染土壤后，手脚出现红色皮疹，并有恶心，头晕现象。</w:t>
            </w:r>
            <w:r>
              <w:rPr>
                <w:rFonts w:hint="eastAsia" w:ascii="Times New Roman" w:hAnsi="Times New Roman"/>
                <w:color w:val="auto"/>
                <w:sz w:val="24"/>
                <w:lang w:val="en-US" w:eastAsia="zh-CN"/>
              </w:rPr>
              <w:t>本项目对有机废气配套活性炭吸附装置处理后达标高空排放，影响较小。</w:t>
            </w:r>
          </w:p>
          <w:p w14:paraId="2C33D530">
            <w:pPr>
              <w:spacing w:line="360" w:lineRule="auto"/>
              <w:rPr>
                <w:rFonts w:hint="eastAsia" w:ascii="Times New Roman" w:hAnsi="Times New Roman"/>
                <w:b/>
                <w:bCs/>
                <w:color w:val="auto"/>
                <w:sz w:val="24"/>
              </w:rPr>
            </w:pPr>
            <w:r>
              <w:rPr>
                <w:rFonts w:hint="eastAsia" w:ascii="Times New Roman" w:hAnsi="Times New Roman"/>
                <w:b/>
                <w:bCs/>
                <w:color w:val="auto"/>
                <w:sz w:val="24"/>
              </w:rPr>
              <w:t>4.</w:t>
            </w:r>
            <w:r>
              <w:rPr>
                <w:rFonts w:hint="eastAsia" w:ascii="Times New Roman" w:hAnsi="Times New Roman"/>
                <w:b/>
                <w:bCs/>
                <w:color w:val="auto"/>
                <w:sz w:val="24"/>
                <w:lang w:val="en-US" w:eastAsia="zh-CN"/>
              </w:rPr>
              <w:t>6</w:t>
            </w:r>
            <w:r>
              <w:rPr>
                <w:rFonts w:hint="eastAsia" w:ascii="Times New Roman" w:hAnsi="Times New Roman"/>
                <w:b/>
                <w:bCs/>
                <w:color w:val="auto"/>
                <w:sz w:val="24"/>
              </w:rPr>
              <w:t xml:space="preserve">.2 </w:t>
            </w:r>
            <w:r>
              <w:rPr>
                <w:rFonts w:ascii="Times New Roman" w:hAnsi="Times New Roman"/>
                <w:b/>
                <w:bCs/>
                <w:color w:val="auto"/>
                <w:sz w:val="24"/>
              </w:rPr>
              <w:t>地下水、土壤环境</w:t>
            </w:r>
            <w:r>
              <w:rPr>
                <w:rFonts w:hint="eastAsia" w:ascii="Times New Roman" w:hAnsi="Times New Roman"/>
                <w:b/>
                <w:bCs/>
                <w:color w:val="auto"/>
                <w:sz w:val="24"/>
              </w:rPr>
              <w:t>防控</w:t>
            </w:r>
            <w:r>
              <w:rPr>
                <w:rFonts w:ascii="Times New Roman" w:hAnsi="Times New Roman"/>
                <w:b/>
                <w:bCs/>
                <w:color w:val="auto"/>
                <w:sz w:val="24"/>
              </w:rPr>
              <w:t>措施</w:t>
            </w:r>
          </w:p>
          <w:p w14:paraId="59A9E98F">
            <w:pPr>
              <w:spacing w:line="360" w:lineRule="auto"/>
              <w:ind w:firstLine="482" w:firstLineChars="200"/>
              <w:rPr>
                <w:rFonts w:hint="default" w:ascii="Times New Roman" w:hAnsi="Times New Roman"/>
                <w:b/>
                <w:bCs/>
                <w:color w:val="auto"/>
                <w:sz w:val="24"/>
                <w:lang w:val="en-US" w:eastAsia="zh-CN"/>
              </w:rPr>
            </w:pPr>
            <w:r>
              <w:rPr>
                <w:rFonts w:hint="eastAsia" w:ascii="Times New Roman" w:hAnsi="Times New Roman"/>
                <w:b/>
                <w:bCs/>
                <w:color w:val="auto"/>
                <w:sz w:val="24"/>
                <w:lang w:val="en-US" w:eastAsia="zh-CN"/>
              </w:rPr>
              <w:t>（1）源头控制</w:t>
            </w:r>
          </w:p>
          <w:p w14:paraId="768F3B2D">
            <w:pPr>
              <w:pStyle w:val="10"/>
              <w:tabs>
                <w:tab w:val="left" w:pos="5460"/>
              </w:tabs>
              <w:spacing w:after="0" w:line="360" w:lineRule="auto"/>
              <w:ind w:left="0" w:leftChars="0" w:firstLine="480" w:firstLineChars="200"/>
              <w:jc w:val="left"/>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①对管道、设备、导流沟、污水储存及处理构筑物等严格检查，有质量问题的及时更换、检修，废水管道及阀门采用优质产品，防止和降低“跑、冒、滴、漏”现象；</w:t>
            </w:r>
          </w:p>
          <w:p w14:paraId="1740ED80">
            <w:pPr>
              <w:pStyle w:val="10"/>
              <w:tabs>
                <w:tab w:val="left" w:pos="5460"/>
              </w:tabs>
              <w:spacing w:after="0" w:line="360" w:lineRule="auto"/>
              <w:ind w:left="0" w:leftChars="0" w:firstLine="480" w:firstLineChars="200"/>
              <w:jc w:val="left"/>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②危废暂存间严格按照</w:t>
            </w:r>
            <w:r>
              <w:rPr>
                <w:rFonts w:ascii="Times New Roman" w:hAnsi="Times New Roman" w:eastAsia="宋体"/>
                <w:snapToGrid w:val="0"/>
                <w:color w:val="auto"/>
                <w:kern w:val="0"/>
                <w:sz w:val="24"/>
                <w:highlight w:val="none"/>
              </w:rPr>
              <w:t>《危险废物贮存污染控制标准》（GB18597-</w:t>
            </w:r>
            <w:r>
              <w:rPr>
                <w:rFonts w:hint="eastAsia" w:ascii="Times New Roman" w:hAnsi="Times New Roman" w:eastAsia="宋体"/>
                <w:snapToGrid w:val="0"/>
                <w:color w:val="auto"/>
                <w:kern w:val="0"/>
                <w:sz w:val="24"/>
                <w:highlight w:val="none"/>
                <w:lang w:val="en-US" w:eastAsia="zh-CN"/>
              </w:rPr>
              <w:t>2023</w:t>
            </w:r>
            <w:r>
              <w:rPr>
                <w:rFonts w:ascii="Times New Roman" w:hAnsi="Times New Roman" w:eastAsia="宋体"/>
                <w:snapToGrid w:val="0"/>
                <w:color w:val="auto"/>
                <w:kern w:val="0"/>
                <w:sz w:val="24"/>
                <w:highlight w:val="none"/>
              </w:rPr>
              <w:t>）</w:t>
            </w:r>
            <w:r>
              <w:rPr>
                <w:rFonts w:hint="eastAsia" w:ascii="Times New Roman" w:hAnsi="Times New Roman" w:eastAsia="宋体"/>
                <w:snapToGrid w:val="0"/>
                <w:color w:val="auto"/>
                <w:kern w:val="0"/>
                <w:sz w:val="24"/>
                <w:highlight w:val="none"/>
              </w:rPr>
              <w:t>，地面硬化防渗，废铅酸蓄电池隔间还应满足《电池废料贮运规范》（GB/T 26493-2011）</w:t>
            </w:r>
            <w:r>
              <w:rPr>
                <w:rFonts w:hint="eastAsia" w:ascii="Times New Roman" w:hAnsi="Times New Roman" w:eastAsia="宋体"/>
                <w:snapToGrid w:val="0"/>
                <w:color w:val="auto"/>
                <w:kern w:val="0"/>
                <w:sz w:val="24"/>
                <w:highlight w:val="none"/>
                <w:lang w:val="en-US" w:eastAsia="zh-CN"/>
              </w:rPr>
              <w:t>等</w:t>
            </w:r>
            <w:r>
              <w:rPr>
                <w:rFonts w:hint="eastAsia" w:ascii="Times New Roman" w:hAnsi="Times New Roman" w:eastAsia="宋体"/>
                <w:snapToGrid w:val="0"/>
                <w:color w:val="auto"/>
                <w:kern w:val="0"/>
                <w:sz w:val="24"/>
                <w:highlight w:val="none"/>
              </w:rPr>
              <w:t>有关规定</w:t>
            </w:r>
            <w:r>
              <w:rPr>
                <w:rFonts w:hint="eastAsia" w:ascii="Times New Roman" w:hAnsi="Times New Roman" w:eastAsia="宋体"/>
                <w:snapToGrid w:val="0"/>
                <w:color w:val="auto"/>
                <w:kern w:val="0"/>
                <w:sz w:val="24"/>
                <w:highlight w:val="none"/>
                <w:lang w:eastAsia="zh-CN"/>
              </w:rPr>
              <w:t>，</w:t>
            </w:r>
            <w:r>
              <w:rPr>
                <w:rFonts w:hint="eastAsia" w:ascii="Times New Roman" w:hAnsi="Times New Roman" w:eastAsia="宋体"/>
                <w:snapToGrid w:val="0"/>
                <w:color w:val="auto"/>
                <w:kern w:val="0"/>
                <w:sz w:val="24"/>
                <w:highlight w:val="none"/>
                <w:lang w:val="en-US" w:eastAsia="zh-CN"/>
              </w:rPr>
              <w:t>设置耐酸隔离层，</w:t>
            </w:r>
            <w:r>
              <w:rPr>
                <w:rFonts w:hint="eastAsia" w:ascii="Times New Roman" w:hAnsi="Times New Roman" w:eastAsia="宋体"/>
                <w:color w:val="auto"/>
                <w:sz w:val="24"/>
                <w:highlight w:val="none"/>
              </w:rPr>
              <w:t>危险废物的搜集、转运、交接、接收、贮存严格按照相应的规程、规范执行。危废暂存间的危废容器均根据物料性质选择相容材质的容器存放，液态危险废物</w:t>
            </w:r>
            <w:r>
              <w:rPr>
                <w:rFonts w:hint="eastAsia" w:ascii="Times New Roman" w:hAnsi="Times New Roman" w:eastAsia="宋体"/>
                <w:color w:val="auto"/>
                <w:sz w:val="24"/>
                <w:highlight w:val="none"/>
                <w:lang w:val="en-US" w:eastAsia="zh-CN"/>
              </w:rPr>
              <w:t>分区配套设置导流沟槽</w:t>
            </w:r>
            <w:r>
              <w:rPr>
                <w:rFonts w:hint="eastAsia" w:ascii="Times New Roman" w:hAnsi="Times New Roman" w:eastAsia="宋体"/>
                <w:color w:val="auto"/>
                <w:sz w:val="24"/>
                <w:highlight w:val="none"/>
              </w:rPr>
              <w:t>。</w:t>
            </w:r>
          </w:p>
          <w:p w14:paraId="6B13C2A6">
            <w:pPr>
              <w:pStyle w:val="10"/>
              <w:tabs>
                <w:tab w:val="left" w:pos="5460"/>
              </w:tabs>
              <w:spacing w:after="0" w:line="360" w:lineRule="auto"/>
              <w:ind w:left="0" w:leftChars="0" w:firstLine="480" w:firstLineChars="200"/>
              <w:jc w:val="left"/>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③日常对厂区地面硬化防渗情况进行检查，有破损区域及时修复。</w:t>
            </w:r>
          </w:p>
          <w:p w14:paraId="3C5B7074">
            <w:pPr>
              <w:pStyle w:val="10"/>
              <w:tabs>
                <w:tab w:val="left" w:pos="5460"/>
              </w:tabs>
              <w:spacing w:after="0" w:line="360" w:lineRule="auto"/>
              <w:ind w:left="0" w:leftChars="0" w:firstLine="480" w:firstLineChars="200"/>
              <w:jc w:val="left"/>
              <w:rPr>
                <w:rFonts w:ascii="Times New Roman" w:hAnsi="Times New Roman" w:eastAsia="宋体"/>
                <w:color w:val="auto"/>
                <w:sz w:val="24"/>
                <w:highlight w:val="none"/>
              </w:rPr>
            </w:pPr>
            <w:r>
              <w:rPr>
                <w:rFonts w:hint="eastAsia" w:ascii="Times New Roman" w:hAnsi="Times New Roman" w:eastAsia="宋体"/>
                <w:color w:val="auto"/>
                <w:sz w:val="24"/>
                <w:highlight w:val="none"/>
              </w:rPr>
              <w:t>④加强废气处理设施日常检查，保证废气处理设施正常运行，定期委托资质单位进行废气排放情况检测。</w:t>
            </w:r>
          </w:p>
          <w:p w14:paraId="23D54082">
            <w:pPr>
              <w:spacing w:line="360" w:lineRule="auto"/>
              <w:ind w:firstLine="482" w:firstLineChars="200"/>
              <w:rPr>
                <w:rFonts w:ascii="Times New Roman" w:hAnsi="Times New Roman"/>
                <w:b/>
                <w:bCs/>
                <w:color w:val="auto"/>
                <w:sz w:val="24"/>
              </w:rPr>
            </w:pPr>
            <w:r>
              <w:rPr>
                <w:rFonts w:hint="eastAsia" w:ascii="Times New Roman" w:hAnsi="Times New Roman"/>
                <w:b/>
                <w:bCs/>
                <w:color w:val="auto"/>
                <w:sz w:val="24"/>
                <w:lang w:val="en-US" w:eastAsia="zh-CN"/>
              </w:rPr>
              <w:t>（2）分区</w:t>
            </w:r>
            <w:r>
              <w:rPr>
                <w:rFonts w:ascii="Times New Roman" w:hAnsi="Times New Roman"/>
                <w:b/>
                <w:bCs/>
                <w:color w:val="auto"/>
                <w:sz w:val="24"/>
              </w:rPr>
              <w:t>防渗措施</w:t>
            </w:r>
          </w:p>
          <w:p w14:paraId="4CBC9B0E">
            <w:pPr>
              <w:spacing w:line="360" w:lineRule="auto"/>
              <w:ind w:firstLine="480" w:firstLineChars="200"/>
              <w:rPr>
                <w:rFonts w:ascii="Times New Roman" w:hAnsi="Times New Roman"/>
                <w:color w:val="auto"/>
                <w:sz w:val="24"/>
              </w:rPr>
            </w:pPr>
            <w:r>
              <w:rPr>
                <w:rFonts w:ascii="Times New Roman" w:hAnsi="Times New Roman"/>
                <w:color w:val="auto"/>
                <w:sz w:val="24"/>
              </w:rPr>
              <w:t>根据本</w:t>
            </w:r>
            <w:r>
              <w:rPr>
                <w:rFonts w:hint="eastAsia" w:ascii="Times New Roman" w:hAnsi="Times New Roman"/>
                <w:color w:val="auto"/>
                <w:sz w:val="24"/>
              </w:rPr>
              <w:t>项目</w:t>
            </w:r>
            <w:r>
              <w:rPr>
                <w:rFonts w:ascii="Times New Roman" w:hAnsi="Times New Roman"/>
                <w:color w:val="auto"/>
                <w:sz w:val="24"/>
              </w:rPr>
              <w:t>可能泄漏至地面区域污染物的性质和生产单元的构筑方式，将</w:t>
            </w:r>
            <w:r>
              <w:rPr>
                <w:rFonts w:hint="eastAsia" w:ascii="Times New Roman" w:hAnsi="Times New Roman"/>
                <w:color w:val="auto"/>
                <w:sz w:val="24"/>
              </w:rPr>
              <w:t>厂区</w:t>
            </w:r>
            <w:r>
              <w:rPr>
                <w:rFonts w:ascii="Times New Roman" w:hAnsi="Times New Roman"/>
                <w:color w:val="auto"/>
                <w:sz w:val="24"/>
              </w:rPr>
              <w:t>划分为重点污染防治区、一般污染防治区，针对不同的区域提出相应的防渗要求。</w:t>
            </w:r>
            <w:r>
              <w:rPr>
                <w:rFonts w:ascii="Times New Roman" w:hAnsi="Times New Roman"/>
                <w:color w:val="auto"/>
                <w:kern w:val="0"/>
                <w:sz w:val="24"/>
              </w:rPr>
              <w:t>根据《环境影响评价技术导则</w:t>
            </w:r>
            <w:r>
              <w:rPr>
                <w:rFonts w:hint="eastAsia" w:ascii="Times New Roman" w:hAnsi="Times New Roman"/>
                <w:color w:val="auto"/>
                <w:kern w:val="0"/>
                <w:sz w:val="24"/>
                <w:lang w:val="en-US" w:eastAsia="zh-CN"/>
              </w:rPr>
              <w:t xml:space="preserve"> </w:t>
            </w:r>
            <w:r>
              <w:rPr>
                <w:rFonts w:ascii="Times New Roman" w:hAnsi="Times New Roman"/>
                <w:color w:val="auto"/>
                <w:kern w:val="0"/>
                <w:sz w:val="24"/>
              </w:rPr>
              <w:t>地下水环境》</w:t>
            </w:r>
            <w:r>
              <w:rPr>
                <w:rFonts w:hint="eastAsia" w:ascii="Times New Roman" w:hAnsi="Times New Roman"/>
                <w:color w:val="auto"/>
                <w:kern w:val="0"/>
                <w:sz w:val="24"/>
              </w:rPr>
              <w:t>(</w:t>
            </w:r>
            <w:r>
              <w:rPr>
                <w:rFonts w:ascii="Times New Roman" w:hAnsi="Times New Roman"/>
                <w:color w:val="auto"/>
                <w:kern w:val="0"/>
                <w:sz w:val="24"/>
              </w:rPr>
              <w:t>HJ610-2016</w:t>
            </w:r>
            <w:r>
              <w:rPr>
                <w:rFonts w:hint="eastAsia" w:ascii="Times New Roman" w:hAnsi="Times New Roman"/>
                <w:color w:val="auto"/>
                <w:kern w:val="0"/>
                <w:sz w:val="24"/>
              </w:rPr>
              <w:t>)</w:t>
            </w:r>
            <w:r>
              <w:rPr>
                <w:rFonts w:ascii="Times New Roman" w:hAnsi="Times New Roman"/>
                <w:color w:val="auto"/>
                <w:kern w:val="0"/>
                <w:sz w:val="24"/>
              </w:rPr>
              <w:t>的要求，</w:t>
            </w:r>
            <w:r>
              <w:rPr>
                <w:rFonts w:ascii="Times New Roman" w:hAnsi="Times New Roman"/>
                <w:color w:val="auto"/>
                <w:sz w:val="24"/>
              </w:rPr>
              <w:t>项目分区</w:t>
            </w:r>
            <w:r>
              <w:rPr>
                <w:rFonts w:hint="eastAsia" w:ascii="Times New Roman" w:hAnsi="Times New Roman"/>
                <w:color w:val="auto"/>
                <w:sz w:val="24"/>
              </w:rPr>
              <w:t>防渗</w:t>
            </w:r>
            <w:r>
              <w:rPr>
                <w:rFonts w:ascii="Times New Roman" w:hAnsi="Times New Roman"/>
                <w:color w:val="auto"/>
                <w:sz w:val="24"/>
              </w:rPr>
              <w:t>防治</w:t>
            </w:r>
            <w:r>
              <w:rPr>
                <w:rFonts w:hint="eastAsia" w:ascii="Times New Roman" w:hAnsi="Times New Roman"/>
                <w:color w:val="auto"/>
                <w:sz w:val="24"/>
                <w:lang w:val="en-US" w:eastAsia="zh-CN"/>
              </w:rPr>
              <w:t>要求</w:t>
            </w:r>
            <w:r>
              <w:rPr>
                <w:rFonts w:ascii="Times New Roman" w:hAnsi="Times New Roman"/>
                <w:color w:val="auto"/>
                <w:sz w:val="24"/>
              </w:rPr>
              <w:t>见表</w:t>
            </w:r>
            <w:r>
              <w:rPr>
                <w:rFonts w:hint="eastAsia" w:ascii="Times New Roman" w:hAnsi="Times New Roman"/>
                <w:color w:val="auto"/>
                <w:sz w:val="24"/>
              </w:rPr>
              <w:t>4.</w:t>
            </w:r>
            <w:r>
              <w:rPr>
                <w:rFonts w:hint="eastAsia" w:ascii="Times New Roman" w:hAnsi="Times New Roman"/>
                <w:color w:val="auto"/>
                <w:sz w:val="24"/>
                <w:lang w:val="en-US" w:eastAsia="zh-CN"/>
              </w:rPr>
              <w:t>6</w:t>
            </w:r>
            <w:r>
              <w:rPr>
                <w:rFonts w:hint="eastAsia" w:ascii="Times New Roman" w:hAnsi="Times New Roman"/>
                <w:color w:val="auto"/>
                <w:sz w:val="24"/>
              </w:rPr>
              <w:t>-1。</w:t>
            </w:r>
          </w:p>
          <w:p w14:paraId="709704FC">
            <w:pPr>
              <w:pStyle w:val="72"/>
              <w:spacing w:before="12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表</w:t>
            </w:r>
            <w:r>
              <w:rPr>
                <w:rFonts w:hint="eastAsia" w:ascii="Times New Roman" w:hAnsi="Times New Roman" w:cs="Times New Roman"/>
                <w:color w:val="auto"/>
                <w:sz w:val="24"/>
                <w:highlight w:val="none"/>
                <w:u w:val="none"/>
                <w:lang w:val="en-US" w:eastAsia="zh-CN"/>
              </w:rPr>
              <w:t xml:space="preserve">4.6-1 </w:t>
            </w:r>
            <w:r>
              <w:rPr>
                <w:rFonts w:hint="default" w:ascii="Times New Roman" w:hAnsi="Times New Roman" w:cs="Times New Roman"/>
                <w:color w:val="auto"/>
                <w:sz w:val="24"/>
                <w:highlight w:val="none"/>
                <w:u w:val="none"/>
              </w:rPr>
              <w:t xml:space="preserve"> </w:t>
            </w:r>
            <w:r>
              <w:rPr>
                <w:rFonts w:hint="eastAsia" w:ascii="Times New Roman" w:hAnsi="Times New Roman" w:cs="Times New Roman"/>
                <w:color w:val="auto"/>
                <w:sz w:val="24"/>
                <w:highlight w:val="none"/>
                <w:u w:val="none"/>
                <w:lang w:val="en-US" w:eastAsia="zh-CN"/>
              </w:rPr>
              <w:t>项目</w:t>
            </w:r>
            <w:r>
              <w:rPr>
                <w:rFonts w:hint="default" w:ascii="Times New Roman" w:hAnsi="Times New Roman" w:cs="Times New Roman"/>
                <w:color w:val="auto"/>
                <w:sz w:val="24"/>
                <w:highlight w:val="none"/>
                <w:u w:val="none"/>
              </w:rPr>
              <w:t>分区</w:t>
            </w:r>
            <w:r>
              <w:rPr>
                <w:rFonts w:hint="eastAsia" w:ascii="Times New Roman" w:hAnsi="Times New Roman" w:cs="Times New Roman"/>
                <w:color w:val="auto"/>
                <w:sz w:val="24"/>
                <w:highlight w:val="none"/>
                <w:u w:val="none"/>
              </w:rPr>
              <w:t>防渗</w:t>
            </w:r>
            <w:r>
              <w:rPr>
                <w:rFonts w:hint="default" w:ascii="Times New Roman" w:hAnsi="Times New Roman" w:cs="Times New Roman"/>
                <w:color w:val="auto"/>
                <w:sz w:val="24"/>
                <w:highlight w:val="none"/>
                <w:u w:val="none"/>
              </w:rPr>
              <w:t>防治</w:t>
            </w:r>
            <w:r>
              <w:rPr>
                <w:rFonts w:hint="eastAsia" w:ascii="Times New Roman" w:hAnsi="Times New Roman" w:cs="Times New Roman"/>
                <w:color w:val="auto"/>
                <w:sz w:val="24"/>
                <w:highlight w:val="none"/>
                <w:u w:val="none"/>
                <w:lang w:val="en-US" w:eastAsia="zh-CN"/>
              </w:rPr>
              <w:t>要求</w:t>
            </w:r>
            <w:r>
              <w:rPr>
                <w:rFonts w:hint="default" w:ascii="Times New Roman" w:hAnsi="Times New Roman" w:cs="Times New Roman"/>
                <w:color w:val="auto"/>
                <w:sz w:val="24"/>
                <w:highlight w:val="none"/>
                <w:u w:val="none"/>
              </w:rPr>
              <w:t>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984"/>
              <w:gridCol w:w="1735"/>
              <w:gridCol w:w="3164"/>
            </w:tblGrid>
            <w:tr w14:paraId="72FB5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pct"/>
                  <w:tcBorders>
                    <w:tl2br w:val="nil"/>
                    <w:tr2bl w:val="nil"/>
                  </w:tcBorders>
                  <w:noWrap w:val="0"/>
                  <w:vAlign w:val="center"/>
                </w:tcPr>
                <w:p w14:paraId="02148EB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r>
                    <w:rPr>
                      <w:rFonts w:hint="eastAsia" w:ascii="Times New Roman" w:hAnsi="Times New Roman"/>
                      <w:color w:val="auto"/>
                      <w:sz w:val="21"/>
                      <w:szCs w:val="21"/>
                    </w:rPr>
                    <w:t>防治分区</w:t>
                  </w:r>
                </w:p>
              </w:tc>
              <w:tc>
                <w:tcPr>
                  <w:tcW w:w="1232" w:type="pct"/>
                  <w:tcBorders>
                    <w:tl2br w:val="nil"/>
                    <w:tr2bl w:val="nil"/>
                  </w:tcBorders>
                  <w:noWrap w:val="0"/>
                  <w:vAlign w:val="center"/>
                </w:tcPr>
                <w:p w14:paraId="150851A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r>
                    <w:rPr>
                      <w:rFonts w:hint="eastAsia" w:ascii="Times New Roman" w:hAnsi="Times New Roman"/>
                      <w:color w:val="auto"/>
                      <w:sz w:val="21"/>
                      <w:szCs w:val="21"/>
                    </w:rPr>
                    <w:t>装置名称</w:t>
                  </w:r>
                </w:p>
              </w:tc>
              <w:tc>
                <w:tcPr>
                  <w:tcW w:w="1078" w:type="pct"/>
                  <w:tcBorders>
                    <w:tl2br w:val="nil"/>
                    <w:tr2bl w:val="nil"/>
                  </w:tcBorders>
                  <w:noWrap w:val="0"/>
                  <w:vAlign w:val="center"/>
                </w:tcPr>
                <w:p w14:paraId="6296BEF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r>
                    <w:rPr>
                      <w:rFonts w:hint="eastAsia" w:ascii="Times New Roman" w:hAnsi="Times New Roman"/>
                      <w:color w:val="auto"/>
                      <w:sz w:val="21"/>
                      <w:szCs w:val="21"/>
                    </w:rPr>
                    <w:t>防渗区域</w:t>
                  </w:r>
                </w:p>
              </w:tc>
              <w:tc>
                <w:tcPr>
                  <w:tcW w:w="1965" w:type="pct"/>
                  <w:tcBorders>
                    <w:tl2br w:val="nil"/>
                    <w:tr2bl w:val="nil"/>
                  </w:tcBorders>
                  <w:noWrap w:val="0"/>
                  <w:vAlign w:val="center"/>
                </w:tcPr>
                <w:p w14:paraId="4947AE1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r>
                    <w:rPr>
                      <w:rFonts w:hint="eastAsia" w:ascii="Times New Roman" w:hAnsi="Times New Roman"/>
                      <w:color w:val="auto"/>
                      <w:sz w:val="21"/>
                      <w:szCs w:val="21"/>
                    </w:rPr>
                    <w:t>防渗要求</w:t>
                  </w:r>
                </w:p>
              </w:tc>
            </w:tr>
            <w:tr w14:paraId="70D87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pct"/>
                  <w:vMerge w:val="restart"/>
                  <w:tcBorders>
                    <w:tl2br w:val="nil"/>
                    <w:tr2bl w:val="nil"/>
                  </w:tcBorders>
                  <w:noWrap w:val="0"/>
                  <w:vAlign w:val="center"/>
                </w:tcPr>
                <w:p w14:paraId="38396CA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重点防</w:t>
                  </w:r>
                </w:p>
                <w:p w14:paraId="25C8C2E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r>
                    <w:rPr>
                      <w:rFonts w:hint="eastAsia" w:ascii="Times New Roman" w:hAnsi="Times New Roman"/>
                      <w:color w:val="auto"/>
                      <w:sz w:val="21"/>
                      <w:szCs w:val="21"/>
                    </w:rPr>
                    <w:t>渗区</w:t>
                  </w:r>
                </w:p>
              </w:tc>
              <w:tc>
                <w:tcPr>
                  <w:tcW w:w="1232" w:type="pct"/>
                  <w:tcBorders>
                    <w:tl2br w:val="nil"/>
                    <w:tr2bl w:val="nil"/>
                  </w:tcBorders>
                  <w:noWrap w:val="0"/>
                  <w:vAlign w:val="center"/>
                </w:tcPr>
                <w:p w14:paraId="642A692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olor w:val="auto"/>
                      <w:kern w:val="2"/>
                      <w:sz w:val="21"/>
                      <w:szCs w:val="21"/>
                      <w:shd w:val="clear" w:color="auto" w:fill="auto"/>
                      <w:lang w:val="en-US" w:eastAsia="zh-CN" w:bidi="ar-SA"/>
                    </w:rPr>
                  </w:pPr>
                  <w:r>
                    <w:rPr>
                      <w:rFonts w:hint="eastAsia" w:ascii="Times New Roman" w:hAnsi="Times New Roman" w:cs="Times New Roman"/>
                      <w:color w:val="auto"/>
                      <w:kern w:val="0"/>
                      <w:sz w:val="21"/>
                      <w:szCs w:val="21"/>
                      <w:highlight w:val="none"/>
                      <w:u w:val="none"/>
                      <w:shd w:val="clear" w:color="auto" w:fill="auto"/>
                      <w:lang w:val="en-US" w:eastAsia="zh-CN" w:bidi="he-IL"/>
                    </w:rPr>
                    <w:t>危险废物间</w:t>
                  </w:r>
                </w:p>
              </w:tc>
              <w:tc>
                <w:tcPr>
                  <w:tcW w:w="1078" w:type="pct"/>
                  <w:tcBorders>
                    <w:tl2br w:val="nil"/>
                    <w:tr2bl w:val="nil"/>
                  </w:tcBorders>
                  <w:noWrap w:val="0"/>
                  <w:vAlign w:val="center"/>
                </w:tcPr>
                <w:p w14:paraId="34C9E58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kern w:val="2"/>
                      <w:sz w:val="21"/>
                      <w:szCs w:val="21"/>
                      <w:shd w:val="clear" w:color="auto" w:fill="auto"/>
                      <w:lang w:val="en-US" w:eastAsia="zh-CN" w:bidi="ar-SA"/>
                    </w:rPr>
                  </w:pPr>
                  <w:r>
                    <w:rPr>
                      <w:rFonts w:hint="eastAsia" w:ascii="Times New Roman" w:hAnsi="Times New Roman" w:cs="Times New Roman"/>
                      <w:color w:val="auto"/>
                      <w:sz w:val="21"/>
                      <w:szCs w:val="21"/>
                      <w:highlight w:val="none"/>
                      <w:u w:val="none"/>
                      <w:shd w:val="clear" w:color="auto" w:fill="auto"/>
                      <w:lang w:eastAsia="zh-CN"/>
                    </w:rPr>
                    <w:t>地面、</w:t>
                  </w:r>
                  <w:r>
                    <w:rPr>
                      <w:rFonts w:hint="eastAsia" w:ascii="Times New Roman" w:hAnsi="Times New Roman" w:cs="Times New Roman"/>
                      <w:color w:val="auto"/>
                      <w:sz w:val="21"/>
                      <w:szCs w:val="21"/>
                      <w:highlight w:val="none"/>
                      <w:u w:val="none"/>
                      <w:shd w:val="clear" w:color="auto" w:fill="auto"/>
                      <w:lang w:val="en-US" w:eastAsia="zh-CN"/>
                    </w:rPr>
                    <w:t>裙角、导流沟</w:t>
                  </w:r>
                  <w:r>
                    <w:rPr>
                      <w:rFonts w:hint="eastAsia" w:ascii="Times New Roman" w:hAnsi="Times New Roman"/>
                      <w:color w:val="auto"/>
                      <w:sz w:val="21"/>
                      <w:szCs w:val="21"/>
                      <w:shd w:val="clear" w:color="auto" w:fill="auto"/>
                    </w:rPr>
                    <w:t>沟底和沟壁</w:t>
                  </w:r>
                </w:p>
              </w:tc>
              <w:tc>
                <w:tcPr>
                  <w:tcW w:w="1965" w:type="pct"/>
                  <w:vMerge w:val="restart"/>
                  <w:tcBorders>
                    <w:tl2br w:val="nil"/>
                    <w:tr2bl w:val="nil"/>
                  </w:tcBorders>
                  <w:noWrap w:val="0"/>
                  <w:vAlign w:val="center"/>
                </w:tcPr>
                <w:p w14:paraId="662DAF78">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hint="eastAsia" w:ascii="Times New Roman" w:hAnsi="Times New Roman" w:eastAsia="宋体" w:cs="Times New Roman"/>
                      <w:color w:val="auto"/>
                      <w:kern w:val="0"/>
                      <w:sz w:val="21"/>
                      <w:szCs w:val="21"/>
                      <w:highlight w:val="none"/>
                      <w:u w:val="none"/>
                      <w:shd w:val="clear" w:color="auto" w:fill="auto"/>
                      <w:lang w:val="en-US" w:eastAsia="zh-CN" w:bidi="he-IL"/>
                    </w:rPr>
                  </w:pPr>
                  <w:r>
                    <w:rPr>
                      <w:rFonts w:hint="eastAsia" w:ascii="Times New Roman" w:hAnsi="Times New Roman"/>
                      <w:color w:val="auto"/>
                      <w:sz w:val="21"/>
                      <w:szCs w:val="21"/>
                    </w:rPr>
                    <w:t>①根据《报废机动车拆解企业污染控制技术规范》（HJ348-2022），地面混凝土强度等级不低于C20，厚度不低于150mm，其中物流通</w:t>
                  </w:r>
                  <w:r>
                    <w:rPr>
                      <w:rFonts w:hint="eastAsia" w:ascii="Times New Roman" w:hAnsi="Times New Roman" w:eastAsia="宋体" w:cs="Times New Roman"/>
                      <w:color w:val="auto"/>
                      <w:kern w:val="0"/>
                      <w:sz w:val="21"/>
                      <w:szCs w:val="21"/>
                      <w:highlight w:val="none"/>
                      <w:u w:val="none"/>
                      <w:shd w:val="clear" w:color="auto" w:fill="auto"/>
                      <w:lang w:val="en-US" w:eastAsia="zh-CN" w:bidi="he-IL"/>
                    </w:rPr>
                    <w:t>道路面和拆解作业区域强度不低于C30，厚度不低于200mm。</w:t>
                  </w:r>
                </w:p>
                <w:p w14:paraId="42C14B9C">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hint="eastAsia" w:ascii="Times New Roman" w:hAnsi="Times New Roman" w:eastAsia="宋体" w:cs="Times New Roman"/>
                      <w:color w:val="auto"/>
                      <w:kern w:val="0"/>
                      <w:sz w:val="21"/>
                      <w:szCs w:val="21"/>
                      <w:highlight w:val="none"/>
                      <w:u w:val="none"/>
                      <w:shd w:val="clear" w:color="auto" w:fill="auto"/>
                      <w:lang w:val="en-US" w:eastAsia="zh-CN" w:bidi="he-IL"/>
                    </w:rPr>
                  </w:pPr>
                  <w:r>
                    <w:rPr>
                      <w:rFonts w:hint="eastAsia" w:ascii="Times New Roman" w:hAnsi="Times New Roman" w:eastAsia="宋体" w:cs="Times New Roman"/>
                      <w:color w:val="auto"/>
                      <w:kern w:val="0"/>
                      <w:sz w:val="21"/>
                      <w:szCs w:val="21"/>
                      <w:highlight w:val="none"/>
                      <w:u w:val="none"/>
                      <w:shd w:val="clear" w:color="auto" w:fill="auto"/>
                      <w:lang w:val="en-US" w:eastAsia="zh-CN" w:bidi="he-IL"/>
                    </w:rPr>
                    <w:t>②等效黏土防渗层Mb≥6.0m、渗透系数K≤1.0×10</w:t>
                  </w:r>
                  <w:r>
                    <w:rPr>
                      <w:rFonts w:hint="eastAsia" w:ascii="Times New Roman" w:hAnsi="Times New Roman" w:eastAsia="宋体" w:cs="Times New Roman"/>
                      <w:color w:val="auto"/>
                      <w:kern w:val="0"/>
                      <w:sz w:val="21"/>
                      <w:szCs w:val="21"/>
                      <w:highlight w:val="none"/>
                      <w:u w:val="none"/>
                      <w:shd w:val="clear" w:color="auto" w:fill="auto"/>
                      <w:vertAlign w:val="superscript"/>
                      <w:lang w:val="en-US" w:eastAsia="zh-CN" w:bidi="he-IL"/>
                    </w:rPr>
                    <w:t>-7</w:t>
                  </w:r>
                  <w:r>
                    <w:rPr>
                      <w:rFonts w:hint="eastAsia" w:ascii="Times New Roman" w:hAnsi="Times New Roman" w:eastAsia="宋体" w:cs="Times New Roman"/>
                      <w:color w:val="auto"/>
                      <w:kern w:val="0"/>
                      <w:sz w:val="21"/>
                      <w:szCs w:val="21"/>
                      <w:highlight w:val="none"/>
                      <w:u w:val="none"/>
                      <w:shd w:val="clear" w:color="auto" w:fill="auto"/>
                      <w:vertAlign w:val="baseline"/>
                      <w:lang w:val="en-US" w:eastAsia="zh-CN" w:bidi="he-IL"/>
                    </w:rPr>
                    <w:t>c</w:t>
                  </w:r>
                  <w:r>
                    <w:rPr>
                      <w:rFonts w:hint="eastAsia" w:ascii="Times New Roman" w:hAnsi="Times New Roman" w:eastAsia="宋体" w:cs="Times New Roman"/>
                      <w:color w:val="auto"/>
                      <w:kern w:val="0"/>
                      <w:sz w:val="21"/>
                      <w:szCs w:val="21"/>
                      <w:highlight w:val="none"/>
                      <w:u w:val="none"/>
                      <w:shd w:val="clear" w:color="auto" w:fill="auto"/>
                      <w:lang w:val="en-US" w:eastAsia="zh-CN" w:bidi="he-IL"/>
                    </w:rPr>
                    <w:t>m/s</w:t>
                  </w:r>
                </w:p>
                <w:p w14:paraId="40737FBC">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hint="eastAsia" w:ascii="Times New Roman" w:hAnsi="Times New Roman" w:eastAsia="宋体" w:cs="Times New Roman"/>
                      <w:color w:val="auto"/>
                      <w:kern w:val="0"/>
                      <w:sz w:val="21"/>
                      <w:szCs w:val="21"/>
                      <w:highlight w:val="none"/>
                      <w:u w:val="none"/>
                      <w:shd w:val="clear" w:color="auto" w:fill="auto"/>
                      <w:lang w:val="en-US" w:eastAsia="zh-CN" w:bidi="he-IL"/>
                    </w:rPr>
                  </w:pPr>
                  <w:r>
                    <w:rPr>
                      <w:rFonts w:hint="eastAsia" w:ascii="Times New Roman" w:hAnsi="Times New Roman" w:eastAsia="宋体" w:cs="Times New Roman"/>
                      <w:color w:val="auto"/>
                      <w:kern w:val="0"/>
                      <w:sz w:val="21"/>
                      <w:szCs w:val="21"/>
                      <w:highlight w:val="none"/>
                      <w:u w:val="none"/>
                      <w:shd w:val="clear" w:color="auto" w:fill="auto"/>
                      <w:lang w:val="en-US" w:eastAsia="zh-CN" w:bidi="he-IL"/>
                    </w:rPr>
                    <w:t>③动力蓄电池拆卸车间地面要求进行绝缘处理，危废暂存间内废铅酸蓄电池分区应执行按照《电池废料贮运规范》</w:t>
                  </w:r>
                </w:p>
                <w:p w14:paraId="4D6D7D27">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hint="eastAsia" w:ascii="Times New Roman" w:hAnsi="Times New Roman" w:eastAsia="宋体" w:cs="Times New Roman"/>
                      <w:color w:val="auto"/>
                      <w:kern w:val="0"/>
                      <w:sz w:val="21"/>
                      <w:szCs w:val="21"/>
                      <w:highlight w:val="none"/>
                      <w:u w:val="none"/>
                      <w:shd w:val="clear" w:color="auto" w:fill="auto"/>
                      <w:lang w:val="en-US" w:eastAsia="zh-CN" w:bidi="he-IL"/>
                    </w:rPr>
                  </w:pPr>
                  <w:r>
                    <w:rPr>
                      <w:rFonts w:hint="eastAsia" w:ascii="Times New Roman" w:hAnsi="Times New Roman" w:eastAsia="宋体" w:cs="Times New Roman"/>
                      <w:color w:val="auto"/>
                      <w:kern w:val="0"/>
                      <w:sz w:val="21"/>
                      <w:szCs w:val="21"/>
                      <w:highlight w:val="none"/>
                      <w:u w:val="none"/>
                      <w:shd w:val="clear" w:color="auto" w:fill="auto"/>
                      <w:lang w:val="en-US" w:eastAsia="zh-CN" w:bidi="he-IL"/>
                    </w:rPr>
                    <w:t>（GB/T 26493-2011）的规定，地面设置耐酸隔离层</w:t>
                  </w:r>
                </w:p>
                <w:p w14:paraId="47AC0D30">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hint="default"/>
                      <w:color w:val="auto"/>
                      <w:lang w:val="en-US" w:eastAsia="zh-CN"/>
                    </w:rPr>
                  </w:pPr>
                  <w:r>
                    <w:rPr>
                      <w:rFonts w:hint="default"/>
                      <w:color w:val="auto"/>
                      <w:lang w:val="en-US" w:eastAsia="zh-CN"/>
                    </w:rPr>
                    <w:t>④</w:t>
                  </w:r>
                  <w:r>
                    <w:rPr>
                      <w:rFonts w:hint="eastAsia"/>
                      <w:color w:val="auto"/>
                      <w:lang w:val="en-US" w:eastAsia="zh-CN"/>
                    </w:rPr>
                    <w:t>污水收集管道、阀门统一采用防腐防渗材料，污水管接口采取严格的密封措施</w:t>
                  </w:r>
                </w:p>
              </w:tc>
            </w:tr>
            <w:tr w14:paraId="34AB8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pct"/>
                  <w:vMerge w:val="continue"/>
                  <w:tcBorders>
                    <w:tl2br w:val="nil"/>
                    <w:tr2bl w:val="nil"/>
                  </w:tcBorders>
                  <w:noWrap w:val="0"/>
                  <w:vAlign w:val="center"/>
                </w:tcPr>
                <w:p w14:paraId="7B53BDB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sz w:val="21"/>
                      <w:szCs w:val="21"/>
                    </w:rPr>
                  </w:pPr>
                </w:p>
              </w:tc>
              <w:tc>
                <w:tcPr>
                  <w:tcW w:w="1232" w:type="pct"/>
                  <w:tcBorders>
                    <w:tl2br w:val="nil"/>
                    <w:tr2bl w:val="nil"/>
                  </w:tcBorders>
                  <w:noWrap w:val="0"/>
                  <w:vAlign w:val="center"/>
                </w:tcPr>
                <w:p w14:paraId="686BE09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kern w:val="0"/>
                      <w:sz w:val="21"/>
                      <w:szCs w:val="21"/>
                      <w:highlight w:val="none"/>
                      <w:u w:val="none"/>
                      <w:shd w:val="clear" w:color="auto" w:fill="auto"/>
                      <w:lang w:val="en-US" w:eastAsia="zh-CN" w:bidi="he-IL"/>
                    </w:rPr>
                  </w:pPr>
                  <w:r>
                    <w:rPr>
                      <w:rFonts w:hint="eastAsia" w:ascii="Times New Roman" w:hAnsi="Times New Roman" w:cs="Times New Roman"/>
                      <w:color w:val="auto"/>
                      <w:kern w:val="0"/>
                      <w:sz w:val="21"/>
                      <w:szCs w:val="21"/>
                      <w:highlight w:val="none"/>
                      <w:u w:val="none"/>
                      <w:shd w:val="clear" w:color="auto" w:fill="auto"/>
                      <w:lang w:val="en-US" w:eastAsia="zh-CN" w:bidi="he-IL"/>
                    </w:rPr>
                    <w:t>预处理车间、大小车拆解车间、废变压器拆解车间、废电机拆解车间、动力蓄电池拆卸车间</w:t>
                  </w:r>
                </w:p>
              </w:tc>
              <w:tc>
                <w:tcPr>
                  <w:tcW w:w="1078" w:type="pct"/>
                  <w:tcBorders>
                    <w:tl2br w:val="nil"/>
                    <w:tr2bl w:val="nil"/>
                  </w:tcBorders>
                  <w:noWrap w:val="0"/>
                  <w:vAlign w:val="center"/>
                </w:tcPr>
                <w:p w14:paraId="313F705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auto"/>
                      <w:sz w:val="21"/>
                      <w:szCs w:val="21"/>
                      <w:highlight w:val="none"/>
                      <w:u w:val="none"/>
                      <w:shd w:val="clear" w:color="auto" w:fill="auto"/>
                      <w:lang w:eastAsia="zh-CN"/>
                    </w:rPr>
                  </w:pPr>
                  <w:r>
                    <w:rPr>
                      <w:rFonts w:hint="eastAsia" w:ascii="Times New Roman" w:hAnsi="Times New Roman" w:cs="Times New Roman"/>
                      <w:color w:val="auto"/>
                      <w:sz w:val="21"/>
                      <w:szCs w:val="21"/>
                      <w:highlight w:val="none"/>
                      <w:u w:val="none"/>
                      <w:shd w:val="clear" w:color="auto" w:fill="auto"/>
                      <w:lang w:eastAsia="zh-CN"/>
                    </w:rPr>
                    <w:t>地面</w:t>
                  </w:r>
                </w:p>
              </w:tc>
              <w:tc>
                <w:tcPr>
                  <w:tcW w:w="1965" w:type="pct"/>
                  <w:vMerge w:val="continue"/>
                  <w:tcBorders>
                    <w:tl2br w:val="nil"/>
                    <w:tr2bl w:val="nil"/>
                  </w:tcBorders>
                  <w:noWrap w:val="0"/>
                  <w:vAlign w:val="center"/>
                </w:tcPr>
                <w:p w14:paraId="388942C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sz w:val="21"/>
                      <w:szCs w:val="21"/>
                    </w:rPr>
                  </w:pPr>
                </w:p>
              </w:tc>
            </w:tr>
            <w:tr w14:paraId="79754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3" w:type="pct"/>
                  <w:vMerge w:val="continue"/>
                  <w:tcBorders>
                    <w:tl2br w:val="nil"/>
                    <w:tr2bl w:val="nil"/>
                  </w:tcBorders>
                  <w:noWrap w:val="0"/>
                  <w:vAlign w:val="center"/>
                </w:tcPr>
                <w:p w14:paraId="1E7A4EB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sz w:val="21"/>
                      <w:szCs w:val="21"/>
                    </w:rPr>
                  </w:pPr>
                </w:p>
              </w:tc>
              <w:tc>
                <w:tcPr>
                  <w:tcW w:w="1232" w:type="pct"/>
                  <w:tcBorders>
                    <w:tl2br w:val="nil"/>
                    <w:tr2bl w:val="nil"/>
                  </w:tcBorders>
                  <w:noWrap w:val="0"/>
                  <w:vAlign w:val="center"/>
                </w:tcPr>
                <w:p w14:paraId="657301A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auto"/>
                      <w:kern w:val="0"/>
                      <w:sz w:val="21"/>
                      <w:szCs w:val="21"/>
                      <w:highlight w:val="none"/>
                      <w:u w:val="none"/>
                      <w:shd w:val="clear" w:color="auto" w:fill="auto"/>
                      <w:lang w:val="en-US" w:eastAsia="zh-CN" w:bidi="he-IL"/>
                    </w:rPr>
                  </w:pPr>
                  <w:r>
                    <w:rPr>
                      <w:rFonts w:hint="eastAsia" w:ascii="Times New Roman" w:hAnsi="Times New Roman" w:cs="Times New Roman"/>
                      <w:color w:val="auto"/>
                      <w:kern w:val="0"/>
                      <w:sz w:val="21"/>
                      <w:szCs w:val="21"/>
                      <w:highlight w:val="none"/>
                      <w:u w:val="none"/>
                      <w:shd w:val="clear" w:color="auto" w:fill="auto"/>
                      <w:lang w:val="en-US" w:eastAsia="zh-CN" w:bidi="he-IL"/>
                    </w:rPr>
                    <w:t>动力蓄电池拆卸车间、</w:t>
                  </w:r>
                  <w:r>
                    <w:rPr>
                      <w:rFonts w:hint="eastAsia" w:ascii="Times New Roman" w:hAnsi="Times New Roman"/>
                      <w:color w:val="auto"/>
                      <w:szCs w:val="21"/>
                      <w:lang w:val="en-US" w:eastAsia="zh-CN"/>
                    </w:rPr>
                    <w:t>动力蓄电池暂存间</w:t>
                  </w:r>
                </w:p>
              </w:tc>
              <w:tc>
                <w:tcPr>
                  <w:tcW w:w="1078" w:type="pct"/>
                  <w:tcBorders>
                    <w:tl2br w:val="nil"/>
                    <w:tr2bl w:val="nil"/>
                  </w:tcBorders>
                  <w:noWrap w:val="0"/>
                  <w:vAlign w:val="center"/>
                </w:tcPr>
                <w:p w14:paraId="342FECD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sz w:val="21"/>
                      <w:szCs w:val="21"/>
                      <w:highlight w:val="none"/>
                      <w:u w:val="none"/>
                      <w:shd w:val="clear" w:color="auto" w:fill="auto"/>
                      <w:lang w:val="en-US" w:eastAsia="zh-CN"/>
                    </w:rPr>
                  </w:pPr>
                  <w:r>
                    <w:rPr>
                      <w:rFonts w:hint="eastAsia" w:ascii="Times New Roman" w:hAnsi="Times New Roman" w:cs="Times New Roman"/>
                      <w:color w:val="auto"/>
                      <w:sz w:val="21"/>
                      <w:szCs w:val="21"/>
                      <w:highlight w:val="none"/>
                      <w:u w:val="none"/>
                      <w:shd w:val="clear" w:color="auto" w:fill="auto"/>
                      <w:lang w:val="en-US" w:eastAsia="zh-CN"/>
                    </w:rPr>
                    <w:t>电解液应急收集池</w:t>
                  </w:r>
                </w:p>
              </w:tc>
              <w:tc>
                <w:tcPr>
                  <w:tcW w:w="1965" w:type="pct"/>
                  <w:vMerge w:val="continue"/>
                  <w:tcBorders>
                    <w:tl2br w:val="nil"/>
                    <w:tr2bl w:val="nil"/>
                  </w:tcBorders>
                  <w:noWrap w:val="0"/>
                  <w:vAlign w:val="center"/>
                </w:tcPr>
                <w:p w14:paraId="4B4F192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sz w:val="21"/>
                      <w:szCs w:val="21"/>
                    </w:rPr>
                  </w:pPr>
                </w:p>
              </w:tc>
            </w:tr>
            <w:tr w14:paraId="5715E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pct"/>
                  <w:vMerge w:val="continue"/>
                  <w:tcBorders>
                    <w:tl2br w:val="nil"/>
                    <w:tr2bl w:val="nil"/>
                  </w:tcBorders>
                  <w:noWrap w:val="0"/>
                  <w:vAlign w:val="center"/>
                </w:tcPr>
                <w:p w14:paraId="3871C08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sz w:val="21"/>
                      <w:szCs w:val="21"/>
                    </w:rPr>
                  </w:pPr>
                </w:p>
              </w:tc>
              <w:tc>
                <w:tcPr>
                  <w:tcW w:w="1232" w:type="pct"/>
                  <w:tcBorders>
                    <w:tl2br w:val="nil"/>
                    <w:tr2bl w:val="nil"/>
                  </w:tcBorders>
                  <w:noWrap w:val="0"/>
                  <w:vAlign w:val="center"/>
                </w:tcPr>
                <w:p w14:paraId="2D9227F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auto"/>
                      <w:kern w:val="0"/>
                      <w:sz w:val="21"/>
                      <w:szCs w:val="21"/>
                      <w:highlight w:val="none"/>
                      <w:u w:val="none"/>
                      <w:shd w:val="clear" w:color="auto" w:fill="auto"/>
                      <w:lang w:val="en-US" w:eastAsia="zh-CN" w:bidi="he-IL"/>
                    </w:rPr>
                  </w:pPr>
                  <w:r>
                    <w:rPr>
                      <w:rFonts w:hint="eastAsia" w:ascii="Times New Roman" w:hAnsi="Times New Roman" w:cs="Times New Roman"/>
                      <w:color w:val="auto"/>
                      <w:kern w:val="0"/>
                      <w:sz w:val="21"/>
                      <w:szCs w:val="21"/>
                      <w:highlight w:val="none"/>
                      <w:u w:val="none"/>
                      <w:shd w:val="clear" w:color="auto" w:fill="auto"/>
                      <w:lang w:val="en-US" w:eastAsia="zh-CN" w:bidi="he-IL"/>
                    </w:rPr>
                    <w:t>收集池，废水处理设施</w:t>
                  </w:r>
                </w:p>
              </w:tc>
              <w:tc>
                <w:tcPr>
                  <w:tcW w:w="1078" w:type="pct"/>
                  <w:tcBorders>
                    <w:tl2br w:val="nil"/>
                    <w:tr2bl w:val="nil"/>
                  </w:tcBorders>
                  <w:noWrap w:val="0"/>
                  <w:vAlign w:val="center"/>
                </w:tcPr>
                <w:p w14:paraId="1F941A4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auto"/>
                      <w:sz w:val="21"/>
                      <w:szCs w:val="21"/>
                      <w:highlight w:val="none"/>
                      <w:u w:val="none"/>
                      <w:shd w:val="clear" w:color="auto" w:fill="auto"/>
                      <w:lang w:val="en-US" w:eastAsia="zh-CN"/>
                    </w:rPr>
                  </w:pPr>
                  <w:r>
                    <w:rPr>
                      <w:rFonts w:hint="eastAsia" w:ascii="Times New Roman" w:hAnsi="Times New Roman" w:cs="Times New Roman"/>
                      <w:color w:val="auto"/>
                      <w:sz w:val="21"/>
                      <w:szCs w:val="21"/>
                      <w:highlight w:val="none"/>
                      <w:u w:val="none"/>
                      <w:shd w:val="clear" w:color="auto" w:fill="auto"/>
                      <w:lang w:eastAsia="zh-CN"/>
                    </w:rPr>
                    <w:t>废水设施各构筑物</w:t>
                  </w:r>
                  <w:r>
                    <w:rPr>
                      <w:rFonts w:hint="eastAsia" w:ascii="Times New Roman" w:hAnsi="Times New Roman" w:cs="Times New Roman"/>
                      <w:color w:val="auto"/>
                      <w:sz w:val="21"/>
                      <w:szCs w:val="21"/>
                      <w:highlight w:val="none"/>
                      <w:u w:val="none"/>
                      <w:shd w:val="clear" w:color="auto" w:fill="auto"/>
                      <w:lang w:val="en-US" w:eastAsia="zh-CN"/>
                    </w:rPr>
                    <w:t>底部、池体四周</w:t>
                  </w:r>
                </w:p>
              </w:tc>
              <w:tc>
                <w:tcPr>
                  <w:tcW w:w="1965" w:type="pct"/>
                  <w:vMerge w:val="continue"/>
                  <w:tcBorders>
                    <w:tl2br w:val="nil"/>
                    <w:tr2bl w:val="nil"/>
                  </w:tcBorders>
                  <w:noWrap w:val="0"/>
                  <w:vAlign w:val="center"/>
                </w:tcPr>
                <w:p w14:paraId="14A45C6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sz w:val="21"/>
                      <w:szCs w:val="21"/>
                    </w:rPr>
                  </w:pPr>
                </w:p>
              </w:tc>
            </w:tr>
            <w:tr w14:paraId="6585A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pct"/>
                  <w:vMerge w:val="continue"/>
                  <w:tcBorders>
                    <w:tl2br w:val="nil"/>
                    <w:tr2bl w:val="nil"/>
                  </w:tcBorders>
                  <w:noWrap w:val="0"/>
                  <w:vAlign w:val="center"/>
                </w:tcPr>
                <w:p w14:paraId="3E41C44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sz w:val="21"/>
                      <w:szCs w:val="21"/>
                    </w:rPr>
                  </w:pPr>
                </w:p>
              </w:tc>
              <w:tc>
                <w:tcPr>
                  <w:tcW w:w="1232" w:type="pct"/>
                  <w:tcBorders>
                    <w:tl2br w:val="nil"/>
                    <w:tr2bl w:val="nil"/>
                  </w:tcBorders>
                  <w:noWrap w:val="0"/>
                  <w:vAlign w:val="center"/>
                </w:tcPr>
                <w:p w14:paraId="5E6C42E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auto"/>
                      <w:kern w:val="0"/>
                      <w:sz w:val="21"/>
                      <w:szCs w:val="21"/>
                      <w:highlight w:val="none"/>
                      <w:u w:val="none"/>
                      <w:shd w:val="clear" w:color="auto" w:fill="auto"/>
                      <w:lang w:val="en-US" w:eastAsia="zh-CN" w:bidi="he-IL"/>
                    </w:rPr>
                  </w:pPr>
                  <w:r>
                    <w:rPr>
                      <w:rFonts w:hint="eastAsia" w:ascii="Times New Roman" w:hAnsi="Times New Roman" w:cs="Times New Roman"/>
                      <w:color w:val="auto"/>
                      <w:kern w:val="0"/>
                      <w:sz w:val="21"/>
                      <w:szCs w:val="21"/>
                      <w:highlight w:val="none"/>
                      <w:u w:val="none"/>
                      <w:shd w:val="clear" w:color="auto" w:fill="auto"/>
                      <w:lang w:val="en-US" w:eastAsia="zh-CN" w:bidi="he-IL"/>
                    </w:rPr>
                    <w:t>污水管道、阀门、导流沟槽</w:t>
                  </w:r>
                </w:p>
              </w:tc>
              <w:tc>
                <w:tcPr>
                  <w:tcW w:w="1078" w:type="pct"/>
                  <w:tcBorders>
                    <w:tl2br w:val="nil"/>
                    <w:tr2bl w:val="nil"/>
                  </w:tcBorders>
                  <w:noWrap w:val="0"/>
                  <w:vAlign w:val="center"/>
                </w:tcPr>
                <w:p w14:paraId="05DE3E3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auto"/>
                      <w:sz w:val="21"/>
                      <w:szCs w:val="21"/>
                      <w:highlight w:val="none"/>
                      <w:u w:val="none"/>
                      <w:shd w:val="clear" w:color="auto" w:fill="auto"/>
                      <w:lang w:eastAsia="zh-CN"/>
                    </w:rPr>
                  </w:pPr>
                  <w:r>
                    <w:rPr>
                      <w:rFonts w:hint="eastAsia" w:ascii="Times New Roman" w:hAnsi="Times New Roman" w:cs="Times New Roman"/>
                      <w:color w:val="auto"/>
                      <w:sz w:val="21"/>
                      <w:szCs w:val="21"/>
                      <w:highlight w:val="none"/>
                      <w:u w:val="none"/>
                      <w:shd w:val="clear" w:color="auto" w:fill="auto"/>
                      <w:lang w:eastAsia="zh-CN"/>
                    </w:rPr>
                    <w:t>管道四周、导流沟槽底部及四周</w:t>
                  </w:r>
                </w:p>
              </w:tc>
              <w:tc>
                <w:tcPr>
                  <w:tcW w:w="1965" w:type="pct"/>
                  <w:vMerge w:val="continue"/>
                  <w:tcBorders>
                    <w:tl2br w:val="nil"/>
                    <w:tr2bl w:val="nil"/>
                  </w:tcBorders>
                  <w:noWrap w:val="0"/>
                  <w:vAlign w:val="center"/>
                </w:tcPr>
                <w:p w14:paraId="454A261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sz w:val="21"/>
                      <w:szCs w:val="21"/>
                    </w:rPr>
                  </w:pPr>
                </w:p>
              </w:tc>
            </w:tr>
            <w:tr w14:paraId="65433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pct"/>
                  <w:vMerge w:val="restart"/>
                  <w:tcBorders>
                    <w:tl2br w:val="nil"/>
                    <w:tr2bl w:val="nil"/>
                  </w:tcBorders>
                  <w:noWrap w:val="0"/>
                  <w:vAlign w:val="center"/>
                </w:tcPr>
                <w:p w14:paraId="5F2881A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一般防</w:t>
                  </w:r>
                </w:p>
                <w:p w14:paraId="72D3AF1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r>
                    <w:rPr>
                      <w:rFonts w:hint="eastAsia" w:ascii="Times New Roman" w:hAnsi="Times New Roman"/>
                      <w:color w:val="auto"/>
                      <w:sz w:val="21"/>
                      <w:szCs w:val="21"/>
                    </w:rPr>
                    <w:t>渗区</w:t>
                  </w:r>
                </w:p>
              </w:tc>
              <w:tc>
                <w:tcPr>
                  <w:tcW w:w="1232" w:type="pct"/>
                  <w:tcBorders>
                    <w:tl2br w:val="nil"/>
                    <w:tr2bl w:val="nil"/>
                  </w:tcBorders>
                  <w:noWrap w:val="0"/>
                  <w:vAlign w:val="center"/>
                </w:tcPr>
                <w:p w14:paraId="429B3A8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仓库区</w:t>
                  </w:r>
                </w:p>
              </w:tc>
              <w:tc>
                <w:tcPr>
                  <w:tcW w:w="1078" w:type="pct"/>
                  <w:tcBorders>
                    <w:tl2br w:val="nil"/>
                    <w:tr2bl w:val="nil"/>
                  </w:tcBorders>
                  <w:noWrap w:val="0"/>
                  <w:vAlign w:val="center"/>
                </w:tcPr>
                <w:p w14:paraId="1F8C9DA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kern w:val="2"/>
                      <w:sz w:val="21"/>
                      <w:szCs w:val="21"/>
                      <w:lang w:val="en-US" w:eastAsia="zh-CN" w:bidi="ar-SA"/>
                    </w:rPr>
                  </w:pPr>
                  <w:r>
                    <w:rPr>
                      <w:rFonts w:hint="eastAsia" w:ascii="Times New Roman" w:hAnsi="Times New Roman" w:cs="Times New Roman"/>
                      <w:color w:val="auto"/>
                      <w:sz w:val="21"/>
                      <w:szCs w:val="21"/>
                      <w:highlight w:val="none"/>
                      <w:u w:val="none"/>
                      <w:lang w:eastAsia="zh-CN"/>
                    </w:rPr>
                    <w:t>地面</w:t>
                  </w:r>
                </w:p>
              </w:tc>
              <w:tc>
                <w:tcPr>
                  <w:tcW w:w="1965" w:type="pct"/>
                  <w:vMerge w:val="restart"/>
                  <w:tcBorders>
                    <w:tl2br w:val="nil"/>
                    <w:tr2bl w:val="nil"/>
                  </w:tcBorders>
                  <w:noWrap w:val="0"/>
                  <w:vAlign w:val="center"/>
                </w:tcPr>
                <w:p w14:paraId="6D36C83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r>
                    <w:rPr>
                      <w:rFonts w:hint="eastAsia" w:ascii="Times New Roman" w:hAnsi="Times New Roman"/>
                      <w:color w:val="auto"/>
                      <w:sz w:val="21"/>
                      <w:szCs w:val="21"/>
                    </w:rPr>
                    <w:t>等效黏土防渗层Mb≥1.5</w:t>
                  </w:r>
                  <w:r>
                    <w:rPr>
                      <w:rFonts w:ascii="Times New Roman" w:hAnsi="Times New Roman"/>
                      <w:color w:val="auto"/>
                      <w:sz w:val="21"/>
                      <w:szCs w:val="21"/>
                    </w:rPr>
                    <w:t>m</w:t>
                  </w:r>
                  <w:r>
                    <w:rPr>
                      <w:rFonts w:hint="eastAsia" w:ascii="Times New Roman" w:hAnsi="Times New Roman"/>
                      <w:color w:val="auto"/>
                      <w:sz w:val="21"/>
                      <w:szCs w:val="21"/>
                    </w:rPr>
                    <w:t>、渗透系数K≤</w:t>
                  </w:r>
                  <w:r>
                    <w:rPr>
                      <w:rFonts w:ascii="Times New Roman" w:hAnsi="Times New Roman"/>
                      <w:color w:val="auto"/>
                      <w:sz w:val="21"/>
                      <w:szCs w:val="21"/>
                    </w:rPr>
                    <w:t>1.0</w:t>
                  </w:r>
                  <w:r>
                    <w:rPr>
                      <w:rFonts w:hint="eastAsia" w:ascii="Times New Roman" w:hAnsi="Times New Roman"/>
                      <w:color w:val="auto"/>
                      <w:sz w:val="21"/>
                      <w:szCs w:val="21"/>
                    </w:rPr>
                    <w:t>×</w:t>
                  </w:r>
                  <w:r>
                    <w:rPr>
                      <w:rFonts w:ascii="Times New Roman" w:hAnsi="Times New Roman"/>
                      <w:color w:val="auto"/>
                      <w:sz w:val="21"/>
                      <w:szCs w:val="21"/>
                    </w:rPr>
                    <w:t>10</w:t>
                  </w:r>
                  <w:r>
                    <w:rPr>
                      <w:rFonts w:ascii="Times New Roman" w:hAnsi="Times New Roman"/>
                      <w:color w:val="auto"/>
                      <w:sz w:val="21"/>
                      <w:szCs w:val="21"/>
                      <w:vertAlign w:val="superscript"/>
                    </w:rPr>
                    <w:t>-7</w:t>
                  </w:r>
                  <w:r>
                    <w:rPr>
                      <w:rFonts w:ascii="Times New Roman" w:hAnsi="Times New Roman"/>
                      <w:color w:val="auto"/>
                      <w:sz w:val="21"/>
                      <w:szCs w:val="21"/>
                    </w:rPr>
                    <w:t>cm/s</w:t>
                  </w:r>
                </w:p>
              </w:tc>
            </w:tr>
            <w:tr w14:paraId="562E8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pct"/>
                  <w:vMerge w:val="continue"/>
                  <w:tcBorders>
                    <w:tl2br w:val="nil"/>
                    <w:tr2bl w:val="nil"/>
                  </w:tcBorders>
                  <w:noWrap w:val="0"/>
                  <w:vAlign w:val="center"/>
                </w:tcPr>
                <w:p w14:paraId="4A9CF2A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p>
              </w:tc>
              <w:tc>
                <w:tcPr>
                  <w:tcW w:w="1232" w:type="pct"/>
                  <w:tcBorders>
                    <w:tl2br w:val="nil"/>
                    <w:tr2bl w:val="nil"/>
                  </w:tcBorders>
                  <w:noWrap w:val="0"/>
                  <w:vAlign w:val="center"/>
                </w:tcPr>
                <w:p w14:paraId="32A2031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大车小车停车场</w:t>
                  </w:r>
                </w:p>
              </w:tc>
              <w:tc>
                <w:tcPr>
                  <w:tcW w:w="1078" w:type="pct"/>
                  <w:tcBorders>
                    <w:tl2br w:val="nil"/>
                    <w:tr2bl w:val="nil"/>
                  </w:tcBorders>
                  <w:noWrap w:val="0"/>
                  <w:vAlign w:val="center"/>
                </w:tcPr>
                <w:p w14:paraId="35486EA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地面，四周导流沟槽</w:t>
                  </w:r>
                </w:p>
              </w:tc>
              <w:tc>
                <w:tcPr>
                  <w:tcW w:w="1965" w:type="pct"/>
                  <w:vMerge w:val="continue"/>
                  <w:tcBorders>
                    <w:tl2br w:val="nil"/>
                    <w:tr2bl w:val="nil"/>
                  </w:tcBorders>
                  <w:noWrap w:val="0"/>
                  <w:vAlign w:val="center"/>
                </w:tcPr>
                <w:p w14:paraId="636ADFA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p>
              </w:tc>
            </w:tr>
            <w:tr w14:paraId="3A3F9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pct"/>
                  <w:vMerge w:val="continue"/>
                  <w:tcBorders>
                    <w:tl2br w:val="nil"/>
                    <w:tr2bl w:val="nil"/>
                  </w:tcBorders>
                  <w:noWrap w:val="0"/>
                  <w:vAlign w:val="center"/>
                </w:tcPr>
                <w:p w14:paraId="4477034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p>
              </w:tc>
              <w:tc>
                <w:tcPr>
                  <w:tcW w:w="1232" w:type="pct"/>
                  <w:tcBorders>
                    <w:tl2br w:val="nil"/>
                    <w:tr2bl w:val="nil"/>
                  </w:tcBorders>
                  <w:noWrap w:val="0"/>
                  <w:vAlign w:val="center"/>
                </w:tcPr>
                <w:p w14:paraId="694E095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olor w:val="auto"/>
                      <w:szCs w:val="21"/>
                      <w:lang w:val="en-US" w:eastAsia="zh-CN"/>
                    </w:rPr>
                  </w:pPr>
                  <w:r>
                    <w:rPr>
                      <w:rFonts w:hint="eastAsia" w:ascii="Times New Roman" w:hAnsi="Times New Roman"/>
                      <w:color w:val="auto"/>
                      <w:szCs w:val="21"/>
                      <w:lang w:val="en-US" w:eastAsia="zh-CN"/>
                    </w:rPr>
                    <w:t>一般固废暂存间</w:t>
                  </w:r>
                </w:p>
              </w:tc>
              <w:tc>
                <w:tcPr>
                  <w:tcW w:w="1078" w:type="pct"/>
                  <w:tcBorders>
                    <w:tl2br w:val="nil"/>
                    <w:tr2bl w:val="nil"/>
                  </w:tcBorders>
                  <w:noWrap w:val="0"/>
                  <w:vAlign w:val="center"/>
                </w:tcPr>
                <w:p w14:paraId="035FA16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地面</w:t>
                  </w:r>
                </w:p>
              </w:tc>
              <w:tc>
                <w:tcPr>
                  <w:tcW w:w="1965" w:type="pct"/>
                  <w:vMerge w:val="continue"/>
                  <w:tcBorders>
                    <w:tl2br w:val="nil"/>
                    <w:tr2bl w:val="nil"/>
                  </w:tcBorders>
                  <w:noWrap w:val="0"/>
                  <w:vAlign w:val="center"/>
                </w:tcPr>
                <w:p w14:paraId="6261927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p>
              </w:tc>
            </w:tr>
            <w:tr w14:paraId="7B1CD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pct"/>
                  <w:vMerge w:val="continue"/>
                  <w:tcBorders>
                    <w:tl2br w:val="nil"/>
                    <w:tr2bl w:val="nil"/>
                  </w:tcBorders>
                  <w:noWrap w:val="0"/>
                  <w:vAlign w:val="center"/>
                </w:tcPr>
                <w:p w14:paraId="2B71428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p>
              </w:tc>
              <w:tc>
                <w:tcPr>
                  <w:tcW w:w="1232" w:type="pct"/>
                  <w:tcBorders>
                    <w:tl2br w:val="nil"/>
                    <w:tr2bl w:val="nil"/>
                  </w:tcBorders>
                  <w:noWrap w:val="0"/>
                  <w:vAlign w:val="center"/>
                </w:tcPr>
                <w:p w14:paraId="1973937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olor w:val="auto"/>
                      <w:szCs w:val="21"/>
                      <w:lang w:val="en-US" w:eastAsia="zh-CN"/>
                    </w:rPr>
                  </w:pPr>
                  <w:r>
                    <w:rPr>
                      <w:rFonts w:hint="eastAsia" w:ascii="Times New Roman" w:hAnsi="Times New Roman"/>
                      <w:color w:val="auto"/>
                      <w:szCs w:val="21"/>
                      <w:lang w:val="en-US" w:eastAsia="zh-CN"/>
                    </w:rPr>
                    <w:t>动力蓄电池暂存间</w:t>
                  </w:r>
                </w:p>
              </w:tc>
              <w:tc>
                <w:tcPr>
                  <w:tcW w:w="1078" w:type="pct"/>
                  <w:tcBorders>
                    <w:tl2br w:val="nil"/>
                    <w:tr2bl w:val="nil"/>
                  </w:tcBorders>
                  <w:noWrap w:val="0"/>
                  <w:vAlign w:val="center"/>
                </w:tcPr>
                <w:p w14:paraId="0918852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地面</w:t>
                  </w:r>
                </w:p>
              </w:tc>
              <w:tc>
                <w:tcPr>
                  <w:tcW w:w="1965" w:type="pct"/>
                  <w:vMerge w:val="continue"/>
                  <w:tcBorders>
                    <w:tl2br w:val="nil"/>
                    <w:tr2bl w:val="nil"/>
                  </w:tcBorders>
                  <w:noWrap w:val="0"/>
                  <w:vAlign w:val="center"/>
                </w:tcPr>
                <w:p w14:paraId="5E41E5F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p>
              </w:tc>
            </w:tr>
            <w:tr w14:paraId="2494A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pct"/>
                  <w:tcBorders>
                    <w:tl2br w:val="nil"/>
                    <w:tr2bl w:val="nil"/>
                  </w:tcBorders>
                  <w:noWrap w:val="0"/>
                  <w:vAlign w:val="center"/>
                </w:tcPr>
                <w:p w14:paraId="740C023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szCs w:val="21"/>
                    </w:rPr>
                  </w:pPr>
                  <w:r>
                    <w:rPr>
                      <w:rFonts w:hint="eastAsia" w:ascii="Times New Roman" w:hAnsi="Times New Roman"/>
                      <w:color w:val="auto"/>
                      <w:szCs w:val="21"/>
                    </w:rPr>
                    <w:t>简单防</w:t>
                  </w:r>
                </w:p>
                <w:p w14:paraId="0F3C633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kern w:val="2"/>
                      <w:sz w:val="21"/>
                      <w:szCs w:val="21"/>
                      <w:lang w:val="en-US" w:eastAsia="zh-CN" w:bidi="ar-SA"/>
                    </w:rPr>
                  </w:pPr>
                  <w:r>
                    <w:rPr>
                      <w:rFonts w:hint="eastAsia" w:ascii="Times New Roman" w:hAnsi="Times New Roman"/>
                      <w:color w:val="auto"/>
                      <w:szCs w:val="21"/>
                    </w:rPr>
                    <w:t>渗区</w:t>
                  </w:r>
                </w:p>
              </w:tc>
              <w:tc>
                <w:tcPr>
                  <w:tcW w:w="1232" w:type="pct"/>
                  <w:tcBorders>
                    <w:tl2br w:val="nil"/>
                    <w:tr2bl w:val="nil"/>
                  </w:tcBorders>
                  <w:noWrap w:val="0"/>
                  <w:vAlign w:val="center"/>
                </w:tcPr>
                <w:p w14:paraId="551FBF7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olor w:val="auto"/>
                      <w:kern w:val="2"/>
                      <w:sz w:val="21"/>
                      <w:szCs w:val="21"/>
                      <w:lang w:val="en-US" w:eastAsia="zh-CN" w:bidi="ar-SA"/>
                    </w:rPr>
                  </w:pPr>
                  <w:r>
                    <w:rPr>
                      <w:rFonts w:hint="eastAsia" w:ascii="Times New Roman" w:hAnsi="Times New Roman"/>
                      <w:color w:val="auto"/>
                      <w:szCs w:val="21"/>
                      <w:lang w:val="en-US" w:eastAsia="zh-CN"/>
                    </w:rPr>
                    <w:t>办公区等其他区域</w:t>
                  </w:r>
                </w:p>
              </w:tc>
              <w:tc>
                <w:tcPr>
                  <w:tcW w:w="1078" w:type="pct"/>
                  <w:tcBorders>
                    <w:tl2br w:val="nil"/>
                    <w:tr2bl w:val="nil"/>
                  </w:tcBorders>
                  <w:noWrap w:val="0"/>
                  <w:vAlign w:val="center"/>
                </w:tcPr>
                <w:p w14:paraId="7763CE7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auto"/>
                      <w:kern w:val="2"/>
                      <w:sz w:val="21"/>
                      <w:szCs w:val="21"/>
                      <w:lang w:val="en-US" w:eastAsia="zh-CN" w:bidi="ar-SA"/>
                    </w:rPr>
                  </w:pPr>
                  <w:r>
                    <w:rPr>
                      <w:rFonts w:hint="eastAsia" w:ascii="Times New Roman" w:hAnsi="Times New Roman"/>
                      <w:color w:val="auto"/>
                      <w:szCs w:val="21"/>
                    </w:rPr>
                    <w:t>地面</w:t>
                  </w:r>
                </w:p>
              </w:tc>
              <w:tc>
                <w:tcPr>
                  <w:tcW w:w="1965" w:type="pct"/>
                  <w:tcBorders>
                    <w:tl2br w:val="nil"/>
                    <w:tr2bl w:val="nil"/>
                  </w:tcBorders>
                  <w:noWrap w:val="0"/>
                  <w:vAlign w:val="center"/>
                </w:tcPr>
                <w:p w14:paraId="20B7738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auto"/>
                      <w:sz w:val="21"/>
                      <w:szCs w:val="21"/>
                    </w:rPr>
                  </w:pPr>
                  <w:r>
                    <w:rPr>
                      <w:rFonts w:hint="eastAsia" w:ascii="Times New Roman" w:hAnsi="Times New Roman"/>
                      <w:color w:val="auto"/>
                      <w:szCs w:val="21"/>
                    </w:rPr>
                    <w:t>一般地面硬化</w:t>
                  </w:r>
                </w:p>
              </w:tc>
            </w:tr>
          </w:tbl>
          <w:p w14:paraId="1C569637">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3</w:t>
            </w: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rPr>
              <w:t>监控措施</w:t>
            </w:r>
          </w:p>
          <w:p w14:paraId="4928B924">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①项目危险废物暂存间建设导流沟装置，防止危险废物等泄漏时四处扩散，并可及时移除或者清理污染源；</w:t>
            </w:r>
          </w:p>
          <w:p w14:paraId="08DCC886">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②建立健全环境管理和监测制度，保证各环保设施正常运转，同时强化风险防范意识，如遇环保设施不能正常运转，应立即停产检修；</w:t>
            </w:r>
          </w:p>
          <w:p w14:paraId="448CAB13">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③</w:t>
            </w:r>
            <w:r>
              <w:rPr>
                <w:rFonts w:hint="eastAsia" w:ascii="Times New Roman" w:hAnsi="Times New Roman"/>
                <w:color w:val="auto"/>
                <w:sz w:val="24"/>
              </w:rPr>
              <w:t>设置专门管理制度，加强对原辅材料及危险废物的规范化管理，定期巡查维护环保设施的运行情况，及时处理非正常运行情况；</w:t>
            </w:r>
          </w:p>
          <w:p w14:paraId="7FA7D4D8">
            <w:pPr>
              <w:spacing w:line="360" w:lineRule="auto"/>
              <w:ind w:firstLine="480" w:firstLineChars="200"/>
              <w:rPr>
                <w:rFonts w:hint="eastAsia" w:ascii="Times New Roman" w:hAnsi="Times New Roman"/>
                <w:color w:val="auto"/>
                <w:sz w:val="24"/>
              </w:rPr>
            </w:pPr>
            <w:r>
              <w:rPr>
                <w:rFonts w:hint="eastAsia" w:ascii="Times New Roman" w:hAnsi="Times New Roman" w:eastAsia="宋体" w:cs="Times New Roman"/>
                <w:color w:val="auto"/>
                <w:sz w:val="24"/>
              </w:rPr>
              <w:t>④</w:t>
            </w:r>
            <w:r>
              <w:rPr>
                <w:rFonts w:hint="eastAsia" w:ascii="Times New Roman" w:hAnsi="Times New Roman"/>
                <w:color w:val="auto"/>
                <w:sz w:val="24"/>
              </w:rPr>
              <w:t>建立相应制度，对运行期项目可能造成的土壤污染问题承担相应的责任并进行修复，将其列入企业内部的环保管理规定中。</w:t>
            </w:r>
          </w:p>
          <w:p w14:paraId="4F641896">
            <w:pPr>
              <w:spacing w:line="360" w:lineRule="auto"/>
              <w:ind w:firstLine="480" w:firstLineChars="200"/>
              <w:rPr>
                <w:rFonts w:ascii="Times New Roman" w:hAnsi="Times New Roman"/>
                <w:color w:val="auto"/>
                <w:sz w:val="24"/>
              </w:rPr>
            </w:pPr>
            <w:r>
              <w:rPr>
                <w:rFonts w:hint="eastAsia" w:ascii="Times New Roman" w:hAnsi="Times New Roman" w:eastAsia="宋体" w:cs="Times New Roman"/>
                <w:color w:val="auto"/>
                <w:sz w:val="24"/>
              </w:rPr>
              <w:t>⑤</w:t>
            </w:r>
            <w:r>
              <w:rPr>
                <w:rFonts w:hint="eastAsia" w:ascii="Times New Roman" w:hAnsi="Times New Roman"/>
                <w:color w:val="auto"/>
                <w:sz w:val="24"/>
              </w:rPr>
              <w:t>加强内部管理，将土壤污染防治纳入项目环境风险防控体系，严格依法依规建设和运行污染治理设施，确保重点污染物稳定达标排放；另外，提供企业员工污染隐患和环境风险防范意识，并定期开展培训。</w:t>
            </w:r>
          </w:p>
          <w:p w14:paraId="2A002E78">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综上所述，加强项目运行过程中环境管理，则项目实施对厂区及周边</w:t>
            </w:r>
            <w:r>
              <w:rPr>
                <w:rFonts w:hint="eastAsia" w:ascii="Times New Roman" w:hAnsi="Times New Roman"/>
                <w:color w:val="auto"/>
                <w:sz w:val="24"/>
                <w:lang w:val="en-US" w:eastAsia="zh-CN"/>
              </w:rPr>
              <w:t>地下水、</w:t>
            </w:r>
            <w:r>
              <w:rPr>
                <w:rFonts w:hint="eastAsia" w:ascii="Times New Roman" w:hAnsi="Times New Roman"/>
                <w:color w:val="auto"/>
                <w:sz w:val="24"/>
              </w:rPr>
              <w:t>土壤环境的影响可控。</w:t>
            </w:r>
          </w:p>
          <w:p w14:paraId="45501D15">
            <w:pPr>
              <w:spacing w:line="360" w:lineRule="auto"/>
              <w:rPr>
                <w:rFonts w:ascii="Times New Roman" w:hAnsi="Times New Roman"/>
                <w:b/>
                <w:bCs/>
                <w:color w:val="auto"/>
                <w:sz w:val="24"/>
              </w:rPr>
            </w:pPr>
            <w:r>
              <w:rPr>
                <w:rFonts w:hint="eastAsia" w:ascii="Times New Roman" w:hAnsi="Times New Roman"/>
                <w:b/>
                <w:bCs/>
                <w:color w:val="auto"/>
                <w:sz w:val="24"/>
              </w:rPr>
              <w:t>4.</w:t>
            </w:r>
            <w:r>
              <w:rPr>
                <w:rFonts w:hint="eastAsia" w:ascii="Times New Roman" w:hAnsi="Times New Roman"/>
                <w:b/>
                <w:bCs/>
                <w:color w:val="auto"/>
                <w:sz w:val="24"/>
                <w:lang w:val="en-US" w:eastAsia="zh-CN"/>
              </w:rPr>
              <w:t>6</w:t>
            </w:r>
            <w:r>
              <w:rPr>
                <w:rFonts w:hint="eastAsia" w:ascii="Times New Roman" w:hAnsi="Times New Roman"/>
                <w:b/>
                <w:bCs/>
                <w:color w:val="auto"/>
                <w:sz w:val="24"/>
              </w:rPr>
              <w:t>.3 跟踪监测要求</w:t>
            </w:r>
          </w:p>
          <w:p w14:paraId="3E0E3220">
            <w:pPr>
              <w:spacing w:line="360" w:lineRule="auto"/>
              <w:ind w:firstLine="480" w:firstLineChars="200"/>
              <w:rPr>
                <w:rFonts w:ascii="Times New Roman" w:hAnsi="Times New Roman"/>
                <w:color w:val="auto"/>
                <w:sz w:val="24"/>
              </w:rPr>
            </w:pPr>
            <w:r>
              <w:rPr>
                <w:rFonts w:hint="eastAsia" w:ascii="Times New Roman" w:hAnsi="Times New Roman"/>
                <w:color w:val="auto"/>
                <w:sz w:val="24"/>
                <w:szCs w:val="22"/>
              </w:rPr>
              <w:t>项目建设后，厂区车间地面全部硬化，生产过程不排放持久性及重金属等污染物，严格按照要求对项目进行分区防渗防治后，基本不存在</w:t>
            </w:r>
            <w:r>
              <w:rPr>
                <w:rFonts w:hint="eastAsia" w:ascii="Times New Roman" w:hAnsi="Times New Roman"/>
                <w:color w:val="auto"/>
                <w:sz w:val="24"/>
                <w:szCs w:val="22"/>
                <w:lang w:val="zh-CN"/>
              </w:rPr>
              <w:t>土壤、地下水环境污染源</w:t>
            </w:r>
            <w:r>
              <w:rPr>
                <w:rFonts w:hint="eastAsia" w:ascii="Times New Roman" w:hAnsi="Times New Roman"/>
                <w:color w:val="auto"/>
                <w:sz w:val="24"/>
              </w:rPr>
              <w:t>，项目对地下水、土壤环境影响很小，因此，本评价不对项目地下水、土壤环境提出跟踪监测要求。</w:t>
            </w:r>
          </w:p>
          <w:p w14:paraId="461EE95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Style w:val="68"/>
                <w:rFonts w:hint="default" w:ascii="Times New Roman" w:hAnsi="Times New Roman" w:eastAsia="宋体" w:cs="Times New Roman"/>
                <w:b/>
                <w:bCs/>
                <w:color w:val="auto"/>
                <w:sz w:val="28"/>
                <w:szCs w:val="28"/>
                <w:highlight w:val="none"/>
                <w:lang w:eastAsia="zh-CN"/>
              </w:rPr>
            </w:pPr>
            <w:r>
              <w:rPr>
                <w:rStyle w:val="68"/>
                <w:rFonts w:hint="default" w:ascii="Times New Roman" w:hAnsi="Times New Roman" w:eastAsia="宋体" w:cs="Times New Roman"/>
                <w:b/>
                <w:bCs/>
                <w:color w:val="auto"/>
                <w:sz w:val="28"/>
                <w:szCs w:val="28"/>
                <w:highlight w:val="none"/>
                <w:lang w:val="en-US" w:eastAsia="zh-CN"/>
              </w:rPr>
              <w:t>4.</w:t>
            </w:r>
            <w:r>
              <w:rPr>
                <w:rStyle w:val="68"/>
                <w:rFonts w:hint="eastAsia" w:ascii="Times New Roman" w:hAnsi="Times New Roman" w:eastAsia="宋体" w:cs="Times New Roman"/>
                <w:b/>
                <w:bCs/>
                <w:color w:val="auto"/>
                <w:sz w:val="28"/>
                <w:szCs w:val="28"/>
                <w:highlight w:val="none"/>
                <w:lang w:val="en-US" w:eastAsia="zh-CN"/>
              </w:rPr>
              <w:t>7</w:t>
            </w:r>
            <w:r>
              <w:rPr>
                <w:rStyle w:val="68"/>
                <w:rFonts w:hint="default" w:ascii="Times New Roman" w:hAnsi="Times New Roman" w:eastAsia="宋体" w:cs="Times New Roman"/>
                <w:b/>
                <w:bCs/>
                <w:color w:val="auto"/>
                <w:sz w:val="28"/>
                <w:szCs w:val="28"/>
                <w:highlight w:val="none"/>
                <w:lang w:eastAsia="zh-CN"/>
              </w:rPr>
              <w:t>环境风险影响和</w:t>
            </w:r>
            <w:r>
              <w:rPr>
                <w:rStyle w:val="68"/>
                <w:rFonts w:hint="eastAsia" w:ascii="Times New Roman" w:hAnsi="Times New Roman" w:eastAsia="宋体" w:cs="Times New Roman"/>
                <w:b/>
                <w:bCs/>
                <w:color w:val="auto"/>
                <w:sz w:val="28"/>
                <w:szCs w:val="28"/>
                <w:highlight w:val="none"/>
                <w:lang w:val="en-US" w:eastAsia="zh-CN"/>
              </w:rPr>
              <w:t>防范</w:t>
            </w:r>
            <w:r>
              <w:rPr>
                <w:rStyle w:val="68"/>
                <w:rFonts w:hint="default" w:ascii="Times New Roman" w:hAnsi="Times New Roman" w:eastAsia="宋体" w:cs="Times New Roman"/>
                <w:b/>
                <w:bCs/>
                <w:color w:val="auto"/>
                <w:sz w:val="28"/>
                <w:szCs w:val="28"/>
                <w:highlight w:val="none"/>
                <w:lang w:eastAsia="zh-CN"/>
              </w:rPr>
              <w:t>措施</w:t>
            </w:r>
          </w:p>
          <w:p w14:paraId="634FB37B">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根据</w:t>
            </w:r>
            <w:r>
              <w:rPr>
                <w:rFonts w:ascii="Times New Roman" w:hAnsi="Times New Roman"/>
                <w:color w:val="auto"/>
                <w:sz w:val="24"/>
              </w:rPr>
              <w:t>《建设项目环境影响报告表编制技术指南</w:t>
            </w:r>
            <w:r>
              <w:rPr>
                <w:rFonts w:hint="eastAsia" w:ascii="Times New Roman" w:hAnsi="Times New Roman"/>
                <w:color w:val="auto"/>
                <w:sz w:val="24"/>
              </w:rPr>
              <w:t>(</w:t>
            </w:r>
            <w:r>
              <w:rPr>
                <w:rFonts w:ascii="Times New Roman" w:hAnsi="Times New Roman"/>
                <w:color w:val="auto"/>
                <w:sz w:val="24"/>
              </w:rPr>
              <w:t>污染影响类</w:t>
            </w:r>
            <w:r>
              <w:rPr>
                <w:rFonts w:hint="eastAsia" w:ascii="Times New Roman" w:hAnsi="Times New Roman"/>
                <w:color w:val="auto"/>
                <w:sz w:val="24"/>
              </w:rPr>
              <w:t>)(</w:t>
            </w:r>
            <w:r>
              <w:rPr>
                <w:rFonts w:ascii="Times New Roman" w:hAnsi="Times New Roman"/>
                <w:color w:val="auto"/>
                <w:sz w:val="24"/>
              </w:rPr>
              <w:t>试行</w:t>
            </w:r>
            <w:r>
              <w:rPr>
                <w:rFonts w:hint="eastAsia" w:ascii="Times New Roman" w:hAnsi="Times New Roman"/>
                <w:color w:val="auto"/>
                <w:sz w:val="24"/>
              </w:rPr>
              <w:t>)</w:t>
            </w:r>
            <w:r>
              <w:rPr>
                <w:rFonts w:ascii="Times New Roman" w:hAnsi="Times New Roman"/>
                <w:color w:val="auto"/>
                <w:sz w:val="24"/>
              </w:rPr>
              <w:t>》</w:t>
            </w:r>
            <w:r>
              <w:rPr>
                <w:rFonts w:hint="eastAsia" w:ascii="Times New Roman" w:hAnsi="Times New Roman"/>
                <w:color w:val="auto"/>
                <w:sz w:val="24"/>
              </w:rPr>
              <w:t>(</w:t>
            </w:r>
            <w:r>
              <w:rPr>
                <w:rFonts w:ascii="Times New Roman" w:hAnsi="Times New Roman"/>
                <w:color w:val="auto"/>
                <w:sz w:val="24"/>
              </w:rPr>
              <w:t>环办环评〔2020〕33号</w:t>
            </w:r>
            <w:r>
              <w:rPr>
                <w:rFonts w:hint="eastAsia" w:ascii="Times New Roman" w:hAnsi="Times New Roman"/>
                <w:color w:val="auto"/>
                <w:sz w:val="24"/>
              </w:rPr>
              <w:t>)关于环境风险评价要求：“明确有毒有害和易燃易爆等危险物质和风险源分布情况及可能影响途径，并提出相应环境风险防范措施”。</w:t>
            </w:r>
          </w:p>
          <w:p w14:paraId="4A99AEE3">
            <w:pPr>
              <w:keepNext w:val="0"/>
              <w:keepLines w:val="0"/>
              <w:pageBreakBefore w:val="0"/>
              <w:widowControl w:val="0"/>
              <w:kinsoku/>
              <w:wordWrap/>
              <w:overflowPunct/>
              <w:topLinePunct w:val="0"/>
              <w:bidi w:val="0"/>
              <w:adjustRightInd w:val="0"/>
              <w:snapToGrid w:val="0"/>
              <w:spacing w:line="360" w:lineRule="auto"/>
              <w:outlineLvl w:val="2"/>
              <w:rPr>
                <w:rFonts w:hint="default"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4.7.1</w:t>
            </w:r>
            <w:r>
              <w:rPr>
                <w:rFonts w:hint="default" w:ascii="Times New Roman" w:hAnsi="Times New Roman" w:cs="Times New Roman"/>
                <w:b/>
                <w:bCs/>
                <w:color w:val="auto"/>
                <w:sz w:val="24"/>
                <w:highlight w:val="none"/>
                <w:lang w:val="en-US" w:eastAsia="zh-CN"/>
              </w:rPr>
              <w:t>项目</w:t>
            </w:r>
            <w:r>
              <w:rPr>
                <w:rFonts w:hint="eastAsia" w:ascii="Times New Roman" w:hAnsi="Times New Roman" w:cs="Times New Roman"/>
                <w:b/>
                <w:bCs/>
                <w:color w:val="auto"/>
                <w:sz w:val="24"/>
                <w:highlight w:val="none"/>
                <w:lang w:val="en-US" w:eastAsia="zh-CN"/>
              </w:rPr>
              <w:t>危险物资</w:t>
            </w:r>
            <w:r>
              <w:rPr>
                <w:rFonts w:hint="default" w:ascii="Times New Roman" w:hAnsi="Times New Roman" w:cs="Times New Roman"/>
                <w:b/>
                <w:bCs/>
                <w:color w:val="auto"/>
                <w:sz w:val="24"/>
                <w:highlight w:val="none"/>
                <w:lang w:val="en-US" w:eastAsia="zh-CN"/>
              </w:rPr>
              <w:t>调查</w:t>
            </w:r>
          </w:p>
          <w:p w14:paraId="2A7EFE5C">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对照《建设项目环境风险评价技术导则》（HJ 169-2018）附录B及《企业突发环境事件风险分级方法》 HJ941-2018附录A可知，项目</w:t>
            </w:r>
            <w:r>
              <w:rPr>
                <w:rFonts w:hint="eastAsia" w:ascii="Times New Roman" w:hAnsi="Times New Roman" w:eastAsia="宋体" w:cs="Times New Roman"/>
                <w:color w:val="auto"/>
                <w:sz w:val="24"/>
                <w:lang w:val="en-US" w:eastAsia="zh-CN"/>
              </w:rPr>
              <w:t>涉及环境风险物资如下：</w:t>
            </w:r>
          </w:p>
          <w:p w14:paraId="76E7FA2B">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表</w:t>
            </w:r>
            <w:r>
              <w:rPr>
                <w:rFonts w:hint="eastAsia" w:ascii="Times New Roman" w:hAnsi="Times New Roman" w:eastAsia="黑体" w:cs="Times New Roman"/>
                <w:color w:val="auto"/>
                <w:sz w:val="24"/>
                <w:lang w:val="en-US" w:eastAsia="zh-CN"/>
              </w:rPr>
              <w:t>4.7-1</w:t>
            </w:r>
            <w:r>
              <w:rPr>
                <w:rFonts w:hint="default" w:ascii="Times New Roman" w:hAnsi="Times New Roman" w:eastAsia="黑体" w:cs="Times New Roman"/>
                <w:color w:val="auto"/>
                <w:sz w:val="24"/>
                <w:lang w:val="en-US" w:eastAsia="zh-CN"/>
              </w:rPr>
              <w:t xml:space="preserve"> 主要风险物质数量、有害因素分布表</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8"/>
              <w:gridCol w:w="915"/>
              <w:gridCol w:w="718"/>
              <w:gridCol w:w="909"/>
              <w:gridCol w:w="923"/>
              <w:gridCol w:w="835"/>
              <w:gridCol w:w="859"/>
              <w:gridCol w:w="779"/>
              <w:gridCol w:w="995"/>
              <w:gridCol w:w="758"/>
            </w:tblGrid>
            <w:tr w14:paraId="06412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0" w:hRule="atLeast"/>
                <w:jc w:val="center"/>
              </w:trPr>
              <w:tc>
                <w:tcPr>
                  <w:tcW w:w="785" w:type="pct"/>
                  <w:gridSpan w:val="2"/>
                  <w:tcBorders>
                    <w:tl2br w:val="nil"/>
                    <w:tr2bl w:val="nil"/>
                  </w:tcBorders>
                  <w:noWrap w:val="0"/>
                  <w:vAlign w:val="center"/>
                </w:tcPr>
                <w:p w14:paraId="4F83AE8A">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物质</w:t>
                  </w:r>
                </w:p>
                <w:p w14:paraId="627FD139">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名称</w:t>
                  </w:r>
                </w:p>
              </w:tc>
              <w:tc>
                <w:tcPr>
                  <w:tcW w:w="446" w:type="pct"/>
                  <w:tcBorders>
                    <w:tl2br w:val="nil"/>
                    <w:tr2bl w:val="nil"/>
                  </w:tcBorders>
                  <w:noWrap w:val="0"/>
                  <w:vAlign w:val="center"/>
                </w:tcPr>
                <w:p w14:paraId="50188BB5">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形态</w:t>
                  </w:r>
                </w:p>
              </w:tc>
              <w:tc>
                <w:tcPr>
                  <w:tcW w:w="565" w:type="pct"/>
                  <w:tcBorders>
                    <w:tl2br w:val="nil"/>
                    <w:tr2bl w:val="nil"/>
                  </w:tcBorders>
                  <w:noWrap w:val="0"/>
                  <w:vAlign w:val="center"/>
                </w:tcPr>
                <w:p w14:paraId="37D66BE0">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val="en-US" w:eastAsia="zh-CN"/>
                    </w:rPr>
                    <w:t>一次最大</w:t>
                  </w:r>
                  <w:r>
                    <w:rPr>
                      <w:rFonts w:hint="default" w:ascii="Times New Roman" w:hAnsi="Times New Roman" w:eastAsia="宋体" w:cs="Times New Roman"/>
                      <w:b w:val="0"/>
                      <w:bCs/>
                      <w:color w:val="auto"/>
                      <w:sz w:val="21"/>
                      <w:szCs w:val="21"/>
                      <w:highlight w:val="none"/>
                      <w:vertAlign w:val="baseline"/>
                      <w:lang w:eastAsia="zh-CN"/>
                    </w:rPr>
                    <w:t>储量</w:t>
                  </w:r>
                </w:p>
                <w:p w14:paraId="1EC8EBC0">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(t)</w:t>
                  </w:r>
                </w:p>
              </w:tc>
              <w:tc>
                <w:tcPr>
                  <w:tcW w:w="574" w:type="pct"/>
                  <w:tcBorders>
                    <w:tl2br w:val="nil"/>
                    <w:tr2bl w:val="nil"/>
                  </w:tcBorders>
                  <w:noWrap w:val="0"/>
                  <w:vAlign w:val="center"/>
                </w:tcPr>
                <w:p w14:paraId="0DA29BD1">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危险物</w:t>
                  </w:r>
                </w:p>
                <w:p w14:paraId="73FB7A28">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质成分</w:t>
                  </w:r>
                </w:p>
              </w:tc>
              <w:tc>
                <w:tcPr>
                  <w:tcW w:w="519" w:type="pct"/>
                  <w:tcBorders>
                    <w:tl2br w:val="nil"/>
                    <w:tr2bl w:val="nil"/>
                  </w:tcBorders>
                  <w:noWrap w:val="0"/>
                  <w:vAlign w:val="center"/>
                </w:tcPr>
                <w:p w14:paraId="54A7BE17">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危险物质含量</w:t>
                  </w:r>
                </w:p>
              </w:tc>
              <w:tc>
                <w:tcPr>
                  <w:tcW w:w="534" w:type="pct"/>
                  <w:tcBorders>
                    <w:tl2br w:val="nil"/>
                    <w:tr2bl w:val="nil"/>
                  </w:tcBorders>
                  <w:noWrap w:val="0"/>
                  <w:vAlign w:val="center"/>
                </w:tcPr>
                <w:p w14:paraId="77744684">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危险物</w:t>
                  </w:r>
                </w:p>
                <w:p w14:paraId="34744994">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质储量</w:t>
                  </w:r>
                  <w:r>
                    <w:rPr>
                      <w:rFonts w:hint="eastAsia" w:ascii="Times New Roman" w:hAnsi="Times New Roman" w:eastAsia="宋体" w:cs="Times New Roman"/>
                      <w:b w:val="0"/>
                      <w:bCs/>
                      <w:color w:val="auto"/>
                      <w:sz w:val="21"/>
                      <w:szCs w:val="21"/>
                      <w:highlight w:val="none"/>
                      <w:vertAlign w:val="baseline"/>
                      <w:lang w:eastAsia="zh-CN"/>
                    </w:rPr>
                    <w:t>（</w:t>
                  </w:r>
                  <w:r>
                    <w:rPr>
                      <w:rFonts w:hint="default" w:ascii="Times New Roman" w:hAnsi="Times New Roman" w:eastAsia="宋体" w:cs="Times New Roman"/>
                      <w:b w:val="0"/>
                      <w:bCs/>
                      <w:color w:val="auto"/>
                      <w:sz w:val="21"/>
                      <w:szCs w:val="21"/>
                      <w:highlight w:val="none"/>
                      <w:vertAlign w:val="baseline"/>
                      <w:lang w:val="en-US" w:eastAsia="zh-CN"/>
                    </w:rPr>
                    <w:t>t)</w:t>
                  </w:r>
                </w:p>
              </w:tc>
              <w:tc>
                <w:tcPr>
                  <w:tcW w:w="484" w:type="pct"/>
                  <w:tcBorders>
                    <w:tl2br w:val="nil"/>
                    <w:tr2bl w:val="nil"/>
                  </w:tcBorders>
                  <w:noWrap w:val="0"/>
                  <w:vAlign w:val="center"/>
                </w:tcPr>
                <w:p w14:paraId="71549144">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临界量（</w:t>
                  </w:r>
                  <w:r>
                    <w:rPr>
                      <w:rFonts w:hint="default" w:ascii="Times New Roman" w:hAnsi="Times New Roman" w:eastAsia="宋体" w:cs="Times New Roman"/>
                      <w:b w:val="0"/>
                      <w:bCs/>
                      <w:color w:val="auto"/>
                      <w:sz w:val="21"/>
                      <w:szCs w:val="21"/>
                      <w:highlight w:val="none"/>
                      <w:vertAlign w:val="baseline"/>
                      <w:lang w:val="en-US" w:eastAsia="zh-CN"/>
                    </w:rPr>
                    <w:t>t)</w:t>
                  </w:r>
                </w:p>
              </w:tc>
              <w:tc>
                <w:tcPr>
                  <w:tcW w:w="618" w:type="pct"/>
                  <w:tcBorders>
                    <w:tl2br w:val="nil"/>
                    <w:tr2bl w:val="nil"/>
                  </w:tcBorders>
                  <w:noWrap w:val="0"/>
                  <w:vAlign w:val="center"/>
                </w:tcPr>
                <w:p w14:paraId="429CE6A3">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Q值</w:t>
                  </w:r>
                </w:p>
              </w:tc>
              <w:tc>
                <w:tcPr>
                  <w:tcW w:w="471" w:type="pct"/>
                  <w:tcBorders>
                    <w:tl2br w:val="nil"/>
                    <w:tr2bl w:val="nil"/>
                  </w:tcBorders>
                  <w:noWrap w:val="0"/>
                  <w:vAlign w:val="center"/>
                </w:tcPr>
                <w:p w14:paraId="088DDF55">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位置</w:t>
                  </w:r>
                </w:p>
              </w:tc>
            </w:tr>
            <w:tr w14:paraId="7FA72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tcBorders>
                    <w:tl2br w:val="nil"/>
                    <w:tr2bl w:val="nil"/>
                  </w:tcBorders>
                  <w:noWrap w:val="0"/>
                  <w:vAlign w:val="center"/>
                </w:tcPr>
                <w:p w14:paraId="0C2CEFCE">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原辅材料</w:t>
                  </w:r>
                </w:p>
              </w:tc>
              <w:tc>
                <w:tcPr>
                  <w:tcW w:w="569" w:type="pct"/>
                  <w:tcBorders>
                    <w:tl2br w:val="nil"/>
                    <w:tr2bl w:val="nil"/>
                  </w:tcBorders>
                  <w:noWrap w:val="0"/>
                  <w:vAlign w:val="center"/>
                </w:tcPr>
                <w:p w14:paraId="5054D029">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乙炔</w:t>
                  </w:r>
                </w:p>
              </w:tc>
              <w:tc>
                <w:tcPr>
                  <w:tcW w:w="446" w:type="pct"/>
                  <w:tcBorders>
                    <w:tl2br w:val="nil"/>
                    <w:tr2bl w:val="nil"/>
                  </w:tcBorders>
                  <w:noWrap w:val="0"/>
                  <w:vAlign w:val="center"/>
                </w:tcPr>
                <w:p w14:paraId="05158D2E">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气态</w:t>
                  </w:r>
                </w:p>
              </w:tc>
              <w:tc>
                <w:tcPr>
                  <w:tcW w:w="565" w:type="pct"/>
                  <w:tcBorders>
                    <w:tl2br w:val="nil"/>
                    <w:tr2bl w:val="nil"/>
                  </w:tcBorders>
                  <w:noWrap w:val="0"/>
                  <w:vAlign w:val="center"/>
                </w:tcPr>
                <w:p w14:paraId="410F5C0C">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0.021</w:t>
                  </w:r>
                </w:p>
              </w:tc>
              <w:tc>
                <w:tcPr>
                  <w:tcW w:w="574" w:type="pct"/>
                  <w:tcBorders>
                    <w:tl2br w:val="nil"/>
                    <w:tr2bl w:val="nil"/>
                  </w:tcBorders>
                  <w:noWrap w:val="0"/>
                  <w:vAlign w:val="center"/>
                </w:tcPr>
                <w:p w14:paraId="35697E59">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乙炔</w:t>
                  </w:r>
                </w:p>
              </w:tc>
              <w:tc>
                <w:tcPr>
                  <w:tcW w:w="519" w:type="pct"/>
                  <w:tcBorders>
                    <w:tl2br w:val="nil"/>
                    <w:tr2bl w:val="nil"/>
                  </w:tcBorders>
                  <w:noWrap w:val="0"/>
                  <w:vAlign w:val="center"/>
                </w:tcPr>
                <w:p w14:paraId="7E9CBE4F">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3C4BD47F">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0.021</w:t>
                  </w:r>
                </w:p>
              </w:tc>
              <w:tc>
                <w:tcPr>
                  <w:tcW w:w="484" w:type="pct"/>
                  <w:tcBorders>
                    <w:tl2br w:val="nil"/>
                    <w:tr2bl w:val="nil"/>
                  </w:tcBorders>
                  <w:noWrap w:val="0"/>
                  <w:vAlign w:val="center"/>
                </w:tcPr>
                <w:p w14:paraId="4D43DE86">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w:t>
                  </w:r>
                </w:p>
              </w:tc>
              <w:tc>
                <w:tcPr>
                  <w:tcW w:w="618" w:type="pct"/>
                  <w:tcBorders>
                    <w:tl2br w:val="nil"/>
                    <w:tr2bl w:val="nil"/>
                  </w:tcBorders>
                  <w:noWrap w:val="0"/>
                  <w:vAlign w:val="center"/>
                </w:tcPr>
                <w:p w14:paraId="338CD476">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0.0021</w:t>
                  </w:r>
                </w:p>
              </w:tc>
              <w:tc>
                <w:tcPr>
                  <w:tcW w:w="471" w:type="pct"/>
                  <w:tcBorders>
                    <w:tl2br w:val="nil"/>
                    <w:tr2bl w:val="nil"/>
                  </w:tcBorders>
                  <w:noWrap w:val="0"/>
                  <w:vAlign w:val="center"/>
                </w:tcPr>
                <w:p w14:paraId="7EEF4FDE">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大小车拆解车间</w:t>
                  </w:r>
                </w:p>
              </w:tc>
            </w:tr>
            <w:tr w14:paraId="13649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restart"/>
                  <w:tcBorders>
                    <w:tl2br w:val="nil"/>
                    <w:tr2bl w:val="nil"/>
                  </w:tcBorders>
                  <w:noWrap w:val="0"/>
                  <w:vAlign w:val="center"/>
                </w:tcPr>
                <w:p w14:paraId="6F742AFA">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危险废物</w:t>
                  </w:r>
                </w:p>
              </w:tc>
              <w:tc>
                <w:tcPr>
                  <w:tcW w:w="569" w:type="pct"/>
                  <w:tcBorders>
                    <w:tl2br w:val="nil"/>
                    <w:tr2bl w:val="nil"/>
                  </w:tcBorders>
                  <w:noWrap w:val="0"/>
                  <w:vAlign w:val="center"/>
                </w:tcPr>
                <w:p w14:paraId="77EB9ACD">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废铅酸蓄电池</w:t>
                  </w:r>
                </w:p>
              </w:tc>
              <w:tc>
                <w:tcPr>
                  <w:tcW w:w="446" w:type="pct"/>
                  <w:tcBorders>
                    <w:tl2br w:val="nil"/>
                    <w:tr2bl w:val="nil"/>
                  </w:tcBorders>
                  <w:noWrap w:val="0"/>
                  <w:vAlign w:val="center"/>
                </w:tcPr>
                <w:p w14:paraId="09331D97">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固态</w:t>
                  </w:r>
                </w:p>
              </w:tc>
              <w:tc>
                <w:tcPr>
                  <w:tcW w:w="565" w:type="pct"/>
                  <w:tcBorders>
                    <w:tl2br w:val="nil"/>
                    <w:tr2bl w:val="nil"/>
                  </w:tcBorders>
                  <w:noWrap w:val="0"/>
                  <w:vAlign w:val="center"/>
                </w:tcPr>
                <w:p w14:paraId="7FDDCFFB">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34</w:t>
                  </w:r>
                </w:p>
              </w:tc>
              <w:tc>
                <w:tcPr>
                  <w:tcW w:w="574" w:type="pct"/>
                  <w:tcBorders>
                    <w:tl2br w:val="nil"/>
                    <w:tr2bl w:val="nil"/>
                  </w:tcBorders>
                  <w:noWrap w:val="0"/>
                  <w:vAlign w:val="center"/>
                </w:tcPr>
                <w:p w14:paraId="11CEFB10">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硫酸</w:t>
                  </w:r>
                </w:p>
              </w:tc>
              <w:tc>
                <w:tcPr>
                  <w:tcW w:w="519" w:type="pct"/>
                  <w:tcBorders>
                    <w:tl2br w:val="nil"/>
                    <w:tr2bl w:val="nil"/>
                  </w:tcBorders>
                  <w:noWrap w:val="0"/>
                  <w:vAlign w:val="center"/>
                </w:tcPr>
                <w:p w14:paraId="4A88DB6E">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3.6%</w:t>
                  </w:r>
                </w:p>
              </w:tc>
              <w:tc>
                <w:tcPr>
                  <w:tcW w:w="534" w:type="pct"/>
                  <w:tcBorders>
                    <w:tl2br w:val="nil"/>
                    <w:tr2bl w:val="nil"/>
                  </w:tcBorders>
                  <w:noWrap w:val="0"/>
                  <w:vAlign w:val="center"/>
                </w:tcPr>
                <w:p w14:paraId="4733DA01">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1.224</w:t>
                  </w:r>
                </w:p>
              </w:tc>
              <w:tc>
                <w:tcPr>
                  <w:tcW w:w="484" w:type="pct"/>
                  <w:tcBorders>
                    <w:tl2br w:val="nil"/>
                    <w:tr2bl w:val="nil"/>
                  </w:tcBorders>
                  <w:noWrap w:val="0"/>
                  <w:vAlign w:val="center"/>
                </w:tcPr>
                <w:p w14:paraId="47DEF734">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w:t>
                  </w:r>
                </w:p>
              </w:tc>
              <w:tc>
                <w:tcPr>
                  <w:tcW w:w="618" w:type="pct"/>
                  <w:tcBorders>
                    <w:tl2br w:val="nil"/>
                    <w:tr2bl w:val="nil"/>
                  </w:tcBorders>
                  <w:noWrap w:val="0"/>
                  <w:vAlign w:val="center"/>
                </w:tcPr>
                <w:p w14:paraId="1CC43803">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0.1224</w:t>
                  </w:r>
                </w:p>
              </w:tc>
              <w:tc>
                <w:tcPr>
                  <w:tcW w:w="471" w:type="pct"/>
                  <w:vMerge w:val="restart"/>
                  <w:tcBorders>
                    <w:tl2br w:val="nil"/>
                    <w:tr2bl w:val="nil"/>
                  </w:tcBorders>
                  <w:noWrap w:val="0"/>
                  <w:vAlign w:val="center"/>
                </w:tcPr>
                <w:p w14:paraId="518E51B9">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危废暂存间</w:t>
                  </w:r>
                </w:p>
              </w:tc>
            </w:tr>
            <w:tr w14:paraId="14CF6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continue"/>
                  <w:tcBorders>
                    <w:tl2br w:val="nil"/>
                    <w:tr2bl w:val="nil"/>
                  </w:tcBorders>
                  <w:noWrap w:val="0"/>
                  <w:vAlign w:val="center"/>
                </w:tcPr>
                <w:p w14:paraId="58CD4034">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2E5F202E">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废油液（机动车拆解）</w:t>
                  </w:r>
                </w:p>
              </w:tc>
              <w:tc>
                <w:tcPr>
                  <w:tcW w:w="446" w:type="pct"/>
                  <w:tcBorders>
                    <w:tl2br w:val="nil"/>
                    <w:tr2bl w:val="nil"/>
                  </w:tcBorders>
                  <w:noWrap w:val="0"/>
                  <w:vAlign w:val="center"/>
                </w:tcPr>
                <w:p w14:paraId="218CECBF">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565" w:type="pct"/>
                  <w:tcBorders>
                    <w:tl2br w:val="nil"/>
                    <w:tr2bl w:val="nil"/>
                  </w:tcBorders>
                  <w:noWrap w:val="0"/>
                  <w:vAlign w:val="center"/>
                </w:tcPr>
                <w:p w14:paraId="0B82BF97">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6.54</w:t>
                  </w:r>
                </w:p>
              </w:tc>
              <w:tc>
                <w:tcPr>
                  <w:tcW w:w="574" w:type="pct"/>
                  <w:tcBorders>
                    <w:tl2br w:val="nil"/>
                    <w:tr2bl w:val="nil"/>
                  </w:tcBorders>
                  <w:noWrap w:val="0"/>
                  <w:vAlign w:val="center"/>
                </w:tcPr>
                <w:p w14:paraId="2B05B809">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519" w:type="pct"/>
                  <w:tcBorders>
                    <w:tl2br w:val="nil"/>
                    <w:tr2bl w:val="nil"/>
                  </w:tcBorders>
                  <w:noWrap w:val="0"/>
                  <w:vAlign w:val="center"/>
                </w:tcPr>
                <w:p w14:paraId="1C2F22D3">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3B332FCE">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6.54</w:t>
                  </w:r>
                </w:p>
              </w:tc>
              <w:tc>
                <w:tcPr>
                  <w:tcW w:w="484" w:type="pct"/>
                  <w:tcBorders>
                    <w:tl2br w:val="nil"/>
                    <w:tr2bl w:val="nil"/>
                  </w:tcBorders>
                  <w:noWrap w:val="0"/>
                  <w:vAlign w:val="center"/>
                </w:tcPr>
                <w:p w14:paraId="4AB65A34">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618" w:type="pct"/>
                  <w:tcBorders>
                    <w:tl2br w:val="nil"/>
                    <w:tr2bl w:val="nil"/>
                  </w:tcBorders>
                  <w:noWrap w:val="0"/>
                  <w:vAlign w:val="center"/>
                </w:tcPr>
                <w:p w14:paraId="1F2ED0D6">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0.00261</w:t>
                  </w:r>
                </w:p>
              </w:tc>
              <w:tc>
                <w:tcPr>
                  <w:tcW w:w="471" w:type="pct"/>
                  <w:vMerge w:val="continue"/>
                  <w:tcBorders>
                    <w:tl2br w:val="nil"/>
                    <w:tr2bl w:val="nil"/>
                  </w:tcBorders>
                  <w:noWrap w:val="0"/>
                  <w:vAlign w:val="center"/>
                </w:tcPr>
                <w:p w14:paraId="153AD581">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4B022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continue"/>
                  <w:tcBorders>
                    <w:tl2br w:val="nil"/>
                    <w:tr2bl w:val="nil"/>
                  </w:tcBorders>
                  <w:noWrap w:val="0"/>
                  <w:vAlign w:val="center"/>
                </w:tcPr>
                <w:p w14:paraId="70EF6F89">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6A82BEDB">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olor w:val="auto"/>
                      <w:kern w:val="0"/>
                      <w:szCs w:val="21"/>
                      <w:highlight w:val="none"/>
                      <w:lang w:eastAsia="zh-CN"/>
                    </w:rPr>
                    <w:t>废变压器油</w:t>
                  </w:r>
                </w:p>
              </w:tc>
              <w:tc>
                <w:tcPr>
                  <w:tcW w:w="446" w:type="pct"/>
                  <w:tcBorders>
                    <w:tl2br w:val="nil"/>
                    <w:tr2bl w:val="nil"/>
                  </w:tcBorders>
                  <w:noWrap w:val="0"/>
                  <w:vAlign w:val="center"/>
                </w:tcPr>
                <w:p w14:paraId="14E15062">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565" w:type="pct"/>
                  <w:tcBorders>
                    <w:tl2br w:val="nil"/>
                    <w:tr2bl w:val="nil"/>
                  </w:tcBorders>
                  <w:noWrap w:val="0"/>
                  <w:vAlign w:val="center"/>
                </w:tcPr>
                <w:p w14:paraId="76065820">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38.73</w:t>
                  </w:r>
                </w:p>
              </w:tc>
              <w:tc>
                <w:tcPr>
                  <w:tcW w:w="574" w:type="pct"/>
                  <w:tcBorders>
                    <w:tl2br w:val="nil"/>
                    <w:tr2bl w:val="nil"/>
                  </w:tcBorders>
                  <w:noWrap w:val="0"/>
                  <w:vAlign w:val="center"/>
                </w:tcPr>
                <w:p w14:paraId="17FF4CCE">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519" w:type="pct"/>
                  <w:tcBorders>
                    <w:tl2br w:val="nil"/>
                    <w:tr2bl w:val="nil"/>
                  </w:tcBorders>
                  <w:noWrap w:val="0"/>
                  <w:vAlign w:val="center"/>
                </w:tcPr>
                <w:p w14:paraId="28BA9A6F">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076AB062">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38.73</w:t>
                  </w:r>
                </w:p>
              </w:tc>
              <w:tc>
                <w:tcPr>
                  <w:tcW w:w="484" w:type="pct"/>
                  <w:tcBorders>
                    <w:tl2br w:val="nil"/>
                    <w:tr2bl w:val="nil"/>
                  </w:tcBorders>
                  <w:noWrap w:val="0"/>
                  <w:vAlign w:val="center"/>
                </w:tcPr>
                <w:p w14:paraId="4F2628D8">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618" w:type="pct"/>
                  <w:tcBorders>
                    <w:tl2br w:val="nil"/>
                    <w:tr2bl w:val="nil"/>
                  </w:tcBorders>
                  <w:noWrap w:val="0"/>
                  <w:vAlign w:val="center"/>
                </w:tcPr>
                <w:p w14:paraId="1DF58836">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0.01549</w:t>
                  </w:r>
                </w:p>
              </w:tc>
              <w:tc>
                <w:tcPr>
                  <w:tcW w:w="471" w:type="pct"/>
                  <w:vMerge w:val="continue"/>
                  <w:tcBorders>
                    <w:tl2br w:val="nil"/>
                    <w:tr2bl w:val="nil"/>
                  </w:tcBorders>
                  <w:noWrap w:val="0"/>
                  <w:vAlign w:val="center"/>
                </w:tcPr>
                <w:p w14:paraId="6670F4BA">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55F2C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continue"/>
                  <w:tcBorders>
                    <w:tl2br w:val="nil"/>
                    <w:tr2bl w:val="nil"/>
                  </w:tcBorders>
                  <w:noWrap w:val="0"/>
                  <w:vAlign w:val="center"/>
                </w:tcPr>
                <w:p w14:paraId="4A3AA3C2">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599D0C08">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olor w:val="auto"/>
                      <w:kern w:val="0"/>
                      <w:szCs w:val="21"/>
                      <w:highlight w:val="none"/>
                      <w:lang w:eastAsia="zh-CN"/>
                    </w:rPr>
                    <w:t>废液压油</w:t>
                  </w:r>
                </w:p>
              </w:tc>
              <w:tc>
                <w:tcPr>
                  <w:tcW w:w="446" w:type="pct"/>
                  <w:tcBorders>
                    <w:tl2br w:val="nil"/>
                    <w:tr2bl w:val="nil"/>
                  </w:tcBorders>
                  <w:noWrap w:val="0"/>
                  <w:vAlign w:val="center"/>
                </w:tcPr>
                <w:p w14:paraId="579BEB34">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565" w:type="pct"/>
                  <w:tcBorders>
                    <w:tl2br w:val="nil"/>
                    <w:tr2bl w:val="nil"/>
                  </w:tcBorders>
                  <w:noWrap w:val="0"/>
                  <w:vAlign w:val="center"/>
                </w:tcPr>
                <w:p w14:paraId="001A1FE2">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0.05</w:t>
                  </w:r>
                </w:p>
              </w:tc>
              <w:tc>
                <w:tcPr>
                  <w:tcW w:w="574" w:type="pct"/>
                  <w:tcBorders>
                    <w:tl2br w:val="nil"/>
                    <w:tr2bl w:val="nil"/>
                  </w:tcBorders>
                  <w:noWrap w:val="0"/>
                  <w:vAlign w:val="center"/>
                </w:tcPr>
                <w:p w14:paraId="78076724">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519" w:type="pct"/>
                  <w:tcBorders>
                    <w:tl2br w:val="nil"/>
                    <w:tr2bl w:val="nil"/>
                  </w:tcBorders>
                  <w:noWrap w:val="0"/>
                  <w:vAlign w:val="center"/>
                </w:tcPr>
                <w:p w14:paraId="227566F4">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14989AA5">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0.05</w:t>
                  </w:r>
                </w:p>
              </w:tc>
              <w:tc>
                <w:tcPr>
                  <w:tcW w:w="484" w:type="pct"/>
                  <w:tcBorders>
                    <w:tl2br w:val="nil"/>
                    <w:tr2bl w:val="nil"/>
                  </w:tcBorders>
                  <w:noWrap w:val="0"/>
                  <w:vAlign w:val="center"/>
                </w:tcPr>
                <w:p w14:paraId="7EEA8EB0">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618" w:type="pct"/>
                  <w:tcBorders>
                    <w:tl2br w:val="nil"/>
                    <w:tr2bl w:val="nil"/>
                  </w:tcBorders>
                  <w:noWrap w:val="0"/>
                  <w:vAlign w:val="center"/>
                </w:tcPr>
                <w:p w14:paraId="120B26B2">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0.00002</w:t>
                  </w:r>
                </w:p>
              </w:tc>
              <w:tc>
                <w:tcPr>
                  <w:tcW w:w="471" w:type="pct"/>
                  <w:vMerge w:val="continue"/>
                  <w:tcBorders>
                    <w:tl2br w:val="nil"/>
                    <w:tr2bl w:val="nil"/>
                  </w:tcBorders>
                  <w:noWrap w:val="0"/>
                  <w:vAlign w:val="center"/>
                </w:tcPr>
                <w:p w14:paraId="7634EFDD">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66719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continue"/>
                  <w:tcBorders>
                    <w:tl2br w:val="nil"/>
                    <w:tr2bl w:val="nil"/>
                  </w:tcBorders>
                  <w:noWrap w:val="0"/>
                  <w:vAlign w:val="center"/>
                </w:tcPr>
                <w:p w14:paraId="396D08E7">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78940161">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olor w:val="auto"/>
                      <w:kern w:val="0"/>
                      <w:szCs w:val="21"/>
                      <w:highlight w:val="none"/>
                      <w:lang w:eastAsia="zh-CN"/>
                    </w:rPr>
                    <w:t>废机油</w:t>
                  </w:r>
                </w:p>
              </w:tc>
              <w:tc>
                <w:tcPr>
                  <w:tcW w:w="446" w:type="pct"/>
                  <w:tcBorders>
                    <w:tl2br w:val="nil"/>
                    <w:tr2bl w:val="nil"/>
                  </w:tcBorders>
                  <w:noWrap w:val="0"/>
                  <w:vAlign w:val="center"/>
                </w:tcPr>
                <w:p w14:paraId="6EC2E413">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565" w:type="pct"/>
                  <w:tcBorders>
                    <w:tl2br w:val="nil"/>
                    <w:tr2bl w:val="nil"/>
                  </w:tcBorders>
                  <w:noWrap w:val="0"/>
                  <w:vAlign w:val="center"/>
                </w:tcPr>
                <w:p w14:paraId="2F447069">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w:t>
                  </w:r>
                </w:p>
              </w:tc>
              <w:tc>
                <w:tcPr>
                  <w:tcW w:w="574" w:type="pct"/>
                  <w:tcBorders>
                    <w:tl2br w:val="nil"/>
                    <w:tr2bl w:val="nil"/>
                  </w:tcBorders>
                  <w:noWrap w:val="0"/>
                  <w:vAlign w:val="center"/>
                </w:tcPr>
                <w:p w14:paraId="68E2ABEE">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519" w:type="pct"/>
                  <w:tcBorders>
                    <w:tl2br w:val="nil"/>
                    <w:tr2bl w:val="nil"/>
                  </w:tcBorders>
                  <w:noWrap w:val="0"/>
                  <w:vAlign w:val="center"/>
                </w:tcPr>
                <w:p w14:paraId="55D88657">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68E3BB61">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w:t>
                  </w:r>
                </w:p>
              </w:tc>
              <w:tc>
                <w:tcPr>
                  <w:tcW w:w="484" w:type="pct"/>
                  <w:tcBorders>
                    <w:tl2br w:val="nil"/>
                    <w:tr2bl w:val="nil"/>
                  </w:tcBorders>
                  <w:noWrap w:val="0"/>
                  <w:vAlign w:val="center"/>
                </w:tcPr>
                <w:p w14:paraId="13EDAAE4">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618" w:type="pct"/>
                  <w:tcBorders>
                    <w:tl2br w:val="nil"/>
                    <w:tr2bl w:val="nil"/>
                  </w:tcBorders>
                  <w:noWrap w:val="0"/>
                  <w:vAlign w:val="center"/>
                </w:tcPr>
                <w:p w14:paraId="7057FD1E">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0.00004</w:t>
                  </w:r>
                </w:p>
              </w:tc>
              <w:tc>
                <w:tcPr>
                  <w:tcW w:w="471" w:type="pct"/>
                  <w:vMerge w:val="continue"/>
                  <w:tcBorders>
                    <w:tl2br w:val="nil"/>
                    <w:tr2bl w:val="nil"/>
                  </w:tcBorders>
                  <w:noWrap w:val="0"/>
                  <w:vAlign w:val="center"/>
                </w:tcPr>
                <w:p w14:paraId="0C257DEF">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3BE67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continue"/>
                  <w:tcBorders>
                    <w:tl2br w:val="nil"/>
                    <w:tr2bl w:val="nil"/>
                  </w:tcBorders>
                  <w:noWrap w:val="0"/>
                  <w:vAlign w:val="center"/>
                </w:tcPr>
                <w:p w14:paraId="153EFFC5">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12F95D52">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olor w:val="auto"/>
                      <w:kern w:val="0"/>
                      <w:szCs w:val="21"/>
                      <w:highlight w:val="none"/>
                      <w:lang w:eastAsia="zh-CN"/>
                    </w:rPr>
                  </w:pPr>
                  <w:r>
                    <w:rPr>
                      <w:rFonts w:hint="eastAsia" w:ascii="Times New Roman" w:hAnsi="Times New Roman" w:eastAsia="宋体"/>
                      <w:color w:val="auto"/>
                      <w:kern w:val="0"/>
                      <w:szCs w:val="21"/>
                      <w:highlight w:val="none"/>
                      <w:lang w:eastAsia="zh-CN"/>
                    </w:rPr>
                    <w:t>废油桶</w:t>
                  </w:r>
                </w:p>
              </w:tc>
              <w:tc>
                <w:tcPr>
                  <w:tcW w:w="446" w:type="pct"/>
                  <w:tcBorders>
                    <w:tl2br w:val="nil"/>
                    <w:tr2bl w:val="nil"/>
                  </w:tcBorders>
                  <w:noWrap w:val="0"/>
                  <w:vAlign w:val="center"/>
                </w:tcPr>
                <w:p w14:paraId="2CC9F8A9">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固态</w:t>
                  </w:r>
                </w:p>
              </w:tc>
              <w:tc>
                <w:tcPr>
                  <w:tcW w:w="565" w:type="pct"/>
                  <w:tcBorders>
                    <w:tl2br w:val="nil"/>
                    <w:tr2bl w:val="nil"/>
                  </w:tcBorders>
                  <w:noWrap w:val="0"/>
                  <w:vAlign w:val="center"/>
                </w:tcPr>
                <w:p w14:paraId="57E72175">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0.05</w:t>
                  </w:r>
                </w:p>
              </w:tc>
              <w:tc>
                <w:tcPr>
                  <w:tcW w:w="574" w:type="pct"/>
                  <w:tcBorders>
                    <w:tl2br w:val="nil"/>
                    <w:tr2bl w:val="nil"/>
                  </w:tcBorders>
                  <w:noWrap w:val="0"/>
                  <w:vAlign w:val="center"/>
                </w:tcPr>
                <w:p w14:paraId="3940EC70">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Cs w:val="21"/>
                      <w:highlight w:val="none"/>
                      <w:lang w:eastAsia="zh-CN"/>
                    </w:rPr>
                    <w:t>废油桶</w:t>
                  </w:r>
                </w:p>
              </w:tc>
              <w:tc>
                <w:tcPr>
                  <w:tcW w:w="519" w:type="pct"/>
                  <w:tcBorders>
                    <w:tl2br w:val="nil"/>
                    <w:tr2bl w:val="nil"/>
                  </w:tcBorders>
                  <w:noWrap w:val="0"/>
                  <w:vAlign w:val="center"/>
                </w:tcPr>
                <w:p w14:paraId="2E6ED874">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204834D9">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0.05</w:t>
                  </w:r>
                </w:p>
              </w:tc>
              <w:tc>
                <w:tcPr>
                  <w:tcW w:w="484" w:type="pct"/>
                  <w:tcBorders>
                    <w:tl2br w:val="nil"/>
                    <w:tr2bl w:val="nil"/>
                  </w:tcBorders>
                  <w:noWrap w:val="0"/>
                  <w:vAlign w:val="center"/>
                </w:tcPr>
                <w:p w14:paraId="19C808A7">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618" w:type="pct"/>
                  <w:tcBorders>
                    <w:tl2br w:val="nil"/>
                    <w:tr2bl w:val="nil"/>
                  </w:tcBorders>
                  <w:noWrap w:val="0"/>
                  <w:vAlign w:val="center"/>
                </w:tcPr>
                <w:p w14:paraId="195E03E2">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0.001</w:t>
                  </w:r>
                </w:p>
              </w:tc>
              <w:tc>
                <w:tcPr>
                  <w:tcW w:w="471" w:type="pct"/>
                  <w:vMerge w:val="continue"/>
                  <w:tcBorders>
                    <w:tl2br w:val="nil"/>
                    <w:tr2bl w:val="nil"/>
                  </w:tcBorders>
                  <w:noWrap w:val="0"/>
                  <w:vAlign w:val="center"/>
                </w:tcPr>
                <w:p w14:paraId="48FE01EB">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38C9C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continue"/>
                  <w:tcBorders>
                    <w:tl2br w:val="nil"/>
                    <w:tr2bl w:val="nil"/>
                  </w:tcBorders>
                  <w:noWrap w:val="0"/>
                  <w:vAlign w:val="center"/>
                </w:tcPr>
                <w:p w14:paraId="11F7C8BD">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7A429CE0">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default" w:ascii="Times New Roman" w:hAnsi="Times New Roman" w:eastAsia="宋体"/>
                      <w:color w:val="auto"/>
                      <w:kern w:val="0"/>
                      <w:szCs w:val="21"/>
                      <w:highlight w:val="none"/>
                      <w:lang w:val="en-US" w:eastAsia="zh-CN"/>
                    </w:rPr>
                  </w:pPr>
                  <w:r>
                    <w:rPr>
                      <w:rFonts w:hint="eastAsia" w:ascii="Times New Roman" w:hAnsi="Times New Roman" w:eastAsia="宋体"/>
                      <w:color w:val="auto"/>
                      <w:kern w:val="0"/>
                      <w:szCs w:val="21"/>
                      <w:highlight w:val="none"/>
                      <w:lang w:val="en-US" w:eastAsia="zh-CN"/>
                    </w:rPr>
                    <w:t>浮油和污泥</w:t>
                  </w:r>
                </w:p>
              </w:tc>
              <w:tc>
                <w:tcPr>
                  <w:tcW w:w="446" w:type="pct"/>
                  <w:tcBorders>
                    <w:tl2br w:val="nil"/>
                    <w:tr2bl w:val="nil"/>
                  </w:tcBorders>
                  <w:noWrap w:val="0"/>
                  <w:vAlign w:val="center"/>
                </w:tcPr>
                <w:p w14:paraId="4758BD9F">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液/固态</w:t>
                  </w:r>
                </w:p>
              </w:tc>
              <w:tc>
                <w:tcPr>
                  <w:tcW w:w="565" w:type="pct"/>
                  <w:tcBorders>
                    <w:tl2br w:val="nil"/>
                    <w:tr2bl w:val="nil"/>
                  </w:tcBorders>
                  <w:noWrap w:val="0"/>
                  <w:vAlign w:val="center"/>
                </w:tcPr>
                <w:p w14:paraId="7700DBB4">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2.2251</w:t>
                  </w:r>
                </w:p>
              </w:tc>
              <w:tc>
                <w:tcPr>
                  <w:tcW w:w="574" w:type="pct"/>
                  <w:tcBorders>
                    <w:tl2br w:val="nil"/>
                    <w:tr2bl w:val="nil"/>
                  </w:tcBorders>
                  <w:noWrap w:val="0"/>
                  <w:vAlign w:val="center"/>
                </w:tcPr>
                <w:p w14:paraId="22875D32">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Cs w:val="21"/>
                      <w:highlight w:val="none"/>
                      <w:lang w:val="en-US" w:eastAsia="zh-CN"/>
                    </w:rPr>
                    <w:t>浮油和污泥</w:t>
                  </w:r>
                </w:p>
              </w:tc>
              <w:tc>
                <w:tcPr>
                  <w:tcW w:w="519" w:type="pct"/>
                  <w:tcBorders>
                    <w:tl2br w:val="nil"/>
                    <w:tr2bl w:val="nil"/>
                  </w:tcBorders>
                  <w:noWrap w:val="0"/>
                  <w:vAlign w:val="center"/>
                </w:tcPr>
                <w:p w14:paraId="28DD48F4">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7FCC99E5">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2.2251</w:t>
                  </w:r>
                </w:p>
              </w:tc>
              <w:tc>
                <w:tcPr>
                  <w:tcW w:w="484" w:type="pct"/>
                  <w:tcBorders>
                    <w:tl2br w:val="nil"/>
                    <w:tr2bl w:val="nil"/>
                  </w:tcBorders>
                  <w:noWrap w:val="0"/>
                  <w:vAlign w:val="center"/>
                </w:tcPr>
                <w:p w14:paraId="2B9BCFEC">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618" w:type="pct"/>
                  <w:tcBorders>
                    <w:tl2br w:val="nil"/>
                    <w:tr2bl w:val="nil"/>
                  </w:tcBorders>
                  <w:noWrap w:val="0"/>
                  <w:vAlign w:val="center"/>
                </w:tcPr>
                <w:p w14:paraId="14F560FB">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0.00445</w:t>
                  </w:r>
                </w:p>
              </w:tc>
              <w:tc>
                <w:tcPr>
                  <w:tcW w:w="471" w:type="pct"/>
                  <w:vMerge w:val="continue"/>
                  <w:tcBorders>
                    <w:tl2br w:val="nil"/>
                    <w:tr2bl w:val="nil"/>
                  </w:tcBorders>
                  <w:noWrap w:val="0"/>
                  <w:vAlign w:val="center"/>
                </w:tcPr>
                <w:p w14:paraId="5F75D9DF">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31038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continue"/>
                  <w:tcBorders>
                    <w:tl2br w:val="nil"/>
                    <w:tr2bl w:val="nil"/>
                  </w:tcBorders>
                  <w:noWrap w:val="0"/>
                  <w:vAlign w:val="center"/>
                </w:tcPr>
                <w:p w14:paraId="7B173215">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3A6FF95F">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废制冷剂</w:t>
                  </w:r>
                </w:p>
              </w:tc>
              <w:tc>
                <w:tcPr>
                  <w:tcW w:w="446" w:type="pct"/>
                  <w:tcBorders>
                    <w:tl2br w:val="nil"/>
                    <w:tr2bl w:val="nil"/>
                  </w:tcBorders>
                  <w:noWrap w:val="0"/>
                  <w:vAlign w:val="center"/>
                </w:tcPr>
                <w:p w14:paraId="468AF376">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565" w:type="pct"/>
                  <w:tcBorders>
                    <w:tl2br w:val="nil"/>
                    <w:tr2bl w:val="nil"/>
                  </w:tcBorders>
                  <w:noWrap w:val="0"/>
                  <w:vAlign w:val="center"/>
                </w:tcPr>
                <w:p w14:paraId="653B3698">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0.87</w:t>
                  </w:r>
                </w:p>
              </w:tc>
              <w:tc>
                <w:tcPr>
                  <w:tcW w:w="574" w:type="pct"/>
                  <w:tcBorders>
                    <w:tl2br w:val="nil"/>
                    <w:tr2bl w:val="nil"/>
                  </w:tcBorders>
                  <w:noWrap w:val="0"/>
                  <w:vAlign w:val="center"/>
                </w:tcPr>
                <w:p w14:paraId="1D9853F2">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lang w:val="en-US" w:eastAsia="zh-CN"/>
                    </w:rPr>
                    <w:t>废制冷剂</w:t>
                  </w:r>
                </w:p>
              </w:tc>
              <w:tc>
                <w:tcPr>
                  <w:tcW w:w="519" w:type="pct"/>
                  <w:tcBorders>
                    <w:tl2br w:val="nil"/>
                    <w:tr2bl w:val="nil"/>
                  </w:tcBorders>
                  <w:noWrap w:val="0"/>
                  <w:vAlign w:val="center"/>
                </w:tcPr>
                <w:p w14:paraId="1E283596">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7C2518F6">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0.87</w:t>
                  </w:r>
                </w:p>
              </w:tc>
              <w:tc>
                <w:tcPr>
                  <w:tcW w:w="484" w:type="pct"/>
                  <w:tcBorders>
                    <w:tl2br w:val="nil"/>
                    <w:tr2bl w:val="nil"/>
                  </w:tcBorders>
                  <w:noWrap w:val="0"/>
                  <w:vAlign w:val="center"/>
                </w:tcPr>
                <w:p w14:paraId="3B24363B">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618" w:type="pct"/>
                  <w:tcBorders>
                    <w:tl2br w:val="nil"/>
                    <w:tr2bl w:val="nil"/>
                  </w:tcBorders>
                  <w:noWrap w:val="0"/>
                  <w:vAlign w:val="center"/>
                </w:tcPr>
                <w:p w14:paraId="25D20353">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0.0174</w:t>
                  </w:r>
                </w:p>
              </w:tc>
              <w:tc>
                <w:tcPr>
                  <w:tcW w:w="471" w:type="pct"/>
                  <w:vMerge w:val="continue"/>
                  <w:tcBorders>
                    <w:tl2br w:val="nil"/>
                    <w:tr2bl w:val="nil"/>
                  </w:tcBorders>
                  <w:noWrap w:val="0"/>
                  <w:vAlign w:val="center"/>
                </w:tcPr>
                <w:p w14:paraId="61A24DC9">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14EDA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continue"/>
                  <w:tcBorders>
                    <w:tl2br w:val="nil"/>
                    <w:tr2bl w:val="nil"/>
                  </w:tcBorders>
                  <w:noWrap w:val="0"/>
                  <w:vAlign w:val="center"/>
                </w:tcPr>
                <w:p w14:paraId="6A50497D">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15A67A48">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olor w:val="auto"/>
                      <w:kern w:val="0"/>
                      <w:szCs w:val="21"/>
                      <w:highlight w:val="none"/>
                    </w:rPr>
                    <w:t>废滤清器</w:t>
                  </w:r>
                </w:p>
              </w:tc>
              <w:tc>
                <w:tcPr>
                  <w:tcW w:w="446" w:type="pct"/>
                  <w:tcBorders>
                    <w:tl2br w:val="nil"/>
                    <w:tr2bl w:val="nil"/>
                  </w:tcBorders>
                  <w:noWrap w:val="0"/>
                  <w:vAlign w:val="center"/>
                </w:tcPr>
                <w:p w14:paraId="6A3C9014">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固态</w:t>
                  </w:r>
                </w:p>
              </w:tc>
              <w:tc>
                <w:tcPr>
                  <w:tcW w:w="565" w:type="pct"/>
                  <w:tcBorders>
                    <w:tl2br w:val="nil"/>
                    <w:tr2bl w:val="nil"/>
                  </w:tcBorders>
                  <w:noWrap w:val="0"/>
                  <w:vAlign w:val="center"/>
                </w:tcPr>
                <w:p w14:paraId="3B27A744">
                  <w:pPr>
                    <w:keepNext w:val="0"/>
                    <w:keepLines w:val="0"/>
                    <w:pageBreakBefore w:val="0"/>
                    <w:widowControl w:val="0"/>
                    <w:kinsoku/>
                    <w:wordWrap/>
                    <w:overflowPunct/>
                    <w:topLinePunct/>
                    <w:bidi w:val="0"/>
                    <w:adjustRightInd w:val="0"/>
                    <w:snapToGrid w:val="0"/>
                    <w:spacing w:line="340" w:lineRule="exact"/>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2.67</w:t>
                  </w:r>
                </w:p>
              </w:tc>
              <w:tc>
                <w:tcPr>
                  <w:tcW w:w="574" w:type="pct"/>
                  <w:tcBorders>
                    <w:tl2br w:val="nil"/>
                    <w:tr2bl w:val="nil"/>
                  </w:tcBorders>
                  <w:noWrap w:val="0"/>
                  <w:vAlign w:val="center"/>
                </w:tcPr>
                <w:p w14:paraId="3252F9C7">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Cs w:val="21"/>
                      <w:highlight w:val="none"/>
                    </w:rPr>
                    <w:t>废滤清器</w:t>
                  </w:r>
                </w:p>
              </w:tc>
              <w:tc>
                <w:tcPr>
                  <w:tcW w:w="519" w:type="pct"/>
                  <w:tcBorders>
                    <w:tl2br w:val="nil"/>
                    <w:tr2bl w:val="nil"/>
                  </w:tcBorders>
                  <w:noWrap w:val="0"/>
                  <w:vAlign w:val="center"/>
                </w:tcPr>
                <w:p w14:paraId="2C6FFE20">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5B328314">
                  <w:pPr>
                    <w:keepNext w:val="0"/>
                    <w:keepLines w:val="0"/>
                    <w:pageBreakBefore w:val="0"/>
                    <w:widowControl w:val="0"/>
                    <w:kinsoku/>
                    <w:wordWrap/>
                    <w:overflowPunct/>
                    <w:topLinePunct/>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2.67</w:t>
                  </w:r>
                </w:p>
              </w:tc>
              <w:tc>
                <w:tcPr>
                  <w:tcW w:w="484" w:type="pct"/>
                  <w:tcBorders>
                    <w:tl2br w:val="nil"/>
                    <w:tr2bl w:val="nil"/>
                  </w:tcBorders>
                  <w:noWrap w:val="0"/>
                  <w:vAlign w:val="center"/>
                </w:tcPr>
                <w:p w14:paraId="00C02D0E">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618" w:type="pct"/>
                  <w:tcBorders>
                    <w:tl2br w:val="nil"/>
                    <w:tr2bl w:val="nil"/>
                  </w:tcBorders>
                  <w:noWrap w:val="0"/>
                  <w:vAlign w:val="center"/>
                </w:tcPr>
                <w:p w14:paraId="72FC69F4">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0.0534</w:t>
                  </w:r>
                </w:p>
              </w:tc>
              <w:tc>
                <w:tcPr>
                  <w:tcW w:w="471" w:type="pct"/>
                  <w:vMerge w:val="continue"/>
                  <w:tcBorders>
                    <w:tl2br w:val="nil"/>
                    <w:tr2bl w:val="nil"/>
                  </w:tcBorders>
                  <w:noWrap w:val="0"/>
                  <w:vAlign w:val="center"/>
                </w:tcPr>
                <w:p w14:paraId="3B69B0E3">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3B80C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continue"/>
                  <w:tcBorders>
                    <w:tl2br w:val="nil"/>
                    <w:tr2bl w:val="nil"/>
                  </w:tcBorders>
                  <w:noWrap w:val="0"/>
                  <w:vAlign w:val="center"/>
                </w:tcPr>
                <w:p w14:paraId="70267CDD">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538BEECE">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z w:val="21"/>
                      <w:szCs w:val="21"/>
                      <w:lang w:val="en-US" w:eastAsia="zh-CN"/>
                    </w:rPr>
                    <w:t>废电路板</w:t>
                  </w:r>
                </w:p>
              </w:tc>
              <w:tc>
                <w:tcPr>
                  <w:tcW w:w="446" w:type="pct"/>
                  <w:tcBorders>
                    <w:tl2br w:val="nil"/>
                    <w:tr2bl w:val="nil"/>
                  </w:tcBorders>
                  <w:noWrap w:val="0"/>
                  <w:vAlign w:val="center"/>
                </w:tcPr>
                <w:p w14:paraId="255EFCD3">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固态</w:t>
                  </w:r>
                </w:p>
              </w:tc>
              <w:tc>
                <w:tcPr>
                  <w:tcW w:w="565" w:type="pct"/>
                  <w:tcBorders>
                    <w:tl2br w:val="nil"/>
                    <w:tr2bl w:val="nil"/>
                  </w:tcBorders>
                  <w:noWrap w:val="0"/>
                  <w:vAlign w:val="center"/>
                </w:tcPr>
                <w:p w14:paraId="55DC1133">
                  <w:pPr>
                    <w:keepNext w:val="0"/>
                    <w:keepLines w:val="0"/>
                    <w:pageBreakBefore w:val="0"/>
                    <w:widowControl w:val="0"/>
                    <w:kinsoku/>
                    <w:wordWrap/>
                    <w:overflowPunct/>
                    <w:topLinePunct/>
                    <w:bidi w:val="0"/>
                    <w:adjustRightInd w:val="0"/>
                    <w:snapToGrid w:val="0"/>
                    <w:spacing w:line="340" w:lineRule="exact"/>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5.06</w:t>
                  </w:r>
                </w:p>
              </w:tc>
              <w:tc>
                <w:tcPr>
                  <w:tcW w:w="574" w:type="pct"/>
                  <w:tcBorders>
                    <w:tl2br w:val="nil"/>
                    <w:tr2bl w:val="nil"/>
                  </w:tcBorders>
                  <w:noWrap w:val="0"/>
                  <w:vAlign w:val="center"/>
                </w:tcPr>
                <w:p w14:paraId="25B5357B">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lang w:val="en-US" w:eastAsia="zh-CN"/>
                    </w:rPr>
                    <w:t>废电路板</w:t>
                  </w:r>
                </w:p>
              </w:tc>
              <w:tc>
                <w:tcPr>
                  <w:tcW w:w="519" w:type="pct"/>
                  <w:tcBorders>
                    <w:tl2br w:val="nil"/>
                    <w:tr2bl w:val="nil"/>
                  </w:tcBorders>
                  <w:noWrap w:val="0"/>
                  <w:vAlign w:val="center"/>
                </w:tcPr>
                <w:p w14:paraId="1114671E">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50786E0D">
                  <w:pPr>
                    <w:keepNext w:val="0"/>
                    <w:keepLines w:val="0"/>
                    <w:pageBreakBefore w:val="0"/>
                    <w:widowControl w:val="0"/>
                    <w:kinsoku/>
                    <w:wordWrap/>
                    <w:overflowPunct/>
                    <w:topLinePunct/>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5.06</w:t>
                  </w:r>
                </w:p>
              </w:tc>
              <w:tc>
                <w:tcPr>
                  <w:tcW w:w="484" w:type="pct"/>
                  <w:tcBorders>
                    <w:tl2br w:val="nil"/>
                    <w:tr2bl w:val="nil"/>
                  </w:tcBorders>
                  <w:noWrap w:val="0"/>
                  <w:vAlign w:val="center"/>
                </w:tcPr>
                <w:p w14:paraId="7FEF43F4">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618" w:type="pct"/>
                  <w:tcBorders>
                    <w:tl2br w:val="nil"/>
                    <w:tr2bl w:val="nil"/>
                  </w:tcBorders>
                  <w:noWrap w:val="0"/>
                  <w:vAlign w:val="center"/>
                </w:tcPr>
                <w:p w14:paraId="4958554E">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0.1012</w:t>
                  </w:r>
                </w:p>
              </w:tc>
              <w:tc>
                <w:tcPr>
                  <w:tcW w:w="471" w:type="pct"/>
                  <w:vMerge w:val="continue"/>
                  <w:tcBorders>
                    <w:tl2br w:val="nil"/>
                    <w:tr2bl w:val="nil"/>
                  </w:tcBorders>
                  <w:noWrap w:val="0"/>
                  <w:vAlign w:val="center"/>
                </w:tcPr>
                <w:p w14:paraId="74B791AA">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34F34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continue"/>
                  <w:tcBorders>
                    <w:tl2br w:val="nil"/>
                    <w:tr2bl w:val="nil"/>
                  </w:tcBorders>
                  <w:noWrap w:val="0"/>
                  <w:vAlign w:val="center"/>
                </w:tcPr>
                <w:p w14:paraId="5B30D957">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7DADAE07">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z w:val="21"/>
                      <w:szCs w:val="21"/>
                      <w:lang w:val="en-US" w:eastAsia="zh-CN"/>
                    </w:rPr>
                    <w:t>废活性炭</w:t>
                  </w:r>
                </w:p>
              </w:tc>
              <w:tc>
                <w:tcPr>
                  <w:tcW w:w="446" w:type="pct"/>
                  <w:tcBorders>
                    <w:tl2br w:val="nil"/>
                    <w:tr2bl w:val="nil"/>
                  </w:tcBorders>
                  <w:noWrap w:val="0"/>
                  <w:vAlign w:val="center"/>
                </w:tcPr>
                <w:p w14:paraId="4FAB7D3D">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固态</w:t>
                  </w:r>
                </w:p>
              </w:tc>
              <w:tc>
                <w:tcPr>
                  <w:tcW w:w="565" w:type="pct"/>
                  <w:tcBorders>
                    <w:tl2br w:val="nil"/>
                    <w:tr2bl w:val="nil"/>
                  </w:tcBorders>
                  <w:noWrap w:val="0"/>
                  <w:vAlign w:val="center"/>
                </w:tcPr>
                <w:p w14:paraId="20A8905C">
                  <w:pPr>
                    <w:keepNext w:val="0"/>
                    <w:keepLines w:val="0"/>
                    <w:pageBreakBefore w:val="0"/>
                    <w:widowControl w:val="0"/>
                    <w:kinsoku/>
                    <w:wordWrap/>
                    <w:overflowPunct/>
                    <w:topLinePunct/>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3.9234</w:t>
                  </w:r>
                </w:p>
              </w:tc>
              <w:tc>
                <w:tcPr>
                  <w:tcW w:w="574" w:type="pct"/>
                  <w:tcBorders>
                    <w:tl2br w:val="nil"/>
                    <w:tr2bl w:val="nil"/>
                  </w:tcBorders>
                  <w:noWrap w:val="0"/>
                  <w:vAlign w:val="center"/>
                </w:tcPr>
                <w:p w14:paraId="4071AE6B">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lang w:val="en-US" w:eastAsia="zh-CN"/>
                    </w:rPr>
                    <w:t>废活性炭</w:t>
                  </w:r>
                </w:p>
              </w:tc>
              <w:tc>
                <w:tcPr>
                  <w:tcW w:w="519" w:type="pct"/>
                  <w:tcBorders>
                    <w:tl2br w:val="nil"/>
                    <w:tr2bl w:val="nil"/>
                  </w:tcBorders>
                  <w:noWrap w:val="0"/>
                  <w:vAlign w:val="center"/>
                </w:tcPr>
                <w:p w14:paraId="6BCC140F">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2BF9C3B2">
                  <w:pPr>
                    <w:keepNext w:val="0"/>
                    <w:keepLines w:val="0"/>
                    <w:pageBreakBefore w:val="0"/>
                    <w:widowControl w:val="0"/>
                    <w:kinsoku/>
                    <w:wordWrap/>
                    <w:overflowPunct/>
                    <w:topLinePunct/>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3.9234</w:t>
                  </w:r>
                </w:p>
              </w:tc>
              <w:tc>
                <w:tcPr>
                  <w:tcW w:w="484" w:type="pct"/>
                  <w:tcBorders>
                    <w:tl2br w:val="nil"/>
                    <w:tr2bl w:val="nil"/>
                  </w:tcBorders>
                  <w:noWrap w:val="0"/>
                  <w:vAlign w:val="center"/>
                </w:tcPr>
                <w:p w14:paraId="59F301A0">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618" w:type="pct"/>
                  <w:tcBorders>
                    <w:tl2br w:val="nil"/>
                    <w:tr2bl w:val="nil"/>
                  </w:tcBorders>
                  <w:noWrap w:val="0"/>
                  <w:vAlign w:val="center"/>
                </w:tcPr>
                <w:p w14:paraId="2CC40626">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0.07847</w:t>
                  </w:r>
                </w:p>
              </w:tc>
              <w:tc>
                <w:tcPr>
                  <w:tcW w:w="471" w:type="pct"/>
                  <w:vMerge w:val="continue"/>
                  <w:tcBorders>
                    <w:tl2br w:val="nil"/>
                    <w:tr2bl w:val="nil"/>
                  </w:tcBorders>
                  <w:noWrap w:val="0"/>
                  <w:vAlign w:val="center"/>
                </w:tcPr>
                <w:p w14:paraId="5D80F2C0">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3C3F0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6" w:type="pct"/>
                  <w:vMerge w:val="continue"/>
                  <w:tcBorders>
                    <w:tl2br w:val="nil"/>
                    <w:tr2bl w:val="nil"/>
                  </w:tcBorders>
                  <w:noWrap w:val="0"/>
                  <w:vAlign w:val="center"/>
                </w:tcPr>
                <w:p w14:paraId="02E13E6C">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255ACDC2">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z w:val="21"/>
                      <w:szCs w:val="21"/>
                      <w:lang w:val="en-US" w:eastAsia="zh-CN"/>
                    </w:rPr>
                    <w:t>废尾气净化装置及催化剂</w:t>
                  </w:r>
                </w:p>
              </w:tc>
              <w:tc>
                <w:tcPr>
                  <w:tcW w:w="446" w:type="pct"/>
                  <w:tcBorders>
                    <w:tl2br w:val="nil"/>
                    <w:tr2bl w:val="nil"/>
                  </w:tcBorders>
                  <w:noWrap w:val="0"/>
                  <w:vAlign w:val="center"/>
                </w:tcPr>
                <w:p w14:paraId="0E9C0983">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固态</w:t>
                  </w:r>
                </w:p>
              </w:tc>
              <w:tc>
                <w:tcPr>
                  <w:tcW w:w="565" w:type="pct"/>
                  <w:tcBorders>
                    <w:tl2br w:val="nil"/>
                    <w:tr2bl w:val="nil"/>
                  </w:tcBorders>
                  <w:noWrap w:val="0"/>
                  <w:vAlign w:val="center"/>
                </w:tcPr>
                <w:p w14:paraId="5B433E2A">
                  <w:pPr>
                    <w:keepNext w:val="0"/>
                    <w:keepLines w:val="0"/>
                    <w:pageBreakBefore w:val="0"/>
                    <w:widowControl w:val="0"/>
                    <w:kinsoku/>
                    <w:wordWrap/>
                    <w:overflowPunct/>
                    <w:topLinePunct/>
                    <w:bidi w:val="0"/>
                    <w:adjustRightInd w:val="0"/>
                    <w:snapToGrid w:val="0"/>
                    <w:spacing w:line="340" w:lineRule="exact"/>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1.95</w:t>
                  </w:r>
                </w:p>
              </w:tc>
              <w:tc>
                <w:tcPr>
                  <w:tcW w:w="574" w:type="pct"/>
                  <w:tcBorders>
                    <w:tl2br w:val="nil"/>
                    <w:tr2bl w:val="nil"/>
                  </w:tcBorders>
                  <w:noWrap w:val="0"/>
                  <w:vAlign w:val="center"/>
                </w:tcPr>
                <w:p w14:paraId="727BCE99">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lang w:val="en-US" w:eastAsia="zh-CN"/>
                    </w:rPr>
                    <w:t>废尾气净化装置及催化剂</w:t>
                  </w:r>
                </w:p>
              </w:tc>
              <w:tc>
                <w:tcPr>
                  <w:tcW w:w="519" w:type="pct"/>
                  <w:tcBorders>
                    <w:tl2br w:val="nil"/>
                    <w:tr2bl w:val="nil"/>
                  </w:tcBorders>
                  <w:noWrap w:val="0"/>
                  <w:vAlign w:val="center"/>
                </w:tcPr>
                <w:p w14:paraId="52DB0BCC">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75210308">
                  <w:pPr>
                    <w:keepNext w:val="0"/>
                    <w:keepLines w:val="0"/>
                    <w:pageBreakBefore w:val="0"/>
                    <w:widowControl w:val="0"/>
                    <w:kinsoku/>
                    <w:wordWrap/>
                    <w:overflowPunct/>
                    <w:topLinePunct/>
                    <w:bidi w:val="0"/>
                    <w:adjustRightInd w:val="0"/>
                    <w:snapToGrid w:val="0"/>
                    <w:spacing w:line="340" w:lineRule="exact"/>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1.95</w:t>
                  </w:r>
                </w:p>
              </w:tc>
              <w:tc>
                <w:tcPr>
                  <w:tcW w:w="484" w:type="pct"/>
                  <w:tcBorders>
                    <w:tl2br w:val="nil"/>
                    <w:tr2bl w:val="nil"/>
                  </w:tcBorders>
                  <w:noWrap w:val="0"/>
                  <w:vAlign w:val="center"/>
                </w:tcPr>
                <w:p w14:paraId="287A5683">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618" w:type="pct"/>
                  <w:tcBorders>
                    <w:tl2br w:val="nil"/>
                    <w:tr2bl w:val="nil"/>
                  </w:tcBorders>
                  <w:noWrap w:val="0"/>
                  <w:vAlign w:val="center"/>
                </w:tcPr>
                <w:p w14:paraId="1D26E7F3">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0.039</w:t>
                  </w:r>
                </w:p>
              </w:tc>
              <w:tc>
                <w:tcPr>
                  <w:tcW w:w="471" w:type="pct"/>
                  <w:vMerge w:val="continue"/>
                  <w:tcBorders>
                    <w:tl2br w:val="nil"/>
                    <w:tr2bl w:val="nil"/>
                  </w:tcBorders>
                  <w:noWrap w:val="0"/>
                  <w:vAlign w:val="center"/>
                </w:tcPr>
                <w:p w14:paraId="25218F73">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23425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16" w:type="pct"/>
                  <w:vMerge w:val="continue"/>
                  <w:tcBorders>
                    <w:tl2br w:val="nil"/>
                    <w:tr2bl w:val="nil"/>
                  </w:tcBorders>
                  <w:noWrap w:val="0"/>
                  <w:vAlign w:val="center"/>
                </w:tcPr>
                <w:p w14:paraId="3E08B9C3">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2181220E">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z w:val="21"/>
                      <w:szCs w:val="21"/>
                      <w:lang w:val="en-US" w:eastAsia="zh-CN"/>
                    </w:rPr>
                    <w:t>电容器</w:t>
                  </w:r>
                </w:p>
              </w:tc>
              <w:tc>
                <w:tcPr>
                  <w:tcW w:w="446" w:type="pct"/>
                  <w:tcBorders>
                    <w:tl2br w:val="nil"/>
                    <w:tr2bl w:val="nil"/>
                  </w:tcBorders>
                  <w:noWrap w:val="0"/>
                  <w:vAlign w:val="center"/>
                </w:tcPr>
                <w:p w14:paraId="7B417AFB">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固态</w:t>
                  </w:r>
                </w:p>
              </w:tc>
              <w:tc>
                <w:tcPr>
                  <w:tcW w:w="565" w:type="pct"/>
                  <w:tcBorders>
                    <w:tl2br w:val="nil"/>
                    <w:tr2bl w:val="nil"/>
                  </w:tcBorders>
                  <w:noWrap w:val="0"/>
                  <w:vAlign w:val="center"/>
                </w:tcPr>
                <w:p w14:paraId="10C457EB">
                  <w:pPr>
                    <w:keepNext w:val="0"/>
                    <w:keepLines w:val="0"/>
                    <w:pageBreakBefore w:val="0"/>
                    <w:widowControl w:val="0"/>
                    <w:kinsoku/>
                    <w:wordWrap/>
                    <w:overflowPunct/>
                    <w:topLinePunct/>
                    <w:bidi w:val="0"/>
                    <w:adjustRightInd w:val="0"/>
                    <w:snapToGrid w:val="0"/>
                    <w:spacing w:line="340" w:lineRule="exact"/>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2.37</w:t>
                  </w:r>
                </w:p>
              </w:tc>
              <w:tc>
                <w:tcPr>
                  <w:tcW w:w="574" w:type="pct"/>
                  <w:tcBorders>
                    <w:tl2br w:val="nil"/>
                    <w:tr2bl w:val="nil"/>
                  </w:tcBorders>
                  <w:noWrap w:val="0"/>
                  <w:vAlign w:val="center"/>
                </w:tcPr>
                <w:p w14:paraId="1C743899">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lang w:val="en-US" w:eastAsia="zh-CN"/>
                    </w:rPr>
                    <w:t>电容器</w:t>
                  </w:r>
                </w:p>
              </w:tc>
              <w:tc>
                <w:tcPr>
                  <w:tcW w:w="519" w:type="pct"/>
                  <w:tcBorders>
                    <w:tl2br w:val="nil"/>
                    <w:tr2bl w:val="nil"/>
                  </w:tcBorders>
                  <w:noWrap w:val="0"/>
                  <w:vAlign w:val="center"/>
                </w:tcPr>
                <w:p w14:paraId="47066BCC">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7E0EE485">
                  <w:pPr>
                    <w:keepNext w:val="0"/>
                    <w:keepLines w:val="0"/>
                    <w:pageBreakBefore w:val="0"/>
                    <w:widowControl w:val="0"/>
                    <w:kinsoku/>
                    <w:wordWrap/>
                    <w:overflowPunct/>
                    <w:topLinePunct/>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2.37</w:t>
                  </w:r>
                </w:p>
              </w:tc>
              <w:tc>
                <w:tcPr>
                  <w:tcW w:w="484" w:type="pct"/>
                  <w:tcBorders>
                    <w:tl2br w:val="nil"/>
                    <w:tr2bl w:val="nil"/>
                  </w:tcBorders>
                  <w:noWrap w:val="0"/>
                  <w:vAlign w:val="center"/>
                </w:tcPr>
                <w:p w14:paraId="1AFA17EF">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618" w:type="pct"/>
                  <w:tcBorders>
                    <w:tl2br w:val="nil"/>
                    <w:tr2bl w:val="nil"/>
                  </w:tcBorders>
                  <w:noWrap w:val="0"/>
                  <w:vAlign w:val="center"/>
                </w:tcPr>
                <w:p w14:paraId="08A1E1F4">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0.0474</w:t>
                  </w:r>
                </w:p>
              </w:tc>
              <w:tc>
                <w:tcPr>
                  <w:tcW w:w="471" w:type="pct"/>
                  <w:vMerge w:val="continue"/>
                  <w:tcBorders>
                    <w:tl2br w:val="nil"/>
                    <w:tr2bl w:val="nil"/>
                  </w:tcBorders>
                  <w:noWrap w:val="0"/>
                  <w:vAlign w:val="center"/>
                </w:tcPr>
                <w:p w14:paraId="58F31523">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20886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16" w:type="pct"/>
                  <w:vMerge w:val="continue"/>
                  <w:tcBorders>
                    <w:tl2br w:val="nil"/>
                    <w:tr2bl w:val="nil"/>
                  </w:tcBorders>
                  <w:noWrap w:val="0"/>
                  <w:vAlign w:val="center"/>
                </w:tcPr>
                <w:p w14:paraId="4901021B">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5F3F943F">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olor w:val="auto"/>
                      <w:kern w:val="0"/>
                      <w:szCs w:val="21"/>
                      <w:highlight w:val="none"/>
                    </w:rPr>
                    <w:t>含汞部件</w:t>
                  </w:r>
                </w:p>
              </w:tc>
              <w:tc>
                <w:tcPr>
                  <w:tcW w:w="446" w:type="pct"/>
                  <w:tcBorders>
                    <w:tl2br w:val="nil"/>
                    <w:tr2bl w:val="nil"/>
                  </w:tcBorders>
                  <w:noWrap w:val="0"/>
                  <w:vAlign w:val="center"/>
                </w:tcPr>
                <w:p w14:paraId="279372B1">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固态</w:t>
                  </w:r>
                </w:p>
              </w:tc>
              <w:tc>
                <w:tcPr>
                  <w:tcW w:w="565" w:type="pct"/>
                  <w:tcBorders>
                    <w:tl2br w:val="nil"/>
                    <w:tr2bl w:val="nil"/>
                  </w:tcBorders>
                  <w:noWrap w:val="0"/>
                  <w:vAlign w:val="center"/>
                </w:tcPr>
                <w:p w14:paraId="4618DA09">
                  <w:pPr>
                    <w:keepNext w:val="0"/>
                    <w:keepLines w:val="0"/>
                    <w:pageBreakBefore w:val="0"/>
                    <w:widowControl w:val="0"/>
                    <w:kinsoku/>
                    <w:wordWrap/>
                    <w:overflowPunct/>
                    <w:topLinePunct/>
                    <w:bidi w:val="0"/>
                    <w:adjustRightInd w:val="0"/>
                    <w:snapToGrid w:val="0"/>
                    <w:spacing w:line="340" w:lineRule="exact"/>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1.34</w:t>
                  </w:r>
                </w:p>
              </w:tc>
              <w:tc>
                <w:tcPr>
                  <w:tcW w:w="574" w:type="pct"/>
                  <w:tcBorders>
                    <w:tl2br w:val="nil"/>
                    <w:tr2bl w:val="nil"/>
                  </w:tcBorders>
                  <w:noWrap w:val="0"/>
                  <w:vAlign w:val="center"/>
                </w:tcPr>
                <w:p w14:paraId="3391D04F">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olor w:val="auto"/>
                      <w:kern w:val="0"/>
                      <w:szCs w:val="21"/>
                      <w:highlight w:val="none"/>
                    </w:rPr>
                    <w:t>含汞部件</w:t>
                  </w:r>
                </w:p>
              </w:tc>
              <w:tc>
                <w:tcPr>
                  <w:tcW w:w="519" w:type="pct"/>
                  <w:tcBorders>
                    <w:tl2br w:val="nil"/>
                    <w:tr2bl w:val="nil"/>
                  </w:tcBorders>
                  <w:noWrap w:val="0"/>
                  <w:vAlign w:val="center"/>
                </w:tcPr>
                <w:p w14:paraId="3DE0EA35">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43770D29">
                  <w:pPr>
                    <w:keepNext w:val="0"/>
                    <w:keepLines w:val="0"/>
                    <w:pageBreakBefore w:val="0"/>
                    <w:widowControl w:val="0"/>
                    <w:kinsoku/>
                    <w:wordWrap/>
                    <w:overflowPunct/>
                    <w:topLinePunct/>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1.34</w:t>
                  </w:r>
                </w:p>
              </w:tc>
              <w:tc>
                <w:tcPr>
                  <w:tcW w:w="484" w:type="pct"/>
                  <w:tcBorders>
                    <w:tl2br w:val="nil"/>
                    <w:tr2bl w:val="nil"/>
                  </w:tcBorders>
                  <w:noWrap w:val="0"/>
                  <w:vAlign w:val="center"/>
                </w:tcPr>
                <w:p w14:paraId="4A7DC357">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618" w:type="pct"/>
                  <w:tcBorders>
                    <w:tl2br w:val="nil"/>
                    <w:tr2bl w:val="nil"/>
                  </w:tcBorders>
                  <w:noWrap w:val="0"/>
                  <w:vAlign w:val="center"/>
                </w:tcPr>
                <w:p w14:paraId="4AFD60F2">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0.0268</w:t>
                  </w:r>
                </w:p>
              </w:tc>
              <w:tc>
                <w:tcPr>
                  <w:tcW w:w="471" w:type="pct"/>
                  <w:vMerge w:val="continue"/>
                  <w:tcBorders>
                    <w:tl2br w:val="nil"/>
                    <w:tr2bl w:val="nil"/>
                  </w:tcBorders>
                  <w:noWrap w:val="0"/>
                  <w:vAlign w:val="center"/>
                </w:tcPr>
                <w:p w14:paraId="03A69D42">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5AF12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16" w:type="pct"/>
                  <w:vMerge w:val="continue"/>
                  <w:tcBorders>
                    <w:tl2br w:val="nil"/>
                    <w:tr2bl w:val="nil"/>
                  </w:tcBorders>
                  <w:noWrap w:val="0"/>
                  <w:vAlign w:val="center"/>
                </w:tcPr>
                <w:p w14:paraId="2652B463">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p>
              </w:tc>
              <w:tc>
                <w:tcPr>
                  <w:tcW w:w="569" w:type="pct"/>
                  <w:tcBorders>
                    <w:tl2br w:val="nil"/>
                    <w:tr2bl w:val="nil"/>
                  </w:tcBorders>
                  <w:noWrap w:val="0"/>
                  <w:vAlign w:val="center"/>
                </w:tcPr>
                <w:p w14:paraId="73E06B94">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z w:val="21"/>
                      <w:szCs w:val="21"/>
                      <w:lang w:val="en-US" w:eastAsia="zh-CN"/>
                    </w:rPr>
                    <w:t>废石棉刹车片</w:t>
                  </w:r>
                </w:p>
              </w:tc>
              <w:tc>
                <w:tcPr>
                  <w:tcW w:w="446" w:type="pct"/>
                  <w:tcBorders>
                    <w:tl2br w:val="nil"/>
                    <w:tr2bl w:val="nil"/>
                  </w:tcBorders>
                  <w:noWrap w:val="0"/>
                  <w:vAlign w:val="center"/>
                </w:tcPr>
                <w:p w14:paraId="0EE774A1">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固态</w:t>
                  </w:r>
                </w:p>
              </w:tc>
              <w:tc>
                <w:tcPr>
                  <w:tcW w:w="565" w:type="pct"/>
                  <w:tcBorders>
                    <w:tl2br w:val="nil"/>
                    <w:tr2bl w:val="nil"/>
                  </w:tcBorders>
                  <w:noWrap w:val="0"/>
                  <w:vAlign w:val="center"/>
                </w:tcPr>
                <w:p w14:paraId="6C2F7305">
                  <w:pPr>
                    <w:keepNext w:val="0"/>
                    <w:keepLines w:val="0"/>
                    <w:pageBreakBefore w:val="0"/>
                    <w:widowControl w:val="0"/>
                    <w:kinsoku/>
                    <w:wordWrap/>
                    <w:overflowPunct/>
                    <w:topLinePunct/>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3.917</w:t>
                  </w:r>
                </w:p>
              </w:tc>
              <w:tc>
                <w:tcPr>
                  <w:tcW w:w="574" w:type="pct"/>
                  <w:tcBorders>
                    <w:tl2br w:val="nil"/>
                    <w:tr2bl w:val="nil"/>
                  </w:tcBorders>
                  <w:noWrap w:val="0"/>
                  <w:vAlign w:val="center"/>
                </w:tcPr>
                <w:p w14:paraId="2B9EB9F9">
                  <w:pPr>
                    <w:keepNext w:val="0"/>
                    <w:keepLines w:val="0"/>
                    <w:pageBreakBefore w:val="0"/>
                    <w:widowControl w:val="0"/>
                    <w:kinsoku/>
                    <w:wordWrap/>
                    <w:overflowPunct/>
                    <w:topLinePunct/>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lang w:val="en-US" w:eastAsia="zh-CN"/>
                    </w:rPr>
                    <w:t>废石棉刹车片</w:t>
                  </w:r>
                </w:p>
              </w:tc>
              <w:tc>
                <w:tcPr>
                  <w:tcW w:w="519" w:type="pct"/>
                  <w:tcBorders>
                    <w:tl2br w:val="nil"/>
                    <w:tr2bl w:val="nil"/>
                  </w:tcBorders>
                  <w:noWrap w:val="0"/>
                  <w:vAlign w:val="center"/>
                </w:tcPr>
                <w:p w14:paraId="6100F62C">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534" w:type="pct"/>
                  <w:tcBorders>
                    <w:tl2br w:val="nil"/>
                    <w:tr2bl w:val="nil"/>
                  </w:tcBorders>
                  <w:noWrap w:val="0"/>
                  <w:vAlign w:val="center"/>
                </w:tcPr>
                <w:p w14:paraId="11BBA6E4">
                  <w:pPr>
                    <w:keepNext w:val="0"/>
                    <w:keepLines w:val="0"/>
                    <w:pageBreakBefore w:val="0"/>
                    <w:widowControl w:val="0"/>
                    <w:kinsoku/>
                    <w:wordWrap/>
                    <w:overflowPunct/>
                    <w:topLinePunct/>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lang w:val="en-US" w:eastAsia="zh-CN"/>
                    </w:rPr>
                    <w:t>3.917</w:t>
                  </w:r>
                </w:p>
              </w:tc>
              <w:tc>
                <w:tcPr>
                  <w:tcW w:w="484" w:type="pct"/>
                  <w:tcBorders>
                    <w:tl2br w:val="nil"/>
                    <w:tr2bl w:val="nil"/>
                  </w:tcBorders>
                  <w:noWrap w:val="0"/>
                  <w:vAlign w:val="center"/>
                </w:tcPr>
                <w:p w14:paraId="1212D550">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618" w:type="pct"/>
                  <w:tcBorders>
                    <w:tl2br w:val="nil"/>
                    <w:tr2bl w:val="nil"/>
                  </w:tcBorders>
                  <w:noWrap w:val="0"/>
                  <w:vAlign w:val="center"/>
                </w:tcPr>
                <w:p w14:paraId="3FBA6283">
                  <w:pPr>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0.07834</w:t>
                  </w:r>
                </w:p>
              </w:tc>
              <w:tc>
                <w:tcPr>
                  <w:tcW w:w="471" w:type="pct"/>
                  <w:vMerge w:val="continue"/>
                  <w:tcBorders>
                    <w:tl2br w:val="nil"/>
                    <w:tr2bl w:val="nil"/>
                  </w:tcBorders>
                  <w:noWrap w:val="0"/>
                  <w:vAlign w:val="center"/>
                </w:tcPr>
                <w:p w14:paraId="1FFB3289">
                  <w:pPr>
                    <w:pStyle w:val="34"/>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p>
              </w:tc>
            </w:tr>
          </w:tbl>
          <w:p w14:paraId="0A9C224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注：1.根据建设单位提供资料，铅酸蓄电池内电解液占比约 12%，电解液中硫酸比重约 30%</w:t>
            </w:r>
          </w:p>
          <w:p w14:paraId="0ADF1EB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2.废油中矿物油成分按最不利的100%计</w:t>
            </w:r>
          </w:p>
          <w:p w14:paraId="2635CC9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活性炭、废制冷剂等</w:t>
            </w:r>
            <w:r>
              <w:rPr>
                <w:rFonts w:hint="eastAsia" w:ascii="Times New Roman" w:hAnsi="Times New Roman" w:eastAsia="宋体"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危险废物参照</w:t>
            </w:r>
            <w:r>
              <w:rPr>
                <w:rFonts w:hint="eastAsia" w:ascii="Times New Roman" w:hAnsi="Times New Roman" w:eastAsia="宋体" w:cs="Times New Roman"/>
                <w:color w:val="auto"/>
                <w:sz w:val="21"/>
                <w:szCs w:val="21"/>
                <w:lang w:val="en-US" w:eastAsia="zh-CN"/>
              </w:rPr>
              <w:t>健康危险</w:t>
            </w:r>
            <w:r>
              <w:rPr>
                <w:rFonts w:hint="default" w:ascii="Times New Roman" w:hAnsi="Times New Roman" w:eastAsia="宋体" w:cs="Times New Roman"/>
                <w:color w:val="auto"/>
                <w:sz w:val="21"/>
                <w:szCs w:val="21"/>
                <w:lang w:val="en-US" w:eastAsia="zh-CN"/>
              </w:rPr>
              <w:t>急性毒性3类别临界量50 计。</w:t>
            </w:r>
          </w:p>
          <w:p w14:paraId="2CEBFD1B">
            <w:pPr>
              <w:pStyle w:val="12"/>
              <w:jc w:val="center"/>
              <w:rPr>
                <w:rFonts w:hint="eastAsia" w:ascii="Times New Roman" w:hAnsi="Times New Roman" w:eastAsia="宋体"/>
                <w:b/>
                <w:bCs/>
                <w:color w:val="auto"/>
                <w:szCs w:val="24"/>
                <w:highlight w:val="none"/>
                <w:lang w:val="en-US" w:eastAsia="zh-CN"/>
              </w:rPr>
            </w:pPr>
          </w:p>
          <w:p w14:paraId="6192DE01">
            <w:pPr>
              <w:spacing w:line="360" w:lineRule="auto"/>
              <w:ind w:firstLine="480" w:firstLineChars="200"/>
              <w:rPr>
                <w:rFonts w:ascii="Times New Roman" w:hAnsi="Times New Roman" w:eastAsia="宋体"/>
                <w:color w:val="auto"/>
                <w:sz w:val="24"/>
                <w:highlight w:val="none"/>
                <w:lang w:val="zh-CN"/>
              </w:rPr>
            </w:pPr>
            <w:r>
              <w:rPr>
                <w:rFonts w:ascii="Times New Roman" w:hAnsi="Times New Roman" w:eastAsia="宋体"/>
                <w:color w:val="auto"/>
                <w:sz w:val="24"/>
                <w:highlight w:val="none"/>
                <w:lang w:val="zh-CN"/>
              </w:rPr>
              <w:t>由表可知，</w:t>
            </w:r>
            <w:r>
              <w:rPr>
                <w:rFonts w:hint="eastAsia" w:ascii="Times New Roman" w:hAnsi="Times New Roman" w:eastAsia="宋体" w:cs="Times New Roman"/>
                <w:b w:val="0"/>
                <w:bCs w:val="0"/>
                <w:color w:val="auto"/>
                <w:sz w:val="24"/>
                <w:lang w:val="en-US" w:eastAsia="zh-CN"/>
              </w:rPr>
              <w:t>项目</w:t>
            </w:r>
            <w:r>
              <w:rPr>
                <w:rFonts w:hint="default" w:ascii="Times New Roman" w:hAnsi="Times New Roman" w:eastAsia="宋体" w:cs="Times New Roman"/>
                <w:b w:val="0"/>
                <w:bCs w:val="0"/>
                <w:color w:val="auto"/>
                <w:sz w:val="24"/>
                <w:lang w:val="en-US" w:eastAsia="zh-CN"/>
              </w:rPr>
              <w:t>环境风险物质数量与临界量比值</w:t>
            </w:r>
            <w:r>
              <w:rPr>
                <w:rFonts w:ascii="Times New Roman" w:hAnsi="Times New Roman" w:eastAsia="宋体"/>
                <w:color w:val="auto"/>
                <w:sz w:val="24"/>
                <w:highlight w:val="none"/>
                <w:lang w:val="zh-CN"/>
              </w:rPr>
              <w:t>Q=</w:t>
            </w:r>
            <w:r>
              <w:rPr>
                <w:rFonts w:hint="eastAsia" w:ascii="Times New Roman" w:hAnsi="Times New Roman" w:eastAsia="宋体"/>
                <w:color w:val="auto"/>
                <w:sz w:val="24"/>
                <w:highlight w:val="none"/>
                <w:lang w:val="en-US" w:eastAsia="zh-CN"/>
              </w:rPr>
              <w:t>0.59012</w:t>
            </w:r>
            <w:r>
              <w:rPr>
                <w:rFonts w:ascii="Times New Roman" w:hAnsi="Times New Roman" w:eastAsia="宋体"/>
                <w:color w:val="auto"/>
                <w:sz w:val="24"/>
                <w:highlight w:val="none"/>
                <w:lang w:val="zh-CN"/>
              </w:rPr>
              <w:t>&lt;1，则</w:t>
            </w:r>
            <w:r>
              <w:rPr>
                <w:rFonts w:hint="eastAsia" w:ascii="Times New Roman" w:hAnsi="Times New Roman" w:eastAsia="宋体"/>
                <w:color w:val="auto"/>
                <w:sz w:val="24"/>
                <w:highlight w:val="none"/>
                <w:lang w:val="en-US" w:eastAsia="zh-CN"/>
              </w:rPr>
              <w:t>项目</w:t>
            </w:r>
            <w:r>
              <w:rPr>
                <w:rFonts w:ascii="Times New Roman" w:hAnsi="Times New Roman" w:eastAsia="宋体"/>
                <w:color w:val="auto"/>
                <w:sz w:val="24"/>
                <w:highlight w:val="none"/>
                <w:lang w:val="zh-CN"/>
              </w:rPr>
              <w:t>环境风险潜势为I。</w:t>
            </w:r>
            <w:r>
              <w:rPr>
                <w:rFonts w:hint="eastAsia" w:ascii="Times New Roman" w:hAnsi="Times New Roman" w:eastAsia="宋体"/>
                <w:color w:val="auto"/>
                <w:sz w:val="24"/>
                <w:highlight w:val="none"/>
                <w:lang w:val="zh-CN"/>
              </w:rPr>
              <w:t>根据《建设项目环境风险评价技术导则》(HJ 169-2018)附录C可知，当Q＜1时，该项目环境风险潜势为Ⅰ，环境风险潜势为Ⅰ时，评价工作级别简单分析，因此，本评价主要在描述环境影响途径、环境危害后果、风险防范措施等方面给出定性说明。</w:t>
            </w:r>
          </w:p>
          <w:p w14:paraId="14B86A5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4.</w:t>
            </w:r>
            <w:r>
              <w:rPr>
                <w:rFonts w:hint="eastAsia" w:ascii="Times New Roman" w:hAnsi="Times New Roman" w:cs="Times New Roman"/>
                <w:b/>
                <w:bCs/>
                <w:color w:val="auto"/>
                <w:sz w:val="24"/>
                <w:highlight w:val="none"/>
                <w:lang w:val="en-US" w:eastAsia="zh-CN"/>
              </w:rPr>
              <w:t>8</w:t>
            </w:r>
            <w:r>
              <w:rPr>
                <w:rFonts w:hint="default" w:ascii="Times New Roman" w:hAnsi="Times New Roman" w:cs="Times New Roman"/>
                <w:b/>
                <w:bCs/>
                <w:color w:val="auto"/>
                <w:sz w:val="24"/>
                <w:highlight w:val="none"/>
                <w:lang w:val="en-US" w:eastAsia="zh-CN"/>
              </w:rPr>
              <w:t>.2 环境风险识别</w:t>
            </w:r>
          </w:p>
          <w:p w14:paraId="79E9F08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通过对项目</w:t>
            </w:r>
            <w:r>
              <w:rPr>
                <w:rFonts w:hint="default" w:ascii="Times New Roman" w:hAnsi="Times New Roman" w:eastAsia="宋体" w:cs="Times New Roman"/>
                <w:color w:val="auto"/>
                <w:kern w:val="0"/>
                <w:sz w:val="24"/>
                <w:highlight w:val="none"/>
              </w:rPr>
              <w:t>生产系统、公用系统、环保系统</w:t>
            </w:r>
            <w:r>
              <w:rPr>
                <w:rFonts w:hint="eastAsia" w:ascii="Times New Roman" w:hAnsi="Times New Roman" w:eastAsia="宋体" w:cs="Times New Roman"/>
                <w:color w:val="auto"/>
                <w:kern w:val="0"/>
                <w:sz w:val="24"/>
                <w:highlight w:val="none"/>
                <w:lang w:val="en-US" w:eastAsia="zh-CN"/>
              </w:rPr>
              <w:t>等分析</w:t>
            </w:r>
            <w:r>
              <w:rPr>
                <w:rFonts w:hint="default" w:ascii="Times New Roman" w:hAnsi="Times New Roman" w:eastAsia="宋体" w:cs="Times New Roman"/>
                <w:color w:val="auto"/>
                <w:kern w:val="0"/>
                <w:sz w:val="24"/>
                <w:highlight w:val="none"/>
              </w:rPr>
              <w:t>，项目</w:t>
            </w:r>
            <w:r>
              <w:rPr>
                <w:rFonts w:hint="default" w:ascii="Times New Roman" w:hAnsi="Times New Roman" w:eastAsia="宋体" w:cs="Times New Roman"/>
                <w:color w:val="auto"/>
                <w:kern w:val="0"/>
                <w:sz w:val="24"/>
                <w:highlight w:val="none"/>
                <w:lang w:eastAsia="zh-CN"/>
              </w:rPr>
              <w:t>潜在环境风险事故</w:t>
            </w:r>
            <w:r>
              <w:rPr>
                <w:rFonts w:hint="default" w:ascii="Times New Roman" w:hAnsi="Times New Roman" w:eastAsia="宋体" w:cs="Times New Roman"/>
                <w:color w:val="auto"/>
                <w:kern w:val="0"/>
                <w:sz w:val="24"/>
                <w:highlight w:val="none"/>
              </w:rPr>
              <w:t>识别结果见</w:t>
            </w:r>
            <w:r>
              <w:rPr>
                <w:rFonts w:hint="default" w:ascii="Times New Roman" w:hAnsi="Times New Roman" w:eastAsia="宋体" w:cs="Times New Roman"/>
                <w:color w:val="auto"/>
                <w:kern w:val="0"/>
                <w:sz w:val="24"/>
                <w:highlight w:val="none"/>
                <w:lang w:eastAsia="zh-CN"/>
              </w:rPr>
              <w:t>下表</w:t>
            </w:r>
            <w:r>
              <w:rPr>
                <w:rFonts w:hint="default"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eastAsia="zh-CN"/>
              </w:rPr>
              <w:t>。</w:t>
            </w:r>
          </w:p>
          <w:p w14:paraId="3DDAE8CD">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Times New Roman" w:hAnsi="Times New Roman" w:eastAsia="黑体" w:cs="Times New Roman"/>
                <w:color w:val="auto"/>
                <w:sz w:val="24"/>
                <w:lang w:val="en-US" w:eastAsia="zh-CN"/>
              </w:rPr>
            </w:pPr>
          </w:p>
          <w:p w14:paraId="3ABF584C">
            <w:pPr>
              <w:pStyle w:val="2"/>
              <w:rPr>
                <w:rFonts w:hint="eastAsia" w:ascii="Times New Roman" w:hAnsi="Times New Roman" w:eastAsia="黑体" w:cs="Times New Roman"/>
                <w:color w:val="auto"/>
                <w:sz w:val="24"/>
                <w:lang w:val="en-US" w:eastAsia="zh-CN"/>
              </w:rPr>
            </w:pPr>
          </w:p>
          <w:p w14:paraId="05A432B2">
            <w:pPr>
              <w:pStyle w:val="4"/>
              <w:rPr>
                <w:rFonts w:hint="eastAsia"/>
                <w:color w:val="auto"/>
                <w:lang w:val="en-US" w:eastAsia="zh-CN"/>
              </w:rPr>
            </w:pPr>
          </w:p>
          <w:p w14:paraId="005F3749">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Times New Roman" w:hAnsi="Times New Roman" w:eastAsia="黑体" w:cs="Times New Roman"/>
                <w:color w:val="auto"/>
                <w:sz w:val="24"/>
                <w:lang w:val="en-US" w:eastAsia="zh-CN"/>
              </w:rPr>
            </w:pPr>
            <w:r>
              <w:rPr>
                <w:rFonts w:hint="eastAsia" w:ascii="Times New Roman" w:hAnsi="Times New Roman" w:eastAsia="黑体" w:cs="Times New Roman"/>
                <w:color w:val="auto"/>
                <w:sz w:val="24"/>
                <w:lang w:val="en-US" w:eastAsia="zh-CN"/>
              </w:rPr>
              <w:t>表4.7-2 项目环境风险识别汇总表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0"/>
              <w:gridCol w:w="1428"/>
              <w:gridCol w:w="1299"/>
              <w:gridCol w:w="986"/>
              <w:gridCol w:w="2050"/>
              <w:gridCol w:w="1531"/>
            </w:tblGrid>
            <w:tr w14:paraId="50B56D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466" w:type="pct"/>
                  <w:noWrap w:val="0"/>
                  <w:vAlign w:val="center"/>
                </w:tcPr>
                <w:p w14:paraId="5EDAEDEC">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潜在事故类型</w:t>
                  </w:r>
                </w:p>
              </w:tc>
              <w:tc>
                <w:tcPr>
                  <w:tcW w:w="887" w:type="pct"/>
                  <w:noWrap w:val="0"/>
                  <w:vAlign w:val="center"/>
                </w:tcPr>
                <w:p w14:paraId="01DEDF60">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事故原因</w:t>
                  </w:r>
                </w:p>
              </w:tc>
              <w:tc>
                <w:tcPr>
                  <w:tcW w:w="807" w:type="pct"/>
                  <w:noWrap w:val="0"/>
                  <w:vAlign w:val="center"/>
                </w:tcPr>
                <w:p w14:paraId="3BDAC074">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危险单位</w:t>
                  </w:r>
                </w:p>
              </w:tc>
              <w:tc>
                <w:tcPr>
                  <w:tcW w:w="612" w:type="pct"/>
                  <w:noWrap w:val="0"/>
                  <w:vAlign w:val="center"/>
                </w:tcPr>
                <w:p w14:paraId="24FE2A84">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危险物质</w:t>
                  </w:r>
                </w:p>
              </w:tc>
              <w:tc>
                <w:tcPr>
                  <w:tcW w:w="1274" w:type="pct"/>
                  <w:noWrap w:val="0"/>
                  <w:vAlign w:val="center"/>
                </w:tcPr>
                <w:p w14:paraId="11198989">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环境影响途径</w:t>
                  </w:r>
                </w:p>
              </w:tc>
              <w:tc>
                <w:tcPr>
                  <w:tcW w:w="951" w:type="pct"/>
                  <w:noWrap w:val="0"/>
                  <w:vAlign w:val="center"/>
                </w:tcPr>
                <w:p w14:paraId="6D2C4B59">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环境危害后果</w:t>
                  </w:r>
                </w:p>
              </w:tc>
            </w:tr>
            <w:tr w14:paraId="1C87A0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466" w:type="pct"/>
                  <w:noWrap w:val="0"/>
                  <w:vAlign w:val="center"/>
                </w:tcPr>
                <w:p w14:paraId="51F6CD9C">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eastAsia" w:ascii="Times New Roman" w:hAnsi="Times New Roman" w:cs="Times New Roman"/>
                      <w:color w:val="auto"/>
                      <w:sz w:val="21"/>
                      <w:szCs w:val="21"/>
                      <w:highlight w:val="none"/>
                      <w:u w:val="none"/>
                      <w:lang w:val="en-US" w:eastAsia="zh-CN"/>
                    </w:rPr>
                    <w:t>废气事故排放</w:t>
                  </w:r>
                </w:p>
              </w:tc>
              <w:tc>
                <w:tcPr>
                  <w:tcW w:w="887" w:type="pct"/>
                  <w:noWrap w:val="0"/>
                  <w:vAlign w:val="center"/>
                </w:tcPr>
                <w:p w14:paraId="5652AC1B">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废气处理</w:t>
                  </w:r>
                </w:p>
                <w:p w14:paraId="5D50BA20">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eastAsia" w:ascii="Times New Roman" w:hAnsi="Times New Roman" w:cs="Times New Roman"/>
                      <w:color w:val="auto"/>
                      <w:sz w:val="21"/>
                      <w:szCs w:val="21"/>
                      <w:highlight w:val="none"/>
                      <w:u w:val="none"/>
                      <w:lang w:val="en-US" w:eastAsia="zh-CN"/>
                    </w:rPr>
                    <w:t>设施故障</w:t>
                  </w:r>
                </w:p>
              </w:tc>
              <w:tc>
                <w:tcPr>
                  <w:tcW w:w="807" w:type="pct"/>
                  <w:noWrap w:val="0"/>
                  <w:vAlign w:val="center"/>
                </w:tcPr>
                <w:p w14:paraId="3067B686">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预处理车间、大车小车拆解车间、废变压器拆解车间、废电机拆解车间</w:t>
                  </w:r>
                </w:p>
              </w:tc>
              <w:tc>
                <w:tcPr>
                  <w:tcW w:w="612" w:type="pct"/>
                  <w:noWrap w:val="0"/>
                  <w:vAlign w:val="center"/>
                </w:tcPr>
                <w:p w14:paraId="2CB79BA7">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未经处理废气</w:t>
                  </w:r>
                </w:p>
              </w:tc>
              <w:tc>
                <w:tcPr>
                  <w:tcW w:w="1274" w:type="pct"/>
                  <w:noWrap w:val="0"/>
                  <w:vAlign w:val="center"/>
                </w:tcPr>
                <w:p w14:paraId="72D2FB2E">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kern w:val="0"/>
                      <w:sz w:val="21"/>
                      <w:szCs w:val="21"/>
                      <w:highlight w:val="none"/>
                      <w:u w:val="none"/>
                      <w:lang w:val="en-US" w:eastAsia="zh-CN" w:bidi="he-IL"/>
                    </w:rPr>
                  </w:pPr>
                  <w:r>
                    <w:rPr>
                      <w:rFonts w:hint="eastAsia" w:ascii="Times New Roman" w:hAnsi="Times New Roman" w:cs="Times New Roman"/>
                      <w:color w:val="auto"/>
                      <w:sz w:val="21"/>
                      <w:szCs w:val="21"/>
                      <w:highlight w:val="none"/>
                      <w:u w:val="none"/>
                      <w:lang w:val="en-US" w:eastAsia="zh-CN"/>
                    </w:rPr>
                    <w:t>粉尘、</w:t>
                  </w:r>
                  <w:r>
                    <w:rPr>
                      <w:rFonts w:hint="default" w:ascii="Times New Roman" w:hAnsi="Times New Roman" w:cs="Times New Roman"/>
                      <w:color w:val="auto"/>
                      <w:sz w:val="21"/>
                      <w:szCs w:val="21"/>
                      <w:highlight w:val="none"/>
                      <w:u w:val="none"/>
                    </w:rPr>
                    <w:t>有机废气</w:t>
                  </w:r>
                  <w:r>
                    <w:rPr>
                      <w:rFonts w:hint="eastAsia" w:ascii="Times New Roman" w:hAnsi="Times New Roman" w:cs="Times New Roman"/>
                      <w:color w:val="auto"/>
                      <w:sz w:val="21"/>
                      <w:szCs w:val="21"/>
                      <w:highlight w:val="none"/>
                      <w:u w:val="none"/>
                      <w:lang w:val="en-US" w:eastAsia="zh-CN"/>
                    </w:rPr>
                    <w:t>未经处理</w:t>
                  </w:r>
                  <w:r>
                    <w:rPr>
                      <w:rFonts w:hint="default" w:ascii="Times New Roman" w:hAnsi="Times New Roman" w:cs="Times New Roman"/>
                      <w:color w:val="auto"/>
                      <w:sz w:val="21"/>
                      <w:szCs w:val="21"/>
                      <w:highlight w:val="none"/>
                      <w:u w:val="none"/>
                    </w:rPr>
                    <w:t>全部</w:t>
                  </w:r>
                  <w:r>
                    <w:rPr>
                      <w:rFonts w:hint="eastAsia" w:ascii="Times New Roman" w:hAnsi="Times New Roman" w:cs="Times New Roman"/>
                      <w:color w:val="auto"/>
                      <w:sz w:val="21"/>
                      <w:szCs w:val="21"/>
                      <w:highlight w:val="none"/>
                      <w:u w:val="none"/>
                      <w:lang w:val="en-US" w:eastAsia="zh-CN"/>
                    </w:rPr>
                    <w:t>直接</w:t>
                  </w:r>
                  <w:r>
                    <w:rPr>
                      <w:rFonts w:hint="default" w:ascii="Times New Roman" w:hAnsi="Times New Roman" w:cs="Times New Roman"/>
                      <w:color w:val="auto"/>
                      <w:sz w:val="21"/>
                      <w:szCs w:val="21"/>
                      <w:highlight w:val="none"/>
                      <w:u w:val="none"/>
                    </w:rPr>
                    <w:t>排放扩散</w:t>
                  </w:r>
                </w:p>
              </w:tc>
              <w:tc>
                <w:tcPr>
                  <w:tcW w:w="951" w:type="pct"/>
                  <w:noWrap w:val="0"/>
                  <w:vAlign w:val="center"/>
                </w:tcPr>
                <w:p w14:paraId="3B651B09">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kern w:val="0"/>
                      <w:sz w:val="21"/>
                      <w:szCs w:val="21"/>
                      <w:highlight w:val="none"/>
                      <w:u w:val="none"/>
                      <w:lang w:val="en-US" w:eastAsia="zh-CN" w:bidi="he-IL"/>
                    </w:rPr>
                  </w:pPr>
                  <w:r>
                    <w:rPr>
                      <w:rFonts w:hint="default" w:ascii="Times New Roman" w:hAnsi="Times New Roman" w:cs="Times New Roman"/>
                      <w:color w:val="auto"/>
                      <w:sz w:val="21"/>
                      <w:szCs w:val="21"/>
                      <w:highlight w:val="none"/>
                      <w:u w:val="none"/>
                    </w:rPr>
                    <w:t>对大气环境有</w:t>
                  </w:r>
                  <w:r>
                    <w:rPr>
                      <w:rFonts w:hint="eastAsia" w:ascii="Times New Roman" w:hAnsi="Times New Roman" w:cs="Times New Roman"/>
                      <w:color w:val="auto"/>
                      <w:sz w:val="21"/>
                      <w:szCs w:val="21"/>
                      <w:highlight w:val="none"/>
                      <w:u w:val="none"/>
                      <w:lang w:val="en-US" w:eastAsia="zh-CN"/>
                    </w:rPr>
                    <w:t>轻微的</w:t>
                  </w:r>
                  <w:r>
                    <w:rPr>
                      <w:rFonts w:hint="default" w:ascii="Times New Roman" w:hAnsi="Times New Roman" w:cs="Times New Roman"/>
                      <w:color w:val="auto"/>
                      <w:sz w:val="21"/>
                      <w:szCs w:val="21"/>
                      <w:highlight w:val="none"/>
                      <w:u w:val="none"/>
                    </w:rPr>
                    <w:t>影响</w:t>
                  </w:r>
                </w:p>
              </w:tc>
            </w:tr>
            <w:tr w14:paraId="719ABB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9" w:hRule="atLeast"/>
                <w:jc w:val="center"/>
              </w:trPr>
              <w:tc>
                <w:tcPr>
                  <w:tcW w:w="466" w:type="pct"/>
                  <w:noWrap w:val="0"/>
                  <w:vAlign w:val="center"/>
                </w:tcPr>
                <w:p w14:paraId="58D0F852">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废水事故排放</w:t>
                  </w:r>
                </w:p>
              </w:tc>
              <w:tc>
                <w:tcPr>
                  <w:tcW w:w="887" w:type="pct"/>
                  <w:noWrap w:val="0"/>
                  <w:vAlign w:val="center"/>
                </w:tcPr>
                <w:p w14:paraId="71D13504">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废水处理设施故障、管道破裂</w:t>
                  </w:r>
                </w:p>
              </w:tc>
              <w:tc>
                <w:tcPr>
                  <w:tcW w:w="807" w:type="pct"/>
                  <w:noWrap w:val="0"/>
                  <w:vAlign w:val="center"/>
                </w:tcPr>
                <w:p w14:paraId="5E3559F0">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收集池、废水处理设施</w:t>
                  </w:r>
                </w:p>
              </w:tc>
              <w:tc>
                <w:tcPr>
                  <w:tcW w:w="612" w:type="pct"/>
                  <w:noWrap w:val="0"/>
                  <w:vAlign w:val="center"/>
                </w:tcPr>
                <w:p w14:paraId="0047B590">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未经处理的废水</w:t>
                  </w:r>
                </w:p>
              </w:tc>
              <w:tc>
                <w:tcPr>
                  <w:tcW w:w="1274" w:type="pct"/>
                  <w:noWrap w:val="0"/>
                  <w:vAlign w:val="center"/>
                </w:tcPr>
                <w:p w14:paraId="36600044">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废水未经处理泄漏至周边地表水体或超标排入市政雨水管网</w:t>
                  </w:r>
                </w:p>
              </w:tc>
              <w:tc>
                <w:tcPr>
                  <w:tcW w:w="951" w:type="pct"/>
                  <w:noWrap w:val="0"/>
                  <w:vAlign w:val="center"/>
                </w:tcPr>
                <w:p w14:paraId="19DB28D2">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对周边地表水体有较大影响</w:t>
                  </w:r>
                </w:p>
              </w:tc>
            </w:tr>
            <w:tr w14:paraId="52D8EF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466" w:type="pct"/>
                  <w:vMerge w:val="restart"/>
                  <w:noWrap w:val="0"/>
                  <w:vAlign w:val="center"/>
                </w:tcPr>
                <w:p w14:paraId="3040A2A0">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r>
                    <w:rPr>
                      <w:rFonts w:hint="eastAsia" w:ascii="Times New Roman" w:hAnsi="Times New Roman" w:cs="Times New Roman"/>
                      <w:color w:val="auto"/>
                      <w:sz w:val="21"/>
                      <w:szCs w:val="21"/>
                      <w:highlight w:val="none"/>
                      <w:u w:val="none"/>
                      <w:lang w:val="en-US" w:eastAsia="zh-CN"/>
                    </w:rPr>
                    <w:t>危险物质、危险废物等</w:t>
                  </w:r>
                  <w:r>
                    <w:rPr>
                      <w:rFonts w:hint="default" w:ascii="Times New Roman" w:hAnsi="Times New Roman" w:cs="Times New Roman"/>
                      <w:color w:val="auto"/>
                      <w:sz w:val="21"/>
                      <w:szCs w:val="21"/>
                      <w:highlight w:val="none"/>
                      <w:u w:val="none"/>
                    </w:rPr>
                    <w:t>泄漏</w:t>
                  </w:r>
                </w:p>
              </w:tc>
              <w:tc>
                <w:tcPr>
                  <w:tcW w:w="887" w:type="pct"/>
                  <w:vMerge w:val="restart"/>
                  <w:noWrap w:val="0"/>
                  <w:vAlign w:val="center"/>
                </w:tcPr>
                <w:p w14:paraId="0854B311">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r>
                    <w:rPr>
                      <w:rFonts w:hint="eastAsia" w:ascii="Times New Roman" w:hAnsi="Times New Roman" w:cs="Times New Roman"/>
                      <w:color w:val="auto"/>
                      <w:sz w:val="21"/>
                      <w:szCs w:val="21"/>
                      <w:highlight w:val="none"/>
                      <w:u w:val="none"/>
                      <w:lang w:val="en-US" w:eastAsia="zh-CN"/>
                    </w:rPr>
                    <w:t>容器</w:t>
                  </w:r>
                  <w:r>
                    <w:rPr>
                      <w:rFonts w:hint="default" w:ascii="Times New Roman" w:hAnsi="Times New Roman" w:cs="Times New Roman"/>
                      <w:color w:val="auto"/>
                      <w:sz w:val="21"/>
                      <w:szCs w:val="21"/>
                      <w:highlight w:val="none"/>
                      <w:u w:val="none"/>
                    </w:rPr>
                    <w:t>桶泄漏</w:t>
                  </w:r>
                  <w:r>
                    <w:rPr>
                      <w:rFonts w:hint="eastAsia" w:ascii="Times New Roman" w:hAnsi="Times New Roman" w:cs="Times New Roman"/>
                      <w:color w:val="auto"/>
                      <w:sz w:val="21"/>
                      <w:szCs w:val="21"/>
                      <w:highlight w:val="none"/>
                      <w:u w:val="none"/>
                      <w:lang w:eastAsia="zh-CN"/>
                    </w:rPr>
                    <w:t>、</w:t>
                  </w:r>
                  <w:r>
                    <w:rPr>
                      <w:rFonts w:hint="eastAsia" w:ascii="Times New Roman" w:hAnsi="Times New Roman" w:cs="Times New Roman"/>
                      <w:color w:val="auto"/>
                      <w:sz w:val="21"/>
                      <w:szCs w:val="21"/>
                      <w:highlight w:val="none"/>
                      <w:u w:val="none"/>
                      <w:lang w:val="en-US" w:eastAsia="zh-CN"/>
                    </w:rPr>
                    <w:t>人为操作不当、</w:t>
                  </w:r>
                  <w:r>
                    <w:rPr>
                      <w:rFonts w:hint="default" w:ascii="Times New Roman" w:hAnsi="Times New Roman" w:cs="Times New Roman"/>
                      <w:color w:val="auto"/>
                      <w:sz w:val="21"/>
                      <w:szCs w:val="21"/>
                      <w:highlight w:val="none"/>
                      <w:u w:val="none"/>
                    </w:rPr>
                    <w:t>运输车辆发生事故发生泄漏</w:t>
                  </w:r>
                </w:p>
              </w:tc>
              <w:tc>
                <w:tcPr>
                  <w:tcW w:w="807" w:type="pct"/>
                  <w:noWrap w:val="0"/>
                  <w:vAlign w:val="center"/>
                </w:tcPr>
                <w:p w14:paraId="603378A0">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预处理区</w:t>
                  </w:r>
                </w:p>
              </w:tc>
              <w:tc>
                <w:tcPr>
                  <w:tcW w:w="612" w:type="pct"/>
                  <w:noWrap w:val="0"/>
                  <w:vAlign w:val="center"/>
                </w:tcPr>
                <w:p w14:paraId="17B4E64F">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eastAsia="宋体"/>
                      <w:b w:val="0"/>
                      <w:bCs w:val="0"/>
                      <w:color w:val="auto"/>
                      <w:sz w:val="21"/>
                      <w:szCs w:val="21"/>
                      <w:vertAlign w:val="baseline"/>
                      <w:lang w:val="en-US" w:eastAsia="zh-CN"/>
                    </w:rPr>
                    <w:t>废油液、制冷剂、废铅酸蓄电池</w:t>
                  </w:r>
                </w:p>
              </w:tc>
              <w:tc>
                <w:tcPr>
                  <w:tcW w:w="1274" w:type="pct"/>
                  <w:vMerge w:val="restart"/>
                  <w:noWrap w:val="0"/>
                  <w:vAlign w:val="center"/>
                </w:tcPr>
                <w:p w14:paraId="6B146783">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渗入土壤</w:t>
                  </w:r>
                  <w:r>
                    <w:rPr>
                      <w:rFonts w:hint="eastAsia" w:ascii="Times New Roman" w:hAnsi="Times New Roman" w:cs="Times New Roman"/>
                      <w:color w:val="auto"/>
                      <w:sz w:val="21"/>
                      <w:szCs w:val="21"/>
                      <w:highlight w:val="none"/>
                      <w:u w:val="none"/>
                      <w:lang w:eastAsia="zh-CN"/>
                    </w:rPr>
                    <w:t>、</w:t>
                  </w:r>
                  <w:r>
                    <w:rPr>
                      <w:rFonts w:hint="eastAsia" w:ascii="Times New Roman" w:hAnsi="Times New Roman" w:cs="Times New Roman"/>
                      <w:color w:val="auto"/>
                      <w:sz w:val="21"/>
                      <w:szCs w:val="21"/>
                      <w:highlight w:val="none"/>
                      <w:u w:val="none"/>
                      <w:lang w:val="en-US" w:eastAsia="zh-CN"/>
                    </w:rPr>
                    <w:t>地下水</w:t>
                  </w:r>
                  <w:r>
                    <w:rPr>
                      <w:rFonts w:hint="default" w:ascii="Times New Roman" w:hAnsi="Times New Roman" w:cs="Times New Roman"/>
                      <w:color w:val="auto"/>
                      <w:sz w:val="21"/>
                      <w:szCs w:val="21"/>
                      <w:highlight w:val="none"/>
                      <w:u w:val="none"/>
                    </w:rPr>
                    <w:t>及排入周边水体、有机废气</w:t>
                  </w:r>
                  <w:r>
                    <w:rPr>
                      <w:rFonts w:hint="eastAsia" w:ascii="Times New Roman" w:hAnsi="Times New Roman" w:cs="Times New Roman"/>
                      <w:color w:val="auto"/>
                      <w:sz w:val="21"/>
                      <w:szCs w:val="21"/>
                      <w:highlight w:val="none"/>
                      <w:u w:val="none"/>
                      <w:lang w:val="en-US" w:eastAsia="zh-CN"/>
                    </w:rPr>
                    <w:t>或电解液破裂产生的酸性废气</w:t>
                  </w:r>
                  <w:r>
                    <w:rPr>
                      <w:rFonts w:hint="default" w:ascii="Times New Roman" w:hAnsi="Times New Roman" w:cs="Times New Roman"/>
                      <w:color w:val="auto"/>
                      <w:sz w:val="21"/>
                      <w:szCs w:val="21"/>
                      <w:highlight w:val="none"/>
                      <w:u w:val="none"/>
                    </w:rPr>
                    <w:t>全部以无组织方式排放扩散</w:t>
                  </w:r>
                </w:p>
              </w:tc>
              <w:tc>
                <w:tcPr>
                  <w:tcW w:w="951" w:type="pct"/>
                  <w:vMerge w:val="restart"/>
                  <w:noWrap w:val="0"/>
                  <w:vAlign w:val="center"/>
                </w:tcPr>
                <w:p w14:paraId="330D2281">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对周边</w:t>
                  </w:r>
                  <w:r>
                    <w:rPr>
                      <w:rFonts w:hint="eastAsia" w:ascii="Times New Roman" w:hAnsi="Times New Roman" w:cs="Times New Roman"/>
                      <w:color w:val="auto"/>
                      <w:sz w:val="21"/>
                      <w:szCs w:val="21"/>
                      <w:highlight w:val="none"/>
                      <w:u w:val="none"/>
                      <w:lang w:val="en-US" w:eastAsia="zh-CN"/>
                    </w:rPr>
                    <w:t>土壤、</w:t>
                  </w:r>
                  <w:r>
                    <w:rPr>
                      <w:rFonts w:hint="default" w:ascii="Times New Roman" w:hAnsi="Times New Roman" w:cs="Times New Roman"/>
                      <w:color w:val="auto"/>
                      <w:sz w:val="21"/>
                      <w:szCs w:val="21"/>
                      <w:highlight w:val="none"/>
                      <w:u w:val="none"/>
                    </w:rPr>
                    <w:t>地下水及周边</w:t>
                  </w:r>
                  <w:r>
                    <w:rPr>
                      <w:rFonts w:hint="eastAsia" w:ascii="Times New Roman" w:hAnsi="Times New Roman" w:cs="Times New Roman"/>
                      <w:color w:val="auto"/>
                      <w:sz w:val="21"/>
                      <w:szCs w:val="21"/>
                      <w:highlight w:val="none"/>
                      <w:u w:val="none"/>
                      <w:lang w:val="en-US" w:eastAsia="zh-CN"/>
                    </w:rPr>
                    <w:t>地表水</w:t>
                  </w:r>
                  <w:r>
                    <w:rPr>
                      <w:rFonts w:hint="default" w:ascii="Times New Roman" w:hAnsi="Times New Roman" w:cs="Times New Roman"/>
                      <w:color w:val="auto"/>
                      <w:sz w:val="21"/>
                      <w:szCs w:val="21"/>
                      <w:highlight w:val="none"/>
                      <w:u w:val="none"/>
                    </w:rPr>
                    <w:t>可能造成</w:t>
                  </w:r>
                  <w:r>
                    <w:rPr>
                      <w:rFonts w:hint="eastAsia" w:ascii="Times New Roman" w:hAnsi="Times New Roman" w:cs="Times New Roman"/>
                      <w:color w:val="auto"/>
                      <w:sz w:val="21"/>
                      <w:szCs w:val="21"/>
                      <w:highlight w:val="none"/>
                      <w:u w:val="none"/>
                      <w:lang w:val="en-US" w:eastAsia="zh-CN"/>
                    </w:rPr>
                    <w:t>较大</w:t>
                  </w:r>
                  <w:r>
                    <w:rPr>
                      <w:rFonts w:hint="default" w:ascii="Times New Roman" w:hAnsi="Times New Roman" w:cs="Times New Roman"/>
                      <w:color w:val="auto"/>
                      <w:sz w:val="21"/>
                      <w:szCs w:val="21"/>
                      <w:highlight w:val="none"/>
                      <w:u w:val="none"/>
                    </w:rPr>
                    <w:t>影响、对大气环境有</w:t>
                  </w:r>
                  <w:r>
                    <w:rPr>
                      <w:rFonts w:hint="eastAsia" w:ascii="Times New Roman" w:hAnsi="Times New Roman" w:cs="Times New Roman"/>
                      <w:color w:val="auto"/>
                      <w:sz w:val="21"/>
                      <w:szCs w:val="21"/>
                      <w:highlight w:val="none"/>
                      <w:u w:val="none"/>
                      <w:lang w:val="en-US" w:eastAsia="zh-CN"/>
                    </w:rPr>
                    <w:t>轻微</w:t>
                  </w:r>
                  <w:r>
                    <w:rPr>
                      <w:rFonts w:hint="default" w:ascii="Times New Roman" w:hAnsi="Times New Roman" w:cs="Times New Roman"/>
                      <w:color w:val="auto"/>
                      <w:sz w:val="21"/>
                      <w:szCs w:val="21"/>
                      <w:highlight w:val="none"/>
                      <w:u w:val="none"/>
                    </w:rPr>
                    <w:t>影响</w:t>
                  </w:r>
                </w:p>
              </w:tc>
            </w:tr>
            <w:tr w14:paraId="57FC14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466" w:type="pct"/>
                  <w:vMerge w:val="continue"/>
                  <w:noWrap w:val="0"/>
                  <w:vAlign w:val="center"/>
                </w:tcPr>
                <w:p w14:paraId="4CD1453E">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eastAsia" w:ascii="Times New Roman" w:hAnsi="Times New Roman" w:cs="Times New Roman"/>
                      <w:color w:val="auto"/>
                      <w:sz w:val="21"/>
                      <w:szCs w:val="21"/>
                      <w:highlight w:val="none"/>
                      <w:u w:val="none"/>
                      <w:lang w:val="en-US" w:eastAsia="zh-CN"/>
                    </w:rPr>
                  </w:pPr>
                </w:p>
              </w:tc>
              <w:tc>
                <w:tcPr>
                  <w:tcW w:w="887" w:type="pct"/>
                  <w:vMerge w:val="continue"/>
                  <w:noWrap w:val="0"/>
                  <w:vAlign w:val="center"/>
                </w:tcPr>
                <w:p w14:paraId="29CBBB02">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eastAsia" w:ascii="Times New Roman" w:hAnsi="Times New Roman" w:cs="Times New Roman"/>
                      <w:color w:val="auto"/>
                      <w:sz w:val="21"/>
                      <w:szCs w:val="21"/>
                      <w:highlight w:val="none"/>
                      <w:u w:val="none"/>
                      <w:lang w:val="en-US" w:eastAsia="zh-CN"/>
                    </w:rPr>
                  </w:pPr>
                </w:p>
              </w:tc>
              <w:tc>
                <w:tcPr>
                  <w:tcW w:w="807" w:type="pct"/>
                  <w:noWrap w:val="0"/>
                  <w:vAlign w:val="center"/>
                </w:tcPr>
                <w:p w14:paraId="47F248F5">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动力蓄电池拆解车间</w:t>
                  </w:r>
                </w:p>
              </w:tc>
              <w:tc>
                <w:tcPr>
                  <w:tcW w:w="612" w:type="pct"/>
                  <w:noWrap w:val="0"/>
                  <w:vAlign w:val="center"/>
                </w:tcPr>
                <w:p w14:paraId="533F87C6">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动力蓄电池</w:t>
                  </w:r>
                </w:p>
              </w:tc>
              <w:tc>
                <w:tcPr>
                  <w:tcW w:w="1274" w:type="pct"/>
                  <w:vMerge w:val="continue"/>
                  <w:noWrap w:val="0"/>
                  <w:vAlign w:val="center"/>
                </w:tcPr>
                <w:p w14:paraId="314E055A">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p>
              </w:tc>
              <w:tc>
                <w:tcPr>
                  <w:tcW w:w="951" w:type="pct"/>
                  <w:vMerge w:val="continue"/>
                  <w:noWrap w:val="0"/>
                  <w:vAlign w:val="center"/>
                </w:tcPr>
                <w:p w14:paraId="213B1E99">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p>
              </w:tc>
            </w:tr>
            <w:tr w14:paraId="6AC885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466" w:type="pct"/>
                  <w:vMerge w:val="continue"/>
                  <w:noWrap w:val="0"/>
                  <w:vAlign w:val="center"/>
                </w:tcPr>
                <w:p w14:paraId="41D58874">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eastAsia" w:ascii="Times New Roman" w:hAnsi="Times New Roman" w:cs="Times New Roman"/>
                      <w:color w:val="auto"/>
                      <w:sz w:val="21"/>
                      <w:szCs w:val="21"/>
                      <w:highlight w:val="none"/>
                      <w:u w:val="none"/>
                      <w:lang w:val="en-US" w:eastAsia="zh-CN"/>
                    </w:rPr>
                  </w:pPr>
                </w:p>
              </w:tc>
              <w:tc>
                <w:tcPr>
                  <w:tcW w:w="887" w:type="pct"/>
                  <w:vMerge w:val="continue"/>
                  <w:noWrap w:val="0"/>
                  <w:vAlign w:val="center"/>
                </w:tcPr>
                <w:p w14:paraId="66C386B6">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eastAsia" w:ascii="Times New Roman" w:hAnsi="Times New Roman" w:cs="Times New Roman"/>
                      <w:color w:val="auto"/>
                      <w:sz w:val="21"/>
                      <w:szCs w:val="21"/>
                      <w:highlight w:val="none"/>
                      <w:u w:val="none"/>
                      <w:lang w:val="en-US" w:eastAsia="zh-CN"/>
                    </w:rPr>
                  </w:pPr>
                </w:p>
              </w:tc>
              <w:tc>
                <w:tcPr>
                  <w:tcW w:w="807" w:type="pct"/>
                  <w:noWrap w:val="0"/>
                  <w:vAlign w:val="center"/>
                </w:tcPr>
                <w:p w14:paraId="691F0517">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废变压器拆解车间</w:t>
                  </w:r>
                </w:p>
              </w:tc>
              <w:tc>
                <w:tcPr>
                  <w:tcW w:w="612" w:type="pct"/>
                  <w:noWrap w:val="0"/>
                  <w:vAlign w:val="center"/>
                </w:tcPr>
                <w:p w14:paraId="42FA2637">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废液压油</w:t>
                  </w:r>
                </w:p>
              </w:tc>
              <w:tc>
                <w:tcPr>
                  <w:tcW w:w="1274" w:type="pct"/>
                  <w:vMerge w:val="continue"/>
                  <w:noWrap w:val="0"/>
                  <w:vAlign w:val="center"/>
                </w:tcPr>
                <w:p w14:paraId="60500434">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p>
              </w:tc>
              <w:tc>
                <w:tcPr>
                  <w:tcW w:w="951" w:type="pct"/>
                  <w:vMerge w:val="continue"/>
                  <w:noWrap w:val="0"/>
                  <w:vAlign w:val="center"/>
                </w:tcPr>
                <w:p w14:paraId="022DDC8C">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p>
              </w:tc>
            </w:tr>
            <w:tr w14:paraId="0F32A6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466" w:type="pct"/>
                  <w:vMerge w:val="continue"/>
                  <w:noWrap w:val="0"/>
                  <w:vAlign w:val="center"/>
                </w:tcPr>
                <w:p w14:paraId="48DA9C9E">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p>
              </w:tc>
              <w:tc>
                <w:tcPr>
                  <w:tcW w:w="887" w:type="pct"/>
                  <w:vMerge w:val="continue"/>
                  <w:noWrap w:val="0"/>
                  <w:vAlign w:val="center"/>
                </w:tcPr>
                <w:p w14:paraId="6F2EBA74">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p>
              </w:tc>
              <w:tc>
                <w:tcPr>
                  <w:tcW w:w="807" w:type="pct"/>
                  <w:noWrap w:val="0"/>
                  <w:vAlign w:val="center"/>
                </w:tcPr>
                <w:p w14:paraId="4140F4EF">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危废暂存间</w:t>
                  </w:r>
                </w:p>
              </w:tc>
              <w:tc>
                <w:tcPr>
                  <w:tcW w:w="612" w:type="pct"/>
                  <w:noWrap w:val="0"/>
                  <w:vAlign w:val="center"/>
                </w:tcPr>
                <w:p w14:paraId="1451A998">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各类危险废物</w:t>
                  </w:r>
                </w:p>
              </w:tc>
              <w:tc>
                <w:tcPr>
                  <w:tcW w:w="1274" w:type="pct"/>
                  <w:vMerge w:val="continue"/>
                  <w:noWrap w:val="0"/>
                  <w:vAlign w:val="center"/>
                </w:tcPr>
                <w:p w14:paraId="65087B89">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p>
              </w:tc>
              <w:tc>
                <w:tcPr>
                  <w:tcW w:w="951" w:type="pct"/>
                  <w:vMerge w:val="continue"/>
                  <w:noWrap w:val="0"/>
                  <w:vAlign w:val="center"/>
                </w:tcPr>
                <w:p w14:paraId="68BCD87E">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cs="Times New Roman"/>
                      <w:color w:val="auto"/>
                      <w:sz w:val="21"/>
                      <w:szCs w:val="21"/>
                      <w:highlight w:val="none"/>
                      <w:u w:val="none"/>
                    </w:rPr>
                  </w:pPr>
                </w:p>
              </w:tc>
            </w:tr>
            <w:tr w14:paraId="4C01FC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521" w:hRule="atLeast"/>
                <w:jc w:val="center"/>
              </w:trPr>
              <w:tc>
                <w:tcPr>
                  <w:tcW w:w="466" w:type="pct"/>
                  <w:vMerge w:val="restart"/>
                  <w:noWrap w:val="0"/>
                  <w:vAlign w:val="center"/>
                </w:tcPr>
                <w:p w14:paraId="0B75E0F9">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cs="Times New Roman"/>
                      <w:color w:val="auto"/>
                      <w:sz w:val="21"/>
                      <w:szCs w:val="21"/>
                      <w:highlight w:val="none"/>
                      <w:u w:val="none"/>
                    </w:rPr>
                    <w:t>火灾事故</w:t>
                  </w:r>
                </w:p>
              </w:tc>
              <w:tc>
                <w:tcPr>
                  <w:tcW w:w="887" w:type="pct"/>
                  <w:vMerge w:val="restart"/>
                  <w:noWrap w:val="0"/>
                  <w:vAlign w:val="center"/>
                </w:tcPr>
                <w:p w14:paraId="2841F936">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highlight w:val="none"/>
                      <w:u w:val="none"/>
                    </w:rPr>
                    <w:t>电线短路</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静电火花等</w:t>
                  </w:r>
                  <w:r>
                    <w:rPr>
                      <w:rFonts w:hint="eastAsia" w:ascii="Times New Roman" w:hAnsi="Times New Roman" w:cs="Times New Roman"/>
                      <w:color w:val="auto"/>
                      <w:highlight w:val="none"/>
                      <w:u w:val="none"/>
                      <w:lang w:eastAsia="zh-CN"/>
                    </w:rPr>
                    <w:t>，</w:t>
                  </w:r>
                  <w:r>
                    <w:rPr>
                      <w:rFonts w:hint="eastAsia" w:ascii="Times New Roman" w:hAnsi="Times New Roman" w:cs="Times New Roman"/>
                      <w:color w:val="auto"/>
                      <w:highlight w:val="none"/>
                      <w:u w:val="none"/>
                      <w:lang w:val="en-US" w:eastAsia="zh-CN"/>
                    </w:rPr>
                    <w:t>乙炔泄漏、仓库内塑料等可燃物</w:t>
                  </w:r>
                  <w:r>
                    <w:rPr>
                      <w:rFonts w:hint="default" w:ascii="Times New Roman" w:hAnsi="Times New Roman" w:cs="Times New Roman"/>
                      <w:color w:val="auto"/>
                      <w:highlight w:val="none"/>
                      <w:u w:val="none"/>
                    </w:rPr>
                    <w:t>遇明火或高热</w:t>
                  </w:r>
                  <w:r>
                    <w:rPr>
                      <w:rFonts w:hint="default" w:ascii="Times New Roman" w:hAnsi="Times New Roman" w:cs="Times New Roman"/>
                      <w:color w:val="auto"/>
                      <w:sz w:val="21"/>
                      <w:szCs w:val="21"/>
                      <w:highlight w:val="none"/>
                      <w:u w:val="none"/>
                    </w:rPr>
                    <w:t>发生火灾</w:t>
                  </w:r>
                  <w:r>
                    <w:rPr>
                      <w:rFonts w:hint="eastAsia" w:ascii="Times New Roman" w:hAnsi="Times New Roman" w:cs="Times New Roman"/>
                      <w:color w:val="auto"/>
                      <w:sz w:val="21"/>
                      <w:szCs w:val="21"/>
                      <w:highlight w:val="none"/>
                      <w:u w:val="none"/>
                      <w:lang w:eastAsia="zh-CN"/>
                    </w:rPr>
                    <w:t>；</w:t>
                  </w:r>
                  <w:r>
                    <w:rPr>
                      <w:rFonts w:hint="eastAsia" w:ascii="Times New Roman" w:hAnsi="Times New Roman" w:eastAsia="宋体"/>
                      <w:b w:val="0"/>
                      <w:bCs w:val="0"/>
                      <w:color w:val="auto"/>
                      <w:sz w:val="21"/>
                      <w:szCs w:val="21"/>
                      <w:vertAlign w:val="baseline"/>
                      <w:lang w:val="en-US" w:eastAsia="zh-CN"/>
                    </w:rPr>
                    <w:t>拆卸时因电路老化、人为操作不当等原因导致电池短路</w:t>
                  </w:r>
                </w:p>
              </w:tc>
              <w:tc>
                <w:tcPr>
                  <w:tcW w:w="807" w:type="pct"/>
                  <w:noWrap w:val="0"/>
                  <w:vAlign w:val="center"/>
                </w:tcPr>
                <w:p w14:paraId="0202E3BF">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cs="Times New Roman"/>
                      <w:color w:val="auto"/>
                      <w:highlight w:val="none"/>
                      <w:u w:val="none"/>
                    </w:rPr>
                  </w:pPr>
                  <w:r>
                    <w:rPr>
                      <w:rFonts w:hint="eastAsia" w:ascii="Times New Roman" w:hAnsi="Times New Roman" w:cs="Times New Roman"/>
                      <w:color w:val="auto"/>
                      <w:sz w:val="21"/>
                      <w:szCs w:val="21"/>
                      <w:highlight w:val="none"/>
                      <w:u w:val="none"/>
                      <w:lang w:val="en-US" w:eastAsia="zh-CN"/>
                    </w:rPr>
                    <w:t>动力蓄电池拆解车间</w:t>
                  </w:r>
                </w:p>
              </w:tc>
              <w:tc>
                <w:tcPr>
                  <w:tcW w:w="612" w:type="pct"/>
                  <w:noWrap w:val="0"/>
                  <w:vAlign w:val="center"/>
                </w:tcPr>
                <w:p w14:paraId="271742FB">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cs="Times New Roman"/>
                      <w:color w:val="auto"/>
                      <w:highlight w:val="none"/>
                      <w:u w:val="none"/>
                    </w:rPr>
                  </w:pPr>
                  <w:r>
                    <w:rPr>
                      <w:rFonts w:hint="eastAsia" w:ascii="Times New Roman" w:hAnsi="Times New Roman" w:eastAsia="宋体"/>
                      <w:b w:val="0"/>
                      <w:bCs w:val="0"/>
                      <w:color w:val="auto"/>
                      <w:sz w:val="21"/>
                      <w:szCs w:val="21"/>
                      <w:vertAlign w:val="baseline"/>
                      <w:lang w:val="en-US" w:eastAsia="zh-CN"/>
                    </w:rPr>
                    <w:t>动力蓄电池</w:t>
                  </w:r>
                </w:p>
              </w:tc>
              <w:tc>
                <w:tcPr>
                  <w:tcW w:w="1274" w:type="pct"/>
                  <w:vMerge w:val="restart"/>
                  <w:noWrap w:val="0"/>
                  <w:vAlign w:val="center"/>
                </w:tcPr>
                <w:p w14:paraId="29544413">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cs="Times New Roman"/>
                      <w:color w:val="auto"/>
                      <w:sz w:val="21"/>
                      <w:szCs w:val="21"/>
                      <w:highlight w:val="none"/>
                      <w:u w:val="none"/>
                    </w:rPr>
                    <w:t>火灾产生的热辐射、浓烟、有害气体等直接进入环境，火灾扑救过程产生的消防废水全部</w:t>
                  </w:r>
                  <w:r>
                    <w:rPr>
                      <w:rFonts w:hint="eastAsia" w:ascii="Times New Roman" w:hAnsi="Times New Roman" w:cs="Times New Roman"/>
                      <w:color w:val="auto"/>
                      <w:sz w:val="21"/>
                      <w:szCs w:val="21"/>
                      <w:highlight w:val="none"/>
                      <w:u w:val="none"/>
                      <w:lang w:val="en-US" w:eastAsia="zh-CN"/>
                    </w:rPr>
                    <w:t>直接</w:t>
                  </w:r>
                  <w:r>
                    <w:rPr>
                      <w:rFonts w:hint="eastAsia" w:ascii="Times New Roman" w:hAnsi="Times New Roman" w:cs="Times New Roman"/>
                      <w:color w:val="auto"/>
                      <w:sz w:val="21"/>
                      <w:szCs w:val="21"/>
                      <w:highlight w:val="none"/>
                      <w:u w:val="none"/>
                      <w:lang w:eastAsia="zh-CN"/>
                    </w:rPr>
                    <w:t>排入市政污水管网</w:t>
                  </w:r>
                  <w:r>
                    <w:rPr>
                      <w:rFonts w:hint="eastAsia" w:ascii="Times New Roman" w:hAnsi="Times New Roman" w:cs="Times New Roman"/>
                      <w:color w:val="auto"/>
                      <w:sz w:val="21"/>
                      <w:szCs w:val="21"/>
                      <w:highlight w:val="none"/>
                      <w:u w:val="none"/>
                      <w:lang w:val="en-US" w:eastAsia="zh-CN"/>
                    </w:rPr>
                    <w:t>或者排入周边地表水体</w:t>
                  </w:r>
                </w:p>
              </w:tc>
              <w:tc>
                <w:tcPr>
                  <w:tcW w:w="951" w:type="pct"/>
                  <w:vMerge w:val="restart"/>
                  <w:noWrap w:val="0"/>
                  <w:vAlign w:val="center"/>
                </w:tcPr>
                <w:p w14:paraId="6CDB3278">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cs="Times New Roman"/>
                      <w:color w:val="auto"/>
                      <w:sz w:val="21"/>
                      <w:szCs w:val="21"/>
                      <w:highlight w:val="none"/>
                      <w:u w:val="none"/>
                    </w:rPr>
                    <w:t>对</w:t>
                  </w:r>
                  <w:r>
                    <w:rPr>
                      <w:rFonts w:hint="eastAsia" w:ascii="Times New Roman" w:hAnsi="Times New Roman" w:cs="Times New Roman"/>
                      <w:color w:val="auto"/>
                      <w:sz w:val="21"/>
                      <w:szCs w:val="21"/>
                      <w:highlight w:val="none"/>
                      <w:u w:val="none"/>
                      <w:lang w:val="en-US" w:eastAsia="zh-CN"/>
                    </w:rPr>
                    <w:t>周边环境空气、对周边地表水体等均</w:t>
                  </w:r>
                  <w:r>
                    <w:rPr>
                      <w:rFonts w:hint="default" w:ascii="Times New Roman" w:hAnsi="Times New Roman" w:cs="Times New Roman"/>
                      <w:color w:val="auto"/>
                      <w:sz w:val="21"/>
                      <w:szCs w:val="21"/>
                      <w:highlight w:val="none"/>
                      <w:u w:val="none"/>
                    </w:rPr>
                    <w:t>有</w:t>
                  </w:r>
                  <w:r>
                    <w:rPr>
                      <w:rFonts w:hint="eastAsia" w:ascii="Times New Roman" w:hAnsi="Times New Roman" w:cs="Times New Roman"/>
                      <w:color w:val="auto"/>
                      <w:sz w:val="21"/>
                      <w:szCs w:val="21"/>
                      <w:highlight w:val="none"/>
                      <w:u w:val="none"/>
                      <w:lang w:val="en-US" w:eastAsia="zh-CN"/>
                    </w:rPr>
                    <w:t>较大影响</w:t>
                  </w:r>
                </w:p>
              </w:tc>
            </w:tr>
            <w:tr w14:paraId="6323FC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6" w:type="pct"/>
                  <w:vMerge w:val="continue"/>
                  <w:noWrap w:val="0"/>
                  <w:vAlign w:val="center"/>
                </w:tcPr>
                <w:p w14:paraId="4E4F3242">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rPr>
                  </w:pPr>
                </w:p>
              </w:tc>
              <w:tc>
                <w:tcPr>
                  <w:tcW w:w="887" w:type="pct"/>
                  <w:vMerge w:val="continue"/>
                  <w:noWrap w:val="0"/>
                  <w:vAlign w:val="center"/>
                </w:tcPr>
                <w:p w14:paraId="3991B9DC">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cs="Times New Roman"/>
                      <w:color w:val="auto"/>
                      <w:highlight w:val="none"/>
                      <w:u w:val="none"/>
                    </w:rPr>
                  </w:pPr>
                </w:p>
              </w:tc>
              <w:tc>
                <w:tcPr>
                  <w:tcW w:w="807" w:type="pct"/>
                  <w:noWrap w:val="0"/>
                  <w:vAlign w:val="center"/>
                </w:tcPr>
                <w:p w14:paraId="32F87EE0">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气瓶间</w:t>
                  </w:r>
                </w:p>
              </w:tc>
              <w:tc>
                <w:tcPr>
                  <w:tcW w:w="612" w:type="pct"/>
                  <w:noWrap w:val="0"/>
                  <w:vAlign w:val="center"/>
                </w:tcPr>
                <w:p w14:paraId="496B632A">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乙炔</w:t>
                  </w:r>
                </w:p>
              </w:tc>
              <w:tc>
                <w:tcPr>
                  <w:tcW w:w="1274" w:type="pct"/>
                  <w:vMerge w:val="continue"/>
                  <w:noWrap w:val="0"/>
                  <w:vAlign w:val="center"/>
                </w:tcPr>
                <w:p w14:paraId="5259F85B">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rPr>
                  </w:pPr>
                </w:p>
              </w:tc>
              <w:tc>
                <w:tcPr>
                  <w:tcW w:w="951" w:type="pct"/>
                  <w:vMerge w:val="continue"/>
                  <w:noWrap w:val="0"/>
                  <w:vAlign w:val="center"/>
                </w:tcPr>
                <w:p w14:paraId="25DF3A6A">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rPr>
                  </w:pPr>
                </w:p>
              </w:tc>
            </w:tr>
            <w:tr w14:paraId="2F1D04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6" w:type="pct"/>
                  <w:vMerge w:val="continue"/>
                  <w:noWrap w:val="0"/>
                  <w:vAlign w:val="center"/>
                </w:tcPr>
                <w:p w14:paraId="36D9DE57">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rPr>
                  </w:pPr>
                </w:p>
              </w:tc>
              <w:tc>
                <w:tcPr>
                  <w:tcW w:w="887" w:type="pct"/>
                  <w:vMerge w:val="continue"/>
                  <w:noWrap w:val="0"/>
                  <w:vAlign w:val="center"/>
                </w:tcPr>
                <w:p w14:paraId="44A9D50F">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cs="Times New Roman"/>
                      <w:color w:val="auto"/>
                      <w:highlight w:val="none"/>
                      <w:u w:val="none"/>
                    </w:rPr>
                  </w:pPr>
                </w:p>
              </w:tc>
              <w:tc>
                <w:tcPr>
                  <w:tcW w:w="807" w:type="pct"/>
                  <w:noWrap w:val="0"/>
                  <w:vAlign w:val="center"/>
                </w:tcPr>
                <w:p w14:paraId="6CE3E53E">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预处理区、废变压器拆解车间、危废暂存间</w:t>
                  </w:r>
                </w:p>
              </w:tc>
              <w:tc>
                <w:tcPr>
                  <w:tcW w:w="612" w:type="pct"/>
                  <w:noWrap w:val="0"/>
                  <w:vAlign w:val="center"/>
                </w:tcPr>
                <w:p w14:paraId="4C6EC122">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各类废油液</w:t>
                  </w:r>
                </w:p>
              </w:tc>
              <w:tc>
                <w:tcPr>
                  <w:tcW w:w="1274" w:type="pct"/>
                  <w:vMerge w:val="continue"/>
                  <w:noWrap w:val="0"/>
                  <w:vAlign w:val="center"/>
                </w:tcPr>
                <w:p w14:paraId="5DEE372B">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rPr>
                  </w:pPr>
                </w:p>
              </w:tc>
              <w:tc>
                <w:tcPr>
                  <w:tcW w:w="951" w:type="pct"/>
                  <w:vMerge w:val="continue"/>
                  <w:noWrap w:val="0"/>
                  <w:vAlign w:val="center"/>
                </w:tcPr>
                <w:p w14:paraId="70B4F140">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rPr>
                  </w:pPr>
                </w:p>
              </w:tc>
            </w:tr>
            <w:tr w14:paraId="58FA1B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6" w:type="pct"/>
                  <w:vMerge w:val="continue"/>
                  <w:noWrap w:val="0"/>
                  <w:vAlign w:val="center"/>
                </w:tcPr>
                <w:p w14:paraId="45045F94">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rPr>
                  </w:pPr>
                </w:p>
              </w:tc>
              <w:tc>
                <w:tcPr>
                  <w:tcW w:w="887" w:type="pct"/>
                  <w:vMerge w:val="continue"/>
                  <w:noWrap w:val="0"/>
                  <w:vAlign w:val="center"/>
                </w:tcPr>
                <w:p w14:paraId="1A0E98CF">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cs="Times New Roman"/>
                      <w:color w:val="auto"/>
                      <w:highlight w:val="none"/>
                      <w:u w:val="none"/>
                    </w:rPr>
                  </w:pPr>
                </w:p>
              </w:tc>
              <w:tc>
                <w:tcPr>
                  <w:tcW w:w="807" w:type="pct"/>
                  <w:noWrap w:val="0"/>
                  <w:vAlign w:val="center"/>
                </w:tcPr>
                <w:p w14:paraId="11932411">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仓库区</w:t>
                  </w:r>
                </w:p>
              </w:tc>
              <w:tc>
                <w:tcPr>
                  <w:tcW w:w="612" w:type="pct"/>
                  <w:noWrap w:val="0"/>
                  <w:vAlign w:val="center"/>
                </w:tcPr>
                <w:p w14:paraId="055FEEA9">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eastAsia="宋体"/>
                      <w:b w:val="0"/>
                      <w:bCs w:val="0"/>
                      <w:color w:val="auto"/>
                      <w:sz w:val="21"/>
                      <w:szCs w:val="21"/>
                      <w:vertAlign w:val="baseline"/>
                      <w:lang w:val="en-US" w:eastAsia="zh-CN"/>
                    </w:rPr>
                    <w:t>塑料等可燃物</w:t>
                  </w:r>
                </w:p>
              </w:tc>
              <w:tc>
                <w:tcPr>
                  <w:tcW w:w="1274" w:type="pct"/>
                  <w:vMerge w:val="continue"/>
                  <w:noWrap w:val="0"/>
                  <w:vAlign w:val="center"/>
                </w:tcPr>
                <w:p w14:paraId="58EF0A2E">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rPr>
                  </w:pPr>
                </w:p>
              </w:tc>
              <w:tc>
                <w:tcPr>
                  <w:tcW w:w="951" w:type="pct"/>
                  <w:vMerge w:val="continue"/>
                  <w:noWrap w:val="0"/>
                  <w:vAlign w:val="center"/>
                </w:tcPr>
                <w:p w14:paraId="6CEE3A81">
                  <w:pPr>
                    <w:pStyle w:val="25"/>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cs="Times New Roman"/>
                      <w:color w:val="auto"/>
                      <w:sz w:val="21"/>
                      <w:szCs w:val="21"/>
                      <w:highlight w:val="none"/>
                      <w:u w:val="none"/>
                    </w:rPr>
                  </w:pPr>
                </w:p>
              </w:tc>
            </w:tr>
          </w:tbl>
          <w:p w14:paraId="6410848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eastAsia" w:ascii="Times New Roman" w:hAnsi="Times New Roman" w:cs="Times New Roman"/>
                <w:b/>
                <w:bCs/>
                <w:color w:val="auto"/>
                <w:sz w:val="24"/>
                <w:highlight w:val="none"/>
                <w:lang w:val="en-US" w:eastAsia="zh-CN"/>
              </w:rPr>
            </w:pPr>
            <w:bookmarkStart w:id="37" w:name="_Toc215736207"/>
          </w:p>
          <w:p w14:paraId="121C7C5C">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 xml:space="preserve">4.7.3 </w:t>
            </w:r>
            <w:r>
              <w:rPr>
                <w:rFonts w:hint="default" w:ascii="Times New Roman" w:hAnsi="Times New Roman" w:eastAsia="宋体" w:cs="Times New Roman"/>
                <w:b/>
                <w:bCs/>
                <w:color w:val="auto"/>
                <w:sz w:val="24"/>
                <w:highlight w:val="none"/>
                <w:lang w:val="en-US" w:eastAsia="zh-CN"/>
              </w:rPr>
              <w:t>环境风险防范措施</w:t>
            </w:r>
          </w:p>
          <w:p w14:paraId="291E1C4C">
            <w:pPr>
              <w:spacing w:line="360" w:lineRule="auto"/>
              <w:ind w:firstLine="480" w:firstLineChars="200"/>
              <w:jc w:val="left"/>
              <w:rPr>
                <w:rFonts w:ascii="Times New Roman" w:hAnsi="Times New Roman" w:eastAsia="宋体"/>
                <w:color w:val="auto"/>
                <w:sz w:val="24"/>
                <w:highlight w:val="none"/>
                <w:lang w:val="zh-CN"/>
              </w:rPr>
            </w:pPr>
            <w:r>
              <w:rPr>
                <w:rFonts w:ascii="Times New Roman" w:hAnsi="Times New Roman" w:eastAsia="宋体"/>
                <w:color w:val="auto"/>
                <w:sz w:val="24"/>
                <w:highlight w:val="none"/>
                <w:lang w:val="zh-CN"/>
              </w:rPr>
              <w:t>由于环境风险具有突发性和短暂性及危害较大等特点，必须采取相应有效预防措施加以防范，加强控制和管理，杜绝、减轻和避免环境风险。为了防止</w:t>
            </w:r>
            <w:r>
              <w:rPr>
                <w:rFonts w:hint="eastAsia" w:ascii="Times New Roman" w:hAnsi="Times New Roman" w:eastAsia="宋体"/>
                <w:color w:val="auto"/>
                <w:sz w:val="24"/>
                <w:highlight w:val="none"/>
              </w:rPr>
              <w:t>风险事故</w:t>
            </w:r>
            <w:r>
              <w:rPr>
                <w:rFonts w:ascii="Times New Roman" w:hAnsi="Times New Roman" w:eastAsia="宋体"/>
                <w:color w:val="auto"/>
                <w:sz w:val="24"/>
                <w:highlight w:val="none"/>
                <w:lang w:val="zh-CN"/>
              </w:rPr>
              <w:t>对周边环境造成影响，应严格按照相关要求进行设计与施工，同时项目还应加强安全管理。</w:t>
            </w:r>
          </w:p>
          <w:p w14:paraId="61BADD51">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（1）废气事故排放</w:t>
            </w:r>
            <w:r>
              <w:rPr>
                <w:rFonts w:hint="default" w:ascii="Times New Roman" w:hAnsi="Times New Roman" w:eastAsia="宋体" w:cs="Times New Roman"/>
                <w:b/>
                <w:bCs/>
                <w:color w:val="auto"/>
                <w:kern w:val="0"/>
                <w:sz w:val="24"/>
                <w:highlight w:val="none"/>
                <w:u w:val="none"/>
                <w:lang w:val="en-US" w:eastAsia="zh-CN"/>
              </w:rPr>
              <w:t>风险防范措施</w:t>
            </w:r>
          </w:p>
          <w:p w14:paraId="50DB0BC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①</w:t>
            </w:r>
            <w:r>
              <w:rPr>
                <w:rFonts w:hint="eastAsia" w:ascii="Times New Roman" w:hAnsi="Times New Roman" w:eastAsia="宋体" w:cs="Times New Roman"/>
                <w:color w:val="auto"/>
                <w:kern w:val="0"/>
                <w:sz w:val="24"/>
                <w:highlight w:val="none"/>
                <w:u w:val="none"/>
                <w:lang w:val="en-US" w:eastAsia="zh-CN"/>
              </w:rPr>
              <w:t>定期对废气处理设施从设备到运输管道进行检修，发现问题及时解决。</w:t>
            </w:r>
          </w:p>
          <w:p w14:paraId="515C2F3F">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②</w:t>
            </w:r>
            <w:r>
              <w:rPr>
                <w:rFonts w:hint="eastAsia" w:ascii="Times New Roman" w:hAnsi="Times New Roman" w:eastAsia="宋体" w:cs="Times New Roman"/>
                <w:color w:val="auto"/>
                <w:kern w:val="0"/>
                <w:sz w:val="24"/>
                <w:highlight w:val="none"/>
                <w:u w:val="none"/>
                <w:lang w:val="en-US" w:eastAsia="zh-CN"/>
              </w:rPr>
              <w:t>各生产岗位制定严格的操作规程和注意事项，车间工人需熟悉工作流程，严格按操作规程进行运行控制，防止操作失误导致废气事故排放。</w:t>
            </w:r>
          </w:p>
          <w:p w14:paraId="15CF90BC">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cs="Times New Roman"/>
                <w:color w:val="auto"/>
                <w:sz w:val="24"/>
                <w:highlight w:val="none"/>
                <w:u w:val="none"/>
                <w:vertAlign w:val="baseline"/>
                <w:lang w:val="en-US" w:eastAsia="zh-CN"/>
              </w:rPr>
            </w:pPr>
            <w:r>
              <w:rPr>
                <w:rFonts w:hint="default" w:ascii="Times New Roman" w:hAnsi="Times New Roman" w:eastAsia="宋体" w:cs="Times New Roman"/>
                <w:color w:val="auto"/>
                <w:kern w:val="0"/>
                <w:sz w:val="24"/>
                <w:highlight w:val="none"/>
                <w:u w:val="none"/>
                <w:lang w:val="en-US" w:eastAsia="zh-CN"/>
              </w:rPr>
              <w:t>③</w:t>
            </w:r>
            <w:r>
              <w:rPr>
                <w:rFonts w:hint="eastAsia" w:ascii="Times New Roman" w:hAnsi="Times New Roman" w:eastAsia="宋体" w:cs="Times New Roman"/>
                <w:color w:val="auto"/>
                <w:kern w:val="0"/>
                <w:sz w:val="24"/>
                <w:highlight w:val="none"/>
                <w:u w:val="none"/>
                <w:lang w:val="en-US" w:eastAsia="zh-CN"/>
              </w:rPr>
              <w:t>定期更换活性炭、过滤棉、过滤布袋，</w:t>
            </w:r>
            <w:r>
              <w:rPr>
                <w:rFonts w:hint="default" w:ascii="Times New Roman" w:hAnsi="Times New Roman" w:cs="Times New Roman"/>
                <w:color w:val="auto"/>
                <w:sz w:val="24"/>
                <w:highlight w:val="none"/>
                <w:u w:val="none"/>
                <w:lang w:eastAsia="zh-CN"/>
              </w:rPr>
              <w:t>同时确保项目</w:t>
            </w:r>
            <w:r>
              <w:rPr>
                <w:rFonts w:hint="default" w:ascii="Times New Roman" w:hAnsi="Times New Roman" w:cs="Times New Roman"/>
                <w:color w:val="auto"/>
                <w:sz w:val="24"/>
                <w:highlight w:val="none"/>
                <w:u w:val="none"/>
                <w:vertAlign w:val="baseline"/>
                <w:lang w:val="en-US" w:eastAsia="zh-CN"/>
              </w:rPr>
              <w:t>活性炭吸附装置一次性装置量</w:t>
            </w:r>
            <w:r>
              <w:rPr>
                <w:rFonts w:hint="eastAsia" w:ascii="Times New Roman" w:hAnsi="Times New Roman" w:cs="Times New Roman"/>
                <w:color w:val="auto"/>
                <w:sz w:val="24"/>
                <w:highlight w:val="none"/>
                <w:u w:val="none"/>
                <w:vertAlign w:val="baseline"/>
                <w:lang w:val="en-US" w:eastAsia="zh-CN"/>
              </w:rPr>
              <w:t>，按废气自行监测要求，定期委托有资质单位进行检测。</w:t>
            </w:r>
          </w:p>
          <w:p w14:paraId="06FE0FDF">
            <w:pPr>
              <w:autoSpaceDE w:val="0"/>
              <w:autoSpaceDN w:val="0"/>
              <w:adjustRightInd w:val="0"/>
              <w:spacing w:line="360" w:lineRule="auto"/>
              <w:ind w:firstLine="482" w:firstLineChars="200"/>
              <w:jc w:val="both"/>
              <w:rPr>
                <w:rFonts w:hint="default" w:ascii="Times New Roman" w:hAnsi="Times New Roman" w:eastAsia="宋体"/>
                <w:b/>
                <w:bCs/>
                <w:color w:val="auto"/>
                <w:sz w:val="24"/>
                <w:lang w:val="en-US" w:eastAsia="zh-CN"/>
              </w:rPr>
            </w:pPr>
            <w:r>
              <w:rPr>
                <w:rFonts w:hint="eastAsia" w:ascii="Times New Roman" w:hAnsi="Times New Roman"/>
                <w:b/>
                <w:bCs/>
                <w:color w:val="auto"/>
                <w:sz w:val="24"/>
                <w:lang w:eastAsia="zh-CN"/>
              </w:rPr>
              <w:t>（</w:t>
            </w:r>
            <w:r>
              <w:rPr>
                <w:rFonts w:hint="eastAsia" w:ascii="Times New Roman" w:hAnsi="Times New Roman"/>
                <w:b/>
                <w:bCs/>
                <w:color w:val="auto"/>
                <w:sz w:val="24"/>
                <w:lang w:val="en-US" w:eastAsia="zh-CN"/>
              </w:rPr>
              <w:t>2）废水事故排放风险防范措施</w:t>
            </w:r>
          </w:p>
          <w:p w14:paraId="16E6B360">
            <w:pPr>
              <w:autoSpaceDE w:val="0"/>
              <w:autoSpaceDN w:val="0"/>
              <w:adjustRightInd w:val="0"/>
              <w:spacing w:line="360" w:lineRule="auto"/>
              <w:ind w:firstLine="480" w:firstLineChars="200"/>
              <w:jc w:val="both"/>
              <w:rPr>
                <w:rFonts w:hint="eastAsia" w:ascii="Times New Roman" w:hAnsi="Times New Roman"/>
                <w:color w:val="auto"/>
                <w:sz w:val="24"/>
              </w:rPr>
            </w:pPr>
            <w:r>
              <w:rPr>
                <w:rFonts w:hint="eastAsia" w:ascii="Times New Roman" w:hAnsi="Times New Roman"/>
                <w:color w:val="auto"/>
                <w:sz w:val="24"/>
              </w:rPr>
              <w:t>①定期对废水处理站各构筑物</w:t>
            </w:r>
            <w:r>
              <w:rPr>
                <w:rFonts w:hint="eastAsia" w:ascii="Times New Roman" w:hAnsi="Times New Roman"/>
                <w:color w:val="auto"/>
                <w:sz w:val="24"/>
                <w:lang w:eastAsia="zh-CN"/>
              </w:rPr>
              <w:t>、</w:t>
            </w:r>
            <w:r>
              <w:rPr>
                <w:rFonts w:hint="eastAsia" w:ascii="Times New Roman" w:hAnsi="Times New Roman"/>
                <w:color w:val="auto"/>
                <w:sz w:val="24"/>
                <w:lang w:val="en-US" w:eastAsia="zh-CN"/>
              </w:rPr>
              <w:t>废水管道</w:t>
            </w:r>
            <w:r>
              <w:rPr>
                <w:rFonts w:hint="eastAsia" w:ascii="Times New Roman" w:hAnsi="Times New Roman"/>
                <w:color w:val="auto"/>
                <w:sz w:val="24"/>
              </w:rPr>
              <w:t>进行检查和维修。</w:t>
            </w:r>
          </w:p>
          <w:p w14:paraId="3A763D25">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cs="Times New Roman"/>
                <w:color w:val="auto"/>
                <w:sz w:val="24"/>
                <w:highlight w:val="none"/>
                <w:u w:val="none"/>
                <w:vertAlign w:val="baseline"/>
                <w:lang w:val="en-US" w:eastAsia="zh-CN"/>
              </w:rPr>
            </w:pPr>
            <w:r>
              <w:rPr>
                <w:rFonts w:hint="eastAsia" w:ascii="Times New Roman" w:hAnsi="Times New Roman"/>
                <w:color w:val="auto"/>
                <w:sz w:val="24"/>
              </w:rPr>
              <w:t>②</w:t>
            </w:r>
            <w:r>
              <w:rPr>
                <w:rFonts w:hint="eastAsia" w:ascii="Times New Roman" w:hAnsi="Times New Roman"/>
                <w:color w:val="auto"/>
                <w:sz w:val="24"/>
                <w:lang w:eastAsia="zh-CN"/>
              </w:rPr>
              <w:t>清洁废水、作业区露天区域初期雨水</w:t>
            </w:r>
            <w:r>
              <w:rPr>
                <w:rFonts w:hint="eastAsia" w:ascii="Times New Roman" w:hAnsi="Times New Roman"/>
                <w:color w:val="auto"/>
                <w:sz w:val="24"/>
              </w:rPr>
              <w:t>严禁未处理排放、偷排、漏排现象，</w:t>
            </w:r>
            <w:r>
              <w:rPr>
                <w:rFonts w:hint="eastAsia" w:ascii="Times New Roman" w:hAnsi="Times New Roman"/>
                <w:color w:val="auto"/>
                <w:sz w:val="24"/>
                <w:lang w:val="en-US" w:eastAsia="zh-CN"/>
              </w:rPr>
              <w:t>应</w:t>
            </w:r>
            <w:r>
              <w:rPr>
                <w:rFonts w:hint="eastAsia" w:ascii="Times New Roman" w:hAnsi="Times New Roman"/>
                <w:color w:val="auto"/>
                <w:sz w:val="24"/>
              </w:rPr>
              <w:t>经处理后</w:t>
            </w:r>
            <w:r>
              <w:rPr>
                <w:rFonts w:hint="eastAsia" w:ascii="Times New Roman" w:hAnsi="Times New Roman"/>
                <w:color w:val="auto"/>
                <w:sz w:val="24"/>
                <w:lang w:val="en-US" w:eastAsia="zh-CN"/>
              </w:rPr>
              <w:t>达标后全部回用，收集池、处理设施进出口设置阀门控制。</w:t>
            </w:r>
          </w:p>
          <w:p w14:paraId="0CD8C0B2">
            <w:pPr>
              <w:autoSpaceDE w:val="0"/>
              <w:autoSpaceDN w:val="0"/>
              <w:adjustRightInd w:val="0"/>
              <w:spacing w:line="360" w:lineRule="auto"/>
              <w:ind w:firstLine="480" w:firstLineChars="200"/>
              <w:jc w:val="both"/>
              <w:rPr>
                <w:rFonts w:hint="default" w:ascii="Times New Roman" w:hAnsi="Times New Roman" w:eastAsia="宋体"/>
                <w:color w:val="auto"/>
                <w:sz w:val="24"/>
                <w:lang w:val="en-US" w:eastAsia="zh-CN"/>
              </w:rPr>
            </w:pPr>
            <w:r>
              <w:rPr>
                <w:rFonts w:hint="eastAsia" w:ascii="Times New Roman" w:hAnsi="Times New Roman"/>
                <w:color w:val="auto"/>
                <w:sz w:val="24"/>
              </w:rPr>
              <w:t>③项目应急物资仓库及雨污排放口应储备有堵漏工具及物资</w:t>
            </w:r>
            <w:r>
              <w:rPr>
                <w:rFonts w:hint="eastAsia" w:ascii="Times New Roman" w:hAnsi="Times New Roman"/>
                <w:color w:val="auto"/>
                <w:sz w:val="24"/>
                <w:lang w:eastAsia="zh-CN"/>
              </w:rPr>
              <w:t>（</w:t>
            </w:r>
            <w:r>
              <w:rPr>
                <w:rFonts w:hint="eastAsia" w:ascii="Times New Roman" w:hAnsi="Times New Roman"/>
                <w:color w:val="auto"/>
                <w:sz w:val="24"/>
              </w:rPr>
              <w:t>如抽水泵、沙袋等</w:t>
            </w:r>
            <w:r>
              <w:rPr>
                <w:rFonts w:hint="eastAsia" w:ascii="Times New Roman" w:hAnsi="Times New Roman"/>
                <w:color w:val="auto"/>
                <w:sz w:val="24"/>
                <w:lang w:eastAsia="zh-CN"/>
              </w:rPr>
              <w:t>）</w:t>
            </w:r>
            <w:r>
              <w:rPr>
                <w:rFonts w:hint="eastAsia" w:ascii="Times New Roman" w:hAnsi="Times New Roman"/>
                <w:color w:val="auto"/>
                <w:sz w:val="24"/>
                <w:lang w:val="en-US" w:eastAsia="zh-CN"/>
              </w:rPr>
              <w:t>。</w:t>
            </w:r>
          </w:p>
          <w:p w14:paraId="25FD32CE">
            <w:pPr>
              <w:autoSpaceDE w:val="0"/>
              <w:autoSpaceDN w:val="0"/>
              <w:adjustRightIn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b/>
                <w:bCs/>
                <w:color w:val="auto"/>
                <w:sz w:val="24"/>
                <w:lang w:eastAsia="zh-CN"/>
              </w:rPr>
              <w:t>（</w:t>
            </w:r>
            <w:r>
              <w:rPr>
                <w:rFonts w:hint="eastAsia" w:ascii="Times New Roman" w:hAnsi="Times New Roman"/>
                <w:b/>
                <w:bCs/>
                <w:color w:val="auto"/>
                <w:sz w:val="24"/>
                <w:lang w:val="en-US" w:eastAsia="zh-CN"/>
              </w:rPr>
              <w:t>3）</w:t>
            </w:r>
            <w:r>
              <w:rPr>
                <w:rFonts w:hint="eastAsia" w:ascii="Times New Roman" w:hAnsi="Times New Roman" w:eastAsia="宋体" w:cs="Times New Roman"/>
                <w:b/>
                <w:bCs/>
                <w:color w:val="auto"/>
                <w:kern w:val="0"/>
                <w:sz w:val="24"/>
                <w:highlight w:val="none"/>
                <w:u w:val="none"/>
                <w:lang w:val="en-US" w:eastAsia="zh-CN"/>
              </w:rPr>
              <w:t>危险废物、危险化学</w:t>
            </w:r>
            <w:r>
              <w:rPr>
                <w:rFonts w:hint="default" w:ascii="Times New Roman" w:hAnsi="Times New Roman" w:eastAsia="宋体" w:cs="Times New Roman"/>
                <w:b/>
                <w:bCs/>
                <w:color w:val="auto"/>
                <w:kern w:val="0"/>
                <w:sz w:val="24"/>
                <w:highlight w:val="none"/>
                <w:u w:val="none"/>
                <w:lang w:val="en-US" w:eastAsia="zh-CN"/>
              </w:rPr>
              <w:t>事故</w:t>
            </w:r>
            <w:r>
              <w:rPr>
                <w:rFonts w:hint="eastAsia" w:ascii="Times New Roman" w:hAnsi="Times New Roman" w:eastAsia="宋体" w:cs="Times New Roman"/>
                <w:b/>
                <w:bCs/>
                <w:color w:val="auto"/>
                <w:kern w:val="0"/>
                <w:sz w:val="24"/>
                <w:highlight w:val="none"/>
                <w:u w:val="none"/>
                <w:lang w:val="en-US" w:eastAsia="zh-CN"/>
              </w:rPr>
              <w:t>泄漏</w:t>
            </w:r>
            <w:r>
              <w:rPr>
                <w:rFonts w:hint="default" w:ascii="Times New Roman" w:hAnsi="Times New Roman" w:eastAsia="宋体" w:cs="Times New Roman"/>
                <w:b/>
                <w:bCs/>
                <w:color w:val="auto"/>
                <w:kern w:val="0"/>
                <w:sz w:val="24"/>
                <w:highlight w:val="none"/>
                <w:u w:val="none"/>
                <w:lang w:val="en-US" w:eastAsia="zh-CN"/>
              </w:rPr>
              <w:t>风险防范措施</w:t>
            </w:r>
          </w:p>
          <w:p w14:paraId="03420576">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①</w:t>
            </w:r>
            <w:r>
              <w:rPr>
                <w:rFonts w:hint="eastAsia" w:ascii="Times New Roman" w:hAnsi="Times New Roman" w:eastAsia="宋体" w:cs="Times New Roman"/>
                <w:color w:val="auto"/>
                <w:kern w:val="0"/>
                <w:sz w:val="24"/>
                <w:highlight w:val="none"/>
                <w:u w:val="none"/>
                <w:lang w:val="en-US" w:eastAsia="zh-CN"/>
              </w:rPr>
              <w:t>危险废物间</w:t>
            </w:r>
            <w:r>
              <w:rPr>
                <w:rFonts w:hint="default" w:ascii="Times New Roman" w:hAnsi="Times New Roman" w:eastAsia="宋体" w:cs="Times New Roman"/>
                <w:color w:val="auto"/>
                <w:kern w:val="0"/>
                <w:sz w:val="24"/>
                <w:highlight w:val="none"/>
                <w:u w:val="none"/>
                <w:lang w:val="en-US" w:eastAsia="zh-CN"/>
              </w:rPr>
              <w:t>设置导流沟</w:t>
            </w:r>
            <w:r>
              <w:rPr>
                <w:rFonts w:hint="eastAsia" w:ascii="Times New Roman" w:hAnsi="Times New Roman" w:eastAsia="宋体" w:cs="Times New Roman"/>
                <w:color w:val="auto"/>
                <w:kern w:val="0"/>
                <w:sz w:val="24"/>
                <w:highlight w:val="none"/>
                <w:u w:val="none"/>
                <w:lang w:val="en-US" w:eastAsia="zh-CN"/>
              </w:rPr>
              <w:t>和集液坑，导流沟和集液坑总容积不低于液态危险废物一次暂存总量，并对地面、裙角、导流沟、集液坑按《危险废物贮存污染控制标准》（GB 18597-2023）要求进行防渗，废铅酸电池还应采取耐酸容器装存，地面设置耐酸隔离层，防止危险废物等泄漏时四处扩散；</w:t>
            </w:r>
            <w:r>
              <w:rPr>
                <w:rFonts w:hint="default" w:ascii="Times New Roman" w:hAnsi="Times New Roman" w:eastAsia="宋体" w:cs="Times New Roman"/>
                <w:color w:val="auto"/>
                <w:kern w:val="0"/>
                <w:sz w:val="24"/>
                <w:highlight w:val="none"/>
                <w:u w:val="none"/>
                <w:lang w:val="en-US" w:eastAsia="zh-CN"/>
              </w:rPr>
              <w:t>设置警示标识等</w:t>
            </w:r>
            <w:r>
              <w:rPr>
                <w:rFonts w:hint="eastAsia" w:ascii="Times New Roman" w:hAnsi="Times New Roman" w:eastAsia="宋体" w:cs="Times New Roman"/>
                <w:color w:val="auto"/>
                <w:kern w:val="0"/>
                <w:sz w:val="24"/>
                <w:highlight w:val="none"/>
                <w:u w:val="none"/>
                <w:lang w:val="en-US" w:eastAsia="zh-CN"/>
              </w:rPr>
              <w:t>。设置专人管理</w:t>
            </w:r>
            <w:r>
              <w:rPr>
                <w:rFonts w:hint="eastAsia" w:ascii="Times New Roman" w:hAnsi="Times New Roman" w:cs="Times New Roman"/>
                <w:color w:val="auto"/>
                <w:kern w:val="0"/>
                <w:sz w:val="24"/>
                <w:highlight w:val="none"/>
                <w:u w:val="none"/>
                <w:lang w:val="en-US" w:eastAsia="zh-CN"/>
              </w:rPr>
              <w:t>。</w:t>
            </w:r>
          </w:p>
          <w:p w14:paraId="737A3C3A">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②</w:t>
            </w:r>
            <w:r>
              <w:rPr>
                <w:rFonts w:hint="eastAsia" w:ascii="Times New Roman" w:hAnsi="Times New Roman" w:eastAsia="宋体" w:cs="Times New Roman"/>
                <w:color w:val="auto"/>
                <w:kern w:val="0"/>
                <w:sz w:val="24"/>
                <w:highlight w:val="none"/>
                <w:u w:val="none"/>
                <w:lang w:val="en-US" w:eastAsia="zh-CN"/>
              </w:rPr>
              <w:t>抽取的不同类型的制冷剂应使用专门容器单独存放。</w:t>
            </w:r>
          </w:p>
          <w:p w14:paraId="132BC2D1">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③危险废物暂存间及涉及危险化学品的作业车间</w:t>
            </w:r>
            <w:r>
              <w:rPr>
                <w:rFonts w:hint="default" w:ascii="Times New Roman" w:hAnsi="Times New Roman" w:eastAsia="宋体" w:cs="Times New Roman"/>
                <w:color w:val="auto"/>
                <w:kern w:val="0"/>
                <w:sz w:val="24"/>
                <w:highlight w:val="none"/>
                <w:u w:val="none"/>
                <w:lang w:val="en-US" w:eastAsia="zh-CN"/>
              </w:rPr>
              <w:t>严禁明火，严格遵守操作规程，避免因操作失误发生事故。</w:t>
            </w:r>
          </w:p>
          <w:p w14:paraId="1890C06D">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highlight w:val="none"/>
                <w:u w:val="none"/>
                <w:lang w:eastAsia="zh-CN"/>
              </w:rPr>
            </w:pPr>
            <w:r>
              <w:rPr>
                <w:rFonts w:hint="default" w:ascii="Times New Roman" w:hAnsi="Times New Roman" w:eastAsia="宋体" w:cs="Times New Roman"/>
                <w:color w:val="auto"/>
                <w:sz w:val="24"/>
                <w:highlight w:val="none"/>
                <w:u w:val="none"/>
                <w:lang w:eastAsia="zh-CN"/>
              </w:rPr>
              <w:t>④</w:t>
            </w:r>
            <w:r>
              <w:rPr>
                <w:rFonts w:hint="default" w:ascii="Times New Roman" w:hAnsi="Times New Roman" w:eastAsia="宋体" w:cs="Times New Roman"/>
                <w:color w:val="auto"/>
                <w:kern w:val="0"/>
                <w:sz w:val="24"/>
                <w:highlight w:val="none"/>
                <w:u w:val="none"/>
                <w:lang w:val="en-US" w:eastAsia="zh-CN"/>
              </w:rPr>
              <w:t>贮存所内配备通讯设备、照明设备、安全防护服装及工具，并有应急防护措施；配备相应的堵漏材料</w:t>
            </w:r>
            <w:r>
              <w:rPr>
                <w:rFonts w:hint="eastAsia" w:ascii="Times New Roman" w:hAnsi="Times New Roman" w:eastAsia="宋体"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沙袋、吸油毡等</w:t>
            </w:r>
            <w:r>
              <w:rPr>
                <w:rFonts w:hint="eastAsia" w:ascii="Times New Roman" w:hAnsi="Times New Roman" w:eastAsia="宋体"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w:t>
            </w:r>
          </w:p>
          <w:p w14:paraId="0EE4A297">
            <w:pPr>
              <w:spacing w:line="360" w:lineRule="auto"/>
              <w:ind w:firstLine="480" w:firstLineChars="200"/>
              <w:jc w:val="both"/>
              <w:rPr>
                <w:rFonts w:hint="default" w:ascii="Times New Roman" w:hAnsi="Times New Roman" w:eastAsia="宋体" w:cs="Times New Roman"/>
                <w:color w:val="auto"/>
                <w:sz w:val="24"/>
                <w:vertAlign w:val="baseline"/>
                <w:lang w:val="en-US" w:eastAsia="zh-CN"/>
              </w:rPr>
            </w:pPr>
            <w:r>
              <w:rPr>
                <w:rFonts w:hint="default" w:ascii="Times New Roman" w:hAnsi="Times New Roman" w:eastAsia="宋体" w:cs="Times New Roman"/>
                <w:color w:val="auto"/>
                <w:kern w:val="0"/>
                <w:sz w:val="24"/>
                <w:highlight w:val="none"/>
                <w:u w:val="none"/>
                <w:lang w:val="en-US" w:eastAsia="zh-CN"/>
              </w:rPr>
              <w:t>④</w:t>
            </w:r>
            <w:r>
              <w:rPr>
                <w:rFonts w:hint="default" w:ascii="Times New Roman" w:hAnsi="Times New Roman" w:eastAsia="宋体" w:cs="Times New Roman"/>
                <w:color w:val="auto"/>
                <w:sz w:val="24"/>
                <w:szCs w:val="24"/>
                <w:highlight w:val="none"/>
                <w:lang w:val="en-US" w:eastAsia="zh-CN"/>
              </w:rPr>
              <w:t>危险废物暂存区应按照</w:t>
            </w:r>
            <w:r>
              <w:rPr>
                <w:rFonts w:hint="eastAsia" w:ascii="Times New Roman" w:hAnsi="Times New Roman" w:cs="Times New Roman"/>
                <w:color w:val="auto"/>
                <w:sz w:val="24"/>
                <w:lang w:val="en-US" w:eastAsia="zh-CN"/>
              </w:rPr>
              <w:t>重点防渗要求进行建设，</w:t>
            </w:r>
            <w:r>
              <w:rPr>
                <w:rFonts w:hint="default" w:ascii="Times New Roman" w:hAnsi="Times New Roman" w:eastAsia="宋体" w:cs="Times New Roman"/>
                <w:color w:val="auto"/>
                <w:sz w:val="24"/>
                <w:szCs w:val="24"/>
                <w:highlight w:val="none"/>
                <w:lang w:val="en-US" w:eastAsia="zh-CN"/>
              </w:rPr>
              <w:t>具备防风、防雨、防晒、防渗漏。</w:t>
            </w:r>
            <w:r>
              <w:rPr>
                <w:rFonts w:hint="default" w:ascii="Times New Roman" w:hAnsi="Times New Roman" w:eastAsia="宋体" w:cs="Times New Roman"/>
                <w:color w:val="auto"/>
                <w:sz w:val="24"/>
                <w:szCs w:val="24"/>
                <w:highlight w:val="none"/>
              </w:rPr>
              <w:t>基础必须防渗，防渗层为至少1m厚</w:t>
            </w:r>
            <w:r>
              <w:rPr>
                <w:rFonts w:hint="eastAsia" w:ascii="Times New Roman" w:hAnsi="Times New Roman" w:eastAsia="宋体" w:cs="Times New Roman"/>
                <w:color w:val="auto"/>
                <w:sz w:val="24"/>
                <w:szCs w:val="24"/>
                <w:highlight w:val="none"/>
                <w:lang w:eastAsia="zh-CN"/>
              </w:rPr>
              <w:t>黏土</w:t>
            </w:r>
            <w:r>
              <w:rPr>
                <w:rFonts w:hint="default" w:ascii="Times New Roman" w:hAnsi="Times New Roman" w:eastAsia="宋体" w:cs="Times New Roman"/>
                <w:color w:val="auto"/>
                <w:sz w:val="24"/>
                <w:szCs w:val="24"/>
                <w:highlight w:val="none"/>
              </w:rPr>
              <w:t>层</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渗透系数≤10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cm/s，或2mm厚高密度聚乙烯，或至少2mm厚的其他人工材料，渗透系数≤10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等。</w:t>
            </w:r>
          </w:p>
          <w:p w14:paraId="5242884A">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⑤根据</w:t>
            </w:r>
            <w:r>
              <w:rPr>
                <w:rFonts w:hint="eastAsia" w:ascii="Times New Roman" w:hAnsi="Times New Roman" w:eastAsia="宋体" w:cs="Times New Roman"/>
                <w:color w:val="auto"/>
                <w:kern w:val="0"/>
                <w:sz w:val="24"/>
                <w:highlight w:val="none"/>
                <w:u w:val="none"/>
                <w:lang w:val="en-US" w:eastAsia="zh-CN"/>
              </w:rPr>
              <w:t>危险废物的</w:t>
            </w:r>
            <w:r>
              <w:rPr>
                <w:rFonts w:hint="default" w:ascii="Times New Roman" w:hAnsi="Times New Roman" w:eastAsia="宋体" w:cs="Times New Roman"/>
                <w:color w:val="auto"/>
                <w:kern w:val="0"/>
                <w:sz w:val="24"/>
                <w:highlight w:val="none"/>
                <w:u w:val="none"/>
                <w:lang w:val="en-US" w:eastAsia="zh-CN"/>
              </w:rPr>
              <w:t>特性</w:t>
            </w:r>
            <w:r>
              <w:rPr>
                <w:rFonts w:hint="eastAsia" w:ascii="Times New Roman" w:hAnsi="Times New Roman" w:eastAsia="宋体" w:cs="Times New Roman"/>
                <w:color w:val="auto"/>
                <w:kern w:val="0"/>
                <w:sz w:val="24"/>
                <w:highlight w:val="none"/>
                <w:u w:val="none"/>
                <w:lang w:val="en-US" w:eastAsia="zh-CN"/>
              </w:rPr>
              <w:t>进行</w:t>
            </w:r>
            <w:r>
              <w:rPr>
                <w:rFonts w:hint="default" w:ascii="Times New Roman" w:hAnsi="Times New Roman" w:eastAsia="宋体" w:cs="Times New Roman"/>
                <w:color w:val="auto"/>
                <w:kern w:val="0"/>
                <w:sz w:val="24"/>
                <w:highlight w:val="none"/>
                <w:u w:val="none"/>
                <w:lang w:val="en-US" w:eastAsia="zh-CN"/>
              </w:rPr>
              <w:t>分区、分类、分库贮存。各类</w:t>
            </w:r>
            <w:r>
              <w:rPr>
                <w:rFonts w:hint="eastAsia" w:ascii="Times New Roman" w:hAnsi="Times New Roman" w:eastAsia="宋体" w:cs="Times New Roman"/>
                <w:color w:val="auto"/>
                <w:kern w:val="0"/>
                <w:sz w:val="24"/>
                <w:highlight w:val="none"/>
                <w:u w:val="none"/>
                <w:lang w:val="en-US" w:eastAsia="zh-CN"/>
              </w:rPr>
              <w:t>危险废物等</w:t>
            </w:r>
            <w:r>
              <w:rPr>
                <w:rFonts w:hint="default" w:ascii="Times New Roman" w:hAnsi="Times New Roman" w:eastAsia="宋体" w:cs="Times New Roman"/>
                <w:color w:val="auto"/>
                <w:kern w:val="0"/>
                <w:sz w:val="24"/>
                <w:highlight w:val="none"/>
                <w:u w:val="none"/>
                <w:lang w:val="en-US" w:eastAsia="zh-CN"/>
              </w:rPr>
              <w:t>不得与禁忌化学品混合贮存。</w:t>
            </w:r>
          </w:p>
          <w:p w14:paraId="4152EE3B">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⑥</w:t>
            </w:r>
            <w:r>
              <w:rPr>
                <w:rFonts w:hint="eastAsia" w:ascii="Times New Roman" w:hAnsi="Times New Roman" w:eastAsia="宋体" w:cs="Times New Roman"/>
                <w:color w:val="auto"/>
                <w:kern w:val="0"/>
                <w:sz w:val="24"/>
                <w:highlight w:val="none"/>
                <w:u w:val="none"/>
                <w:lang w:val="en-US" w:eastAsia="zh-CN"/>
              </w:rPr>
              <w:t>危险废物等</w:t>
            </w:r>
            <w:r>
              <w:rPr>
                <w:rFonts w:hint="default" w:ascii="Times New Roman" w:hAnsi="Times New Roman" w:eastAsia="宋体" w:cs="Times New Roman"/>
                <w:color w:val="auto"/>
                <w:kern w:val="0"/>
                <w:sz w:val="24"/>
                <w:highlight w:val="none"/>
                <w:u w:val="none"/>
                <w:lang w:val="en-US" w:eastAsia="zh-CN"/>
              </w:rPr>
              <w:t>不得露天存放</w:t>
            </w:r>
            <w:r>
              <w:rPr>
                <w:rFonts w:hint="eastAsia" w:ascii="Times New Roman" w:hAnsi="Times New Roman" w:eastAsia="宋体" w:cs="Times New Roman"/>
                <w:color w:val="auto"/>
                <w:kern w:val="0"/>
                <w:sz w:val="24"/>
                <w:highlight w:val="none"/>
                <w:u w:val="none"/>
                <w:lang w:val="en-US" w:eastAsia="zh-CN"/>
              </w:rPr>
              <w:t>，并不得设有地下室。厂区按要求设置视频监控系统，无关人员不得入内。贮存场所周边不得有明火。制定危险废物管理计划及建立危废台账，加强危险废物管理。</w:t>
            </w:r>
          </w:p>
          <w:p w14:paraId="013E083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⑦及时对危险废物委托资质单位清运处置，对储存容器定期检查，对破损容器及时更换，同时对危废间防渗层定期检查，对破损防渗层进行修补。</w:t>
            </w:r>
          </w:p>
          <w:p w14:paraId="1BA8A543">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⑧动力蓄电池</w:t>
            </w:r>
            <w:r>
              <w:rPr>
                <w:rFonts w:hint="eastAsia" w:ascii="Times New Roman" w:hAnsi="Times New Roman" w:eastAsia="宋体" w:cs="Times New Roman"/>
                <w:color w:val="auto"/>
                <w:sz w:val="24"/>
                <w:szCs w:val="24"/>
                <w:highlight w:val="none"/>
                <w:lang w:val="en-US" w:eastAsia="zh-CN"/>
              </w:rPr>
              <w:t>拆解和储存间</w:t>
            </w:r>
            <w:r>
              <w:rPr>
                <w:rFonts w:hint="default" w:ascii="Times New Roman" w:hAnsi="Times New Roman" w:eastAsia="宋体" w:cs="Times New Roman"/>
                <w:color w:val="auto"/>
                <w:sz w:val="24"/>
                <w:szCs w:val="24"/>
                <w:highlight w:val="none"/>
                <w:lang w:val="en-US" w:eastAsia="zh-CN"/>
              </w:rPr>
              <w:t>内设置防腐防渗紧急收集池，用以收集废蓄电池破损时渗漏出来的有害液体。</w:t>
            </w:r>
          </w:p>
          <w:p w14:paraId="67009A5E">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（4）</w:t>
            </w:r>
            <w:r>
              <w:rPr>
                <w:rFonts w:hint="default" w:ascii="Times New Roman" w:hAnsi="Times New Roman" w:eastAsia="宋体" w:cs="Times New Roman"/>
                <w:b/>
                <w:bCs/>
                <w:color w:val="auto"/>
                <w:kern w:val="0"/>
                <w:sz w:val="24"/>
                <w:highlight w:val="none"/>
                <w:u w:val="none"/>
                <w:lang w:val="en-US" w:eastAsia="zh-CN"/>
              </w:rPr>
              <w:t>火灾事故风险防范措施</w:t>
            </w:r>
          </w:p>
          <w:p w14:paraId="32F309C3">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①加强消防设施和灭火器材的配备，严格落实有关消防技术规范的规定，加强人员疏散设施管理，保证疏散通道畅通。</w:t>
            </w:r>
          </w:p>
          <w:p w14:paraId="3D789E1F">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②定期进行防火安全检查，确保消防设施完整好用。</w:t>
            </w:r>
          </w:p>
          <w:p w14:paraId="1D0A8817">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color w:val="auto"/>
                <w:sz w:val="24"/>
                <w:highlight w:val="none"/>
                <w:u w:val="none"/>
                <w:lang w:eastAsia="zh-CN"/>
              </w:rPr>
              <w:t>③</w:t>
            </w:r>
            <w:r>
              <w:rPr>
                <w:rFonts w:hint="default" w:ascii="Times New Roman" w:hAnsi="Times New Roman" w:eastAsia="宋体" w:cs="Times New Roman"/>
                <w:bCs/>
                <w:color w:val="auto"/>
                <w:sz w:val="24"/>
                <w:highlight w:val="none"/>
                <w:u w:val="none"/>
              </w:rPr>
              <w:t>公司要求职工应遵守各项规章制度，杜绝“三违”</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违章作业、违章指挥、违反劳动纪律</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，作业时要遵守各项规定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如动火、高处作业、进入设备作业等规定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、要求，确保安全生产。</w:t>
            </w:r>
          </w:p>
          <w:p w14:paraId="243E101E">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eastAsia="zh-CN"/>
              </w:rPr>
            </w:pPr>
            <w:r>
              <w:rPr>
                <w:rFonts w:hint="default" w:ascii="Times New Roman" w:hAnsi="Times New Roman" w:eastAsia="宋体" w:cs="Times New Roman"/>
                <w:bCs/>
                <w:color w:val="auto"/>
                <w:sz w:val="24"/>
                <w:highlight w:val="none"/>
                <w:u w:val="none"/>
              </w:rPr>
              <w:t>④公司强化安全、消防和环保管理，完善环保安全管理机构，完善各项管理制度，加强日常监督检查；</w:t>
            </w:r>
            <w:r>
              <w:rPr>
                <w:rFonts w:hint="eastAsia" w:ascii="Times New Roman" w:hAnsi="Times New Roman" w:eastAsia="宋体" w:cs="Times New Roman"/>
                <w:bCs/>
                <w:color w:val="auto"/>
                <w:sz w:val="24"/>
                <w:highlight w:val="none"/>
                <w:u w:val="none"/>
                <w:lang w:eastAsia="zh-CN"/>
              </w:rPr>
              <w:t>车间</w:t>
            </w:r>
            <w:r>
              <w:rPr>
                <w:rFonts w:hint="default" w:ascii="Times New Roman" w:hAnsi="Times New Roman" w:eastAsia="宋体" w:cs="Times New Roman"/>
                <w:bCs/>
                <w:color w:val="auto"/>
                <w:sz w:val="24"/>
                <w:highlight w:val="none"/>
                <w:u w:val="none"/>
              </w:rPr>
              <w:t>内</w:t>
            </w:r>
            <w:r>
              <w:rPr>
                <w:rFonts w:hint="eastAsia" w:ascii="Times New Roman" w:hAnsi="Times New Roman" w:eastAsia="宋体" w:cs="Times New Roman"/>
                <w:bCs/>
                <w:color w:val="auto"/>
                <w:sz w:val="24"/>
                <w:highlight w:val="none"/>
                <w:u w:val="none"/>
                <w:lang w:eastAsia="zh-CN"/>
              </w:rPr>
              <w:t>、</w:t>
            </w:r>
            <w:r>
              <w:rPr>
                <w:rFonts w:hint="eastAsia" w:ascii="Times New Roman" w:hAnsi="Times New Roman" w:eastAsia="宋体" w:cs="Times New Roman"/>
                <w:bCs/>
                <w:color w:val="auto"/>
                <w:sz w:val="24"/>
                <w:highlight w:val="none"/>
                <w:u w:val="none"/>
                <w:lang w:val="en-US" w:eastAsia="zh-CN"/>
              </w:rPr>
              <w:t>仓库内、固废暂存间内</w:t>
            </w:r>
            <w:r>
              <w:rPr>
                <w:rFonts w:hint="default" w:ascii="Times New Roman" w:hAnsi="Times New Roman" w:eastAsia="宋体" w:cs="Times New Roman"/>
                <w:bCs/>
                <w:color w:val="auto"/>
                <w:sz w:val="24"/>
                <w:highlight w:val="none"/>
                <w:u w:val="none"/>
              </w:rPr>
              <w:t>严禁烟火，按要求设置防火标志</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严格动火审批制度，进料车辆必须戴阻火器</w:t>
            </w:r>
            <w:r>
              <w:rPr>
                <w:rFonts w:hint="eastAsia" w:ascii="Times New Roman" w:hAnsi="Times New Roman" w:eastAsia="宋体" w:cs="Times New Roman"/>
                <w:bCs/>
                <w:color w:val="auto"/>
                <w:sz w:val="24"/>
                <w:highlight w:val="none"/>
                <w:u w:val="none"/>
                <w:lang w:eastAsia="zh-CN"/>
              </w:rPr>
              <w:t>。</w:t>
            </w:r>
          </w:p>
          <w:p w14:paraId="5335D0A4">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lang w:val="en-US" w:eastAsia="zh-CN"/>
              </w:rPr>
            </w:pPr>
            <w:r>
              <w:rPr>
                <w:rFonts w:hint="default" w:ascii="Times New Roman" w:hAnsi="Times New Roman" w:eastAsia="宋体" w:cs="Times New Roman"/>
                <w:bCs/>
                <w:color w:val="auto"/>
                <w:sz w:val="24"/>
                <w:highlight w:val="none"/>
                <w:u w:val="none"/>
              </w:rPr>
              <w:t>⑤</w:t>
            </w:r>
            <w:r>
              <w:rPr>
                <w:rFonts w:hint="eastAsia" w:ascii="Times New Roman" w:hAnsi="Times New Roman" w:eastAsia="宋体" w:cs="Times New Roman"/>
                <w:bCs/>
                <w:color w:val="auto"/>
                <w:sz w:val="24"/>
                <w:highlight w:val="none"/>
                <w:u w:val="none"/>
                <w:lang w:val="en-US" w:eastAsia="zh-CN"/>
              </w:rPr>
              <w:t>危险废物暂存间设置间内设置防火装置、通讯设备、照明设施、安全防护装置等。</w:t>
            </w:r>
          </w:p>
          <w:p w14:paraId="38D090AD">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default" w:ascii="Times New Roman" w:hAnsi="Times New Roman" w:eastAsia="宋体" w:cs="Times New Roman"/>
                <w:bCs/>
                <w:color w:val="auto"/>
                <w:sz w:val="24"/>
                <w:highlight w:val="none"/>
                <w:u w:val="none"/>
              </w:rPr>
              <w:t>⑥来厂新能源车按规做好检查，对出现动力蓄电池破损、电极头和线束裸露等存在漏电风险的，采取绝缘处理；新能源汽车先在动力蓄电池拆卸车间进行动力蓄电池拆卸后</w:t>
            </w:r>
            <w:r>
              <w:rPr>
                <w:rFonts w:hint="eastAsia" w:ascii="Times New Roman" w:hAnsi="Times New Roman" w:eastAsia="宋体" w:cs="Times New Roman"/>
                <w:bCs/>
                <w:color w:val="auto"/>
                <w:sz w:val="24"/>
                <w:highlight w:val="none"/>
                <w:u w:val="none"/>
                <w:lang w:val="en-US" w:eastAsia="zh-CN"/>
              </w:rPr>
              <w:t>再</w:t>
            </w:r>
            <w:r>
              <w:rPr>
                <w:rFonts w:hint="default" w:ascii="Times New Roman" w:hAnsi="Times New Roman" w:eastAsia="宋体" w:cs="Times New Roman"/>
                <w:bCs/>
                <w:color w:val="auto"/>
                <w:sz w:val="24"/>
                <w:highlight w:val="none"/>
                <w:u w:val="none"/>
              </w:rPr>
              <w:t>进入后续步骤</w:t>
            </w:r>
            <w:r>
              <w:rPr>
                <w:rFonts w:hint="eastAsia" w:ascii="Times New Roman" w:hAnsi="Times New Roman" w:eastAsia="宋体" w:cs="Times New Roman"/>
                <w:bCs/>
                <w:color w:val="auto"/>
                <w:sz w:val="24"/>
                <w:highlight w:val="none"/>
                <w:u w:val="none"/>
                <w:lang w:eastAsia="zh-CN"/>
              </w:rPr>
              <w:t>，拆卸过程采用绝缘或经绝缘处理的工具</w:t>
            </w:r>
            <w:r>
              <w:rPr>
                <w:rFonts w:hint="default" w:ascii="Times New Roman" w:hAnsi="Times New Roman" w:eastAsia="宋体" w:cs="Times New Roman"/>
                <w:bCs/>
                <w:color w:val="auto"/>
                <w:sz w:val="24"/>
                <w:highlight w:val="none"/>
                <w:u w:val="none"/>
              </w:rPr>
              <w:t>。贮存时动力蓄电池日常暂存时采用塑胶槽装存，保证废蓄电池正、负极相互隔离，以防短路引起火灾</w:t>
            </w:r>
            <w:r>
              <w:rPr>
                <w:rFonts w:hint="eastAsia" w:ascii="Times New Roman" w:hAnsi="Times New Roman" w:eastAsia="宋体" w:cs="Times New Roman"/>
                <w:bCs/>
                <w:color w:val="auto"/>
                <w:sz w:val="24"/>
                <w:highlight w:val="none"/>
                <w:u w:val="none"/>
                <w:lang w:eastAsia="zh-CN"/>
              </w:rPr>
              <w:t>，</w:t>
            </w:r>
            <w:r>
              <w:rPr>
                <w:rFonts w:hint="eastAsia" w:ascii="Times New Roman" w:hAnsi="Times New Roman" w:eastAsia="宋体" w:cs="Times New Roman"/>
                <w:bCs/>
                <w:color w:val="auto"/>
                <w:sz w:val="24"/>
                <w:highlight w:val="none"/>
                <w:u w:val="none"/>
                <w:lang w:val="en-US" w:eastAsia="zh-CN"/>
              </w:rPr>
              <w:t>动力蓄电池拆卸和储存区进行绝缘处理，设置高压警示牌，动力蓄电池储存区应设置在易燃、易爆等危险品仓库及高压输电线路防护区域以外，并设烟雾报警器等火灾自动报警设施，间内配套电池专用灭火器。</w:t>
            </w:r>
          </w:p>
          <w:p w14:paraId="28AC67AF">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2"/>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4.</w:t>
            </w:r>
            <w:r>
              <w:rPr>
                <w:rFonts w:hint="eastAsia" w:ascii="Times New Roman" w:hAnsi="Times New Roman" w:cs="Times New Roman"/>
                <w:b/>
                <w:bCs/>
                <w:color w:val="auto"/>
                <w:sz w:val="24"/>
                <w:highlight w:val="none"/>
                <w:lang w:val="en-US" w:eastAsia="zh-CN"/>
              </w:rPr>
              <w:t>7</w:t>
            </w:r>
            <w:r>
              <w:rPr>
                <w:rFonts w:hint="default" w:ascii="Times New Roman" w:hAnsi="Times New Roman" w:cs="Times New Roman"/>
                <w:b/>
                <w:bCs/>
                <w:color w:val="auto"/>
                <w:sz w:val="24"/>
                <w:highlight w:val="none"/>
                <w:lang w:val="en-US" w:eastAsia="zh-CN"/>
              </w:rPr>
              <w:t>.</w:t>
            </w:r>
            <w:r>
              <w:rPr>
                <w:rFonts w:hint="eastAsia"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lang w:val="en-US" w:eastAsia="zh-CN"/>
              </w:rPr>
              <w:t xml:space="preserve"> </w:t>
            </w:r>
            <w:r>
              <w:rPr>
                <w:rFonts w:hint="eastAsia" w:ascii="Times New Roman" w:hAnsi="Times New Roman" w:eastAsia="宋体" w:cs="Times New Roman"/>
                <w:b/>
                <w:bCs/>
                <w:color w:val="auto"/>
                <w:sz w:val="24"/>
                <w:highlight w:val="none"/>
                <w:lang w:val="en-US" w:eastAsia="zh-CN"/>
              </w:rPr>
              <w:t>事故应急池设置</w:t>
            </w:r>
          </w:p>
          <w:p w14:paraId="6AED3C07">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项目</w:t>
            </w:r>
            <w:r>
              <w:rPr>
                <w:rFonts w:hint="eastAsia" w:ascii="Times New Roman" w:hAnsi="Times New Roman" w:eastAsia="宋体" w:cs="Times New Roman"/>
                <w:color w:val="auto"/>
                <w:kern w:val="0"/>
                <w:sz w:val="24"/>
                <w:highlight w:val="none"/>
                <w:u w:val="none"/>
                <w:lang w:val="en-US" w:eastAsia="zh-CN"/>
              </w:rPr>
              <w:t>清洁废水、作业区露天区域初期雨水</w:t>
            </w:r>
            <w:r>
              <w:rPr>
                <w:rFonts w:hint="default" w:ascii="Times New Roman" w:hAnsi="Times New Roman" w:eastAsia="宋体" w:cs="Times New Roman"/>
                <w:color w:val="auto"/>
                <w:kern w:val="0"/>
                <w:sz w:val="24"/>
                <w:highlight w:val="none"/>
                <w:u w:val="none"/>
                <w:lang w:val="en-US" w:eastAsia="zh-CN"/>
              </w:rPr>
              <w:t>采用</w:t>
            </w:r>
            <w:r>
              <w:rPr>
                <w:rFonts w:hint="eastAsia" w:ascii="Times New Roman" w:hAnsi="Times New Roman" w:eastAsia="宋体" w:cs="Times New Roman"/>
                <w:color w:val="auto"/>
                <w:kern w:val="0"/>
                <w:sz w:val="24"/>
                <w:highlight w:val="none"/>
                <w:u w:val="none"/>
                <w:lang w:val="en-US" w:eastAsia="zh-CN"/>
              </w:rPr>
              <w:t>收集池收集后进入“油水分离+混凝沉淀+过滤”</w:t>
            </w:r>
            <w:r>
              <w:rPr>
                <w:rFonts w:hint="default" w:ascii="Times New Roman" w:hAnsi="Times New Roman" w:eastAsia="宋体" w:cs="Times New Roman"/>
                <w:color w:val="auto"/>
                <w:kern w:val="0"/>
                <w:sz w:val="24"/>
                <w:highlight w:val="none"/>
                <w:u w:val="none"/>
                <w:lang w:val="en-US" w:eastAsia="zh-CN"/>
              </w:rPr>
              <w:t>，事故时一般为单</w:t>
            </w:r>
            <w:r>
              <w:rPr>
                <w:rFonts w:hint="eastAsia" w:ascii="Times New Roman" w:hAnsi="Times New Roman" w:eastAsia="宋体" w:cs="Times New Roman"/>
                <w:color w:val="auto"/>
                <w:kern w:val="0"/>
                <w:sz w:val="24"/>
                <w:highlight w:val="none"/>
                <w:u w:val="none"/>
                <w:lang w:val="en-US" w:eastAsia="zh-CN"/>
              </w:rPr>
              <w:t>设施</w:t>
            </w:r>
            <w:r>
              <w:rPr>
                <w:rFonts w:hint="default" w:ascii="Times New Roman" w:hAnsi="Times New Roman" w:eastAsia="宋体" w:cs="Times New Roman"/>
                <w:color w:val="auto"/>
                <w:kern w:val="0"/>
                <w:sz w:val="24"/>
                <w:highlight w:val="none"/>
                <w:u w:val="none"/>
                <w:lang w:val="en-US" w:eastAsia="zh-CN"/>
              </w:rPr>
              <w:t>故障，故障时可通过阀门停止进水，故障</w:t>
            </w:r>
            <w:r>
              <w:rPr>
                <w:rFonts w:hint="eastAsia" w:ascii="Times New Roman" w:hAnsi="Times New Roman" w:eastAsia="宋体" w:cs="Times New Roman"/>
                <w:color w:val="auto"/>
                <w:kern w:val="0"/>
                <w:sz w:val="24"/>
                <w:highlight w:val="none"/>
                <w:u w:val="none"/>
                <w:lang w:val="en-US" w:eastAsia="zh-CN"/>
              </w:rPr>
              <w:t>设施</w:t>
            </w:r>
            <w:r>
              <w:rPr>
                <w:rFonts w:hint="default" w:ascii="Times New Roman" w:hAnsi="Times New Roman" w:eastAsia="宋体" w:cs="Times New Roman"/>
                <w:color w:val="auto"/>
                <w:kern w:val="0"/>
                <w:sz w:val="24"/>
                <w:highlight w:val="none"/>
                <w:u w:val="none"/>
                <w:lang w:val="en-US" w:eastAsia="zh-CN"/>
              </w:rPr>
              <w:t>废水可</w:t>
            </w:r>
            <w:r>
              <w:rPr>
                <w:rFonts w:hint="eastAsia" w:ascii="Times New Roman" w:hAnsi="Times New Roman" w:eastAsia="宋体" w:cs="Times New Roman"/>
                <w:color w:val="auto"/>
                <w:kern w:val="0"/>
                <w:sz w:val="24"/>
                <w:highlight w:val="none"/>
                <w:u w:val="none"/>
                <w:lang w:val="en-US" w:eastAsia="zh-CN"/>
              </w:rPr>
              <w:t>通过泵抽</w:t>
            </w:r>
            <w:r>
              <w:rPr>
                <w:rFonts w:hint="default" w:ascii="Times New Roman" w:hAnsi="Times New Roman" w:eastAsia="宋体" w:cs="Times New Roman"/>
                <w:color w:val="auto"/>
                <w:kern w:val="0"/>
                <w:sz w:val="24"/>
                <w:highlight w:val="none"/>
                <w:u w:val="none"/>
                <w:lang w:val="en-US" w:eastAsia="zh-CN"/>
              </w:rPr>
              <w:t>在</w:t>
            </w:r>
            <w:r>
              <w:rPr>
                <w:rFonts w:hint="eastAsia" w:ascii="Times New Roman" w:hAnsi="Times New Roman" w:eastAsia="宋体" w:cs="Times New Roman"/>
                <w:color w:val="auto"/>
                <w:kern w:val="0"/>
                <w:sz w:val="24"/>
                <w:highlight w:val="none"/>
                <w:u w:val="none"/>
                <w:lang w:val="en-US" w:eastAsia="zh-CN"/>
              </w:rPr>
              <w:t>沉淀池或收集池</w:t>
            </w:r>
            <w:r>
              <w:rPr>
                <w:rFonts w:hint="default" w:ascii="Times New Roman" w:hAnsi="Times New Roman" w:eastAsia="宋体" w:cs="Times New Roman"/>
                <w:color w:val="auto"/>
                <w:kern w:val="0"/>
                <w:sz w:val="24"/>
                <w:highlight w:val="none"/>
                <w:u w:val="none"/>
                <w:lang w:val="en-US" w:eastAsia="zh-CN"/>
              </w:rPr>
              <w:t>中转移暂存，不需进入应急收集系统。</w:t>
            </w:r>
          </w:p>
          <w:p w14:paraId="2E2E44E1">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项目易引起火灾事故的主要为含矿物油物质、乙炔气体、仓库内塑料、以及动力蓄电池短路情况起火。废</w:t>
            </w:r>
            <w:r>
              <w:rPr>
                <w:rFonts w:hint="default" w:ascii="Times New Roman" w:hAnsi="Times New Roman" w:eastAsia="宋体" w:cs="Times New Roman"/>
                <w:color w:val="auto"/>
                <w:kern w:val="0"/>
                <w:sz w:val="24"/>
                <w:highlight w:val="none"/>
                <w:u w:val="none"/>
                <w:lang w:val="en-US" w:eastAsia="zh-CN"/>
              </w:rPr>
              <w:t>矿物油燃烧产生二氧化碳、一氧化碳、烟尘等废气，对周边空气造成污染。根据油类物质的理化性质，其火灾事故主要采用二氧化碳灭火器、干粉灭火器进行灭火处理，不宜采用水灭火。</w:t>
            </w:r>
            <w:r>
              <w:rPr>
                <w:rFonts w:hint="eastAsia" w:ascii="Times New Roman" w:hAnsi="Times New Roman" w:eastAsia="宋体" w:cs="Times New Roman"/>
                <w:color w:val="auto"/>
                <w:kern w:val="0"/>
                <w:sz w:val="24"/>
                <w:highlight w:val="none"/>
                <w:u w:val="none"/>
                <w:lang w:val="en-US" w:eastAsia="zh-CN"/>
              </w:rPr>
              <w:t>干粉灭火器中的干粉主要通过在燃烧物表面形成一层隔绝层，从而切断氧气供应，达到灭火的目的，适用于乙炔灭火，且对塑料火灾的高温及火苗具有显著抑制效果。对于动力蓄电池起火，可电池专用灭火器（干粉或气体类型）。</w:t>
            </w:r>
          </w:p>
          <w:p w14:paraId="2736B9A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因此项目无消防废水产生。</w:t>
            </w:r>
            <w:r>
              <w:rPr>
                <w:rFonts w:hint="eastAsia" w:ascii="Times New Roman" w:hAnsi="Times New Roman" w:eastAsia="宋体" w:cs="Times New Roman"/>
                <w:color w:val="auto"/>
                <w:kern w:val="0"/>
                <w:sz w:val="24"/>
                <w:highlight w:val="none"/>
                <w:u w:val="none"/>
                <w:lang w:val="en-US" w:eastAsia="zh-CN"/>
              </w:rPr>
              <w:t>综上</w:t>
            </w:r>
            <w:r>
              <w:rPr>
                <w:rFonts w:hint="default" w:ascii="Times New Roman" w:hAnsi="Times New Roman" w:eastAsia="宋体" w:cs="Times New Roman"/>
                <w:color w:val="auto"/>
                <w:kern w:val="0"/>
                <w:sz w:val="24"/>
                <w:highlight w:val="none"/>
                <w:u w:val="none"/>
                <w:lang w:val="en-US" w:eastAsia="zh-CN"/>
              </w:rPr>
              <w:t>，项目不需设置事故应急池。</w:t>
            </w:r>
          </w:p>
          <w:p w14:paraId="1AF68190">
            <w:pPr>
              <w:autoSpaceDE w:val="0"/>
              <w:autoSpaceDN w:val="0"/>
              <w:adjustRightInd w:val="0"/>
              <w:spacing w:line="360" w:lineRule="auto"/>
              <w:ind w:left="0" w:leftChars="0" w:firstLine="0" w:firstLineChars="0"/>
              <w:jc w:val="left"/>
              <w:rPr>
                <w:rFonts w:hint="default" w:ascii="Times New Roman" w:hAnsi="Times New Roman" w:eastAsia="宋体" w:cs="Times New Roman"/>
                <w:color w:val="auto"/>
                <w:sz w:val="24"/>
                <w:lang w:val="en-US" w:eastAsia="zh-CN"/>
              </w:rPr>
            </w:pPr>
            <w:r>
              <w:rPr>
                <w:rFonts w:hint="eastAsia" w:ascii="Times New Roman" w:hAnsi="Times New Roman" w:cs="Times New Roman"/>
                <w:b/>
                <w:bCs/>
                <w:color w:val="auto"/>
                <w:kern w:val="0"/>
                <w:sz w:val="24"/>
                <w:highlight w:val="none"/>
                <w:lang w:val="en-US" w:eastAsia="zh-CN"/>
              </w:rPr>
              <w:t xml:space="preserve">4.7.5 </w:t>
            </w:r>
            <w:r>
              <w:rPr>
                <w:rFonts w:hint="eastAsia" w:ascii="Times New Roman" w:hAnsi="Times New Roman" w:eastAsia="宋体" w:cs="Times New Roman"/>
                <w:b/>
                <w:bCs/>
                <w:color w:val="auto"/>
                <w:kern w:val="0"/>
                <w:sz w:val="24"/>
                <w:highlight w:val="none"/>
                <w:lang w:val="en-US" w:eastAsia="zh-CN"/>
              </w:rPr>
              <w:t>风险分析结论</w:t>
            </w:r>
          </w:p>
          <w:p w14:paraId="33FFD42E">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本项目在</w:t>
            </w:r>
            <w:r>
              <w:rPr>
                <w:rFonts w:hint="eastAsia" w:ascii="Times New Roman" w:hAnsi="Times New Roman" w:eastAsia="宋体" w:cs="Times New Roman"/>
                <w:color w:val="auto"/>
                <w:sz w:val="24"/>
                <w:lang w:val="en-US" w:eastAsia="zh-CN"/>
              </w:rPr>
              <w:t>制定突发环境事件应急预案并定期演练，</w:t>
            </w:r>
            <w:r>
              <w:rPr>
                <w:rFonts w:hint="default" w:ascii="Times New Roman" w:hAnsi="Times New Roman" w:eastAsia="宋体" w:cs="Times New Roman"/>
                <w:color w:val="auto"/>
                <w:sz w:val="24"/>
                <w:lang w:val="en-US" w:eastAsia="zh-CN"/>
              </w:rPr>
              <w:t>配备相应的应急物资，加强厂区防火管理，加强环保设施运行维护，完善事故风险防范措施的前提下，事故发生概率很低，本项目环境风险在可接受的范围内。</w:t>
            </w:r>
          </w:p>
          <w:p w14:paraId="7ADC1C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表4.</w:t>
            </w: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-3 项目环境风险简单分析内容表</w:t>
            </w:r>
          </w:p>
          <w:tbl>
            <w:tblPr>
              <w:tblStyle w:val="20"/>
              <w:tblW w:w="4998" w:type="pct"/>
              <w:tblInd w:w="1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08"/>
              <w:gridCol w:w="2518"/>
              <w:gridCol w:w="4318"/>
            </w:tblGrid>
            <w:tr w14:paraId="29FE00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50" w:type="pct"/>
                  <w:tcBorders>
                    <w:tl2br w:val="nil"/>
                    <w:tr2bl w:val="nil"/>
                  </w:tcBorders>
                  <w:noWrap w:val="0"/>
                  <w:vAlign w:val="center"/>
                </w:tcPr>
                <w:p w14:paraId="4481F900">
                  <w:pPr>
                    <w:pStyle w:val="35"/>
                    <w:rPr>
                      <w:rFonts w:ascii="Times New Roman" w:hAnsi="Times New Roman" w:eastAsia="宋体"/>
                      <w:b/>
                      <w:bCs/>
                      <w:snapToGrid w:val="0"/>
                      <w:color w:val="auto"/>
                    </w:rPr>
                  </w:pPr>
                  <w:r>
                    <w:rPr>
                      <w:rFonts w:ascii="Times New Roman" w:hAnsi="Times New Roman" w:eastAsia="宋体"/>
                      <w:b w:val="0"/>
                      <w:bCs w:val="0"/>
                      <w:snapToGrid w:val="0"/>
                      <w:color w:val="auto"/>
                    </w:rPr>
                    <w:t>建设项目名称</w:t>
                  </w:r>
                </w:p>
              </w:tc>
              <w:tc>
                <w:tcPr>
                  <w:tcW w:w="4249" w:type="pct"/>
                  <w:gridSpan w:val="2"/>
                  <w:tcBorders>
                    <w:tl2br w:val="nil"/>
                    <w:tr2bl w:val="nil"/>
                  </w:tcBorders>
                  <w:noWrap w:val="0"/>
                  <w:vAlign w:val="center"/>
                </w:tcPr>
                <w:p w14:paraId="2278EB19">
                  <w:pPr>
                    <w:jc w:val="center"/>
                    <w:rPr>
                      <w:rFonts w:ascii="Times New Roman" w:hAnsi="Times New Roman" w:eastAsia="宋体"/>
                      <w:b/>
                      <w:bCs/>
                      <w:snapToGrid w:val="0"/>
                      <w:color w:val="auto"/>
                    </w:rPr>
                  </w:pPr>
                  <w:r>
                    <w:rPr>
                      <w:rFonts w:hint="eastAsia" w:ascii="Times New Roman" w:hAnsi="Times New Roman" w:eastAsia="宋体"/>
                      <w:snapToGrid w:val="0"/>
                      <w:color w:val="auto"/>
                    </w:rPr>
                    <w:t>中福鑫废旧机动车拆解及资源回收项目（一期）</w:t>
                  </w:r>
                </w:p>
              </w:tc>
            </w:tr>
            <w:tr w14:paraId="0036F9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50" w:type="pct"/>
                  <w:tcBorders>
                    <w:tl2br w:val="nil"/>
                    <w:tr2bl w:val="nil"/>
                  </w:tcBorders>
                  <w:noWrap w:val="0"/>
                  <w:vAlign w:val="center"/>
                </w:tcPr>
                <w:p w14:paraId="1447F8B9">
                  <w:pPr>
                    <w:pStyle w:val="35"/>
                    <w:rPr>
                      <w:rFonts w:ascii="Times New Roman" w:hAnsi="Times New Roman" w:eastAsia="宋体"/>
                      <w:snapToGrid w:val="0"/>
                      <w:color w:val="auto"/>
                    </w:rPr>
                  </w:pPr>
                  <w:r>
                    <w:rPr>
                      <w:rFonts w:ascii="Times New Roman" w:hAnsi="Times New Roman" w:eastAsia="宋体"/>
                      <w:snapToGrid w:val="0"/>
                      <w:color w:val="auto"/>
                    </w:rPr>
                    <w:t>建设地点</w:t>
                  </w:r>
                </w:p>
              </w:tc>
              <w:tc>
                <w:tcPr>
                  <w:tcW w:w="4249" w:type="pct"/>
                  <w:gridSpan w:val="2"/>
                  <w:tcBorders>
                    <w:tl2br w:val="nil"/>
                    <w:tr2bl w:val="nil"/>
                  </w:tcBorders>
                  <w:noWrap w:val="0"/>
                  <w:vAlign w:val="center"/>
                </w:tcPr>
                <w:p w14:paraId="780C33C1">
                  <w:pPr>
                    <w:jc w:val="center"/>
                    <w:rPr>
                      <w:rFonts w:ascii="Times New Roman" w:hAnsi="Times New Roman" w:eastAsia="宋体"/>
                      <w:snapToGrid w:val="0"/>
                      <w:color w:val="auto"/>
                    </w:rPr>
                  </w:pPr>
                  <w:r>
                    <w:rPr>
                      <w:rFonts w:hint="eastAsia" w:ascii="Times New Roman" w:hAnsi="Times New Roman" w:eastAsia="宋体"/>
                      <w:snapToGrid w:val="0"/>
                      <w:color w:val="auto"/>
                    </w:rPr>
                    <w:t>福建省福州市长乐区松下镇山前村新村东区66号</w:t>
                  </w:r>
                </w:p>
              </w:tc>
            </w:tr>
            <w:tr w14:paraId="48755A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50" w:type="pct"/>
                  <w:tcBorders>
                    <w:tl2br w:val="nil"/>
                    <w:tr2bl w:val="nil"/>
                  </w:tcBorders>
                  <w:noWrap w:val="0"/>
                  <w:vAlign w:val="center"/>
                </w:tcPr>
                <w:p w14:paraId="2BCF8EFB">
                  <w:pPr>
                    <w:pStyle w:val="35"/>
                    <w:rPr>
                      <w:rFonts w:ascii="Times New Roman" w:hAnsi="Times New Roman" w:eastAsia="宋体"/>
                      <w:snapToGrid w:val="0"/>
                      <w:color w:val="auto"/>
                    </w:rPr>
                  </w:pPr>
                  <w:r>
                    <w:rPr>
                      <w:rFonts w:ascii="Times New Roman" w:hAnsi="Times New Roman" w:eastAsia="宋体"/>
                      <w:snapToGrid w:val="0"/>
                      <w:color w:val="auto"/>
                    </w:rPr>
                    <w:t>地理坐标</w:t>
                  </w:r>
                </w:p>
              </w:tc>
              <w:tc>
                <w:tcPr>
                  <w:tcW w:w="4249" w:type="pct"/>
                  <w:gridSpan w:val="2"/>
                  <w:tcBorders>
                    <w:tl2br w:val="nil"/>
                    <w:tr2bl w:val="nil"/>
                  </w:tcBorders>
                  <w:noWrap w:val="0"/>
                  <w:vAlign w:val="center"/>
                </w:tcPr>
                <w:p w14:paraId="55F404E7">
                  <w:pPr>
                    <w:jc w:val="center"/>
                    <w:rPr>
                      <w:rFonts w:ascii="Times New Roman" w:hAnsi="Times New Roman" w:eastAsia="宋体"/>
                      <w:snapToGrid w:val="0"/>
                      <w:color w:val="auto"/>
                    </w:rPr>
                  </w:pPr>
                  <w:r>
                    <w:rPr>
                      <w:rFonts w:ascii="Times New Roman" w:hAnsi="Times New Roman" w:eastAsia="宋体"/>
                      <w:color w:val="auto"/>
                      <w:szCs w:val="21"/>
                    </w:rPr>
                    <w:t>经度：</w:t>
                  </w:r>
                  <w:r>
                    <w:rPr>
                      <w:rFonts w:hint="eastAsia" w:ascii="Times New Roman" w:hAnsi="Times New Roman" w:eastAsia="宋体"/>
                      <w:color w:val="auto"/>
                      <w:szCs w:val="21"/>
                    </w:rPr>
                    <w:t>119°</w:t>
                  </w:r>
                  <w:r>
                    <w:rPr>
                      <w:rFonts w:hint="eastAsia" w:ascii="Times New Roman" w:hAnsi="Times New Roman" w:eastAsia="宋体"/>
                      <w:color w:val="auto"/>
                      <w:szCs w:val="21"/>
                      <w:lang w:val="en-US" w:eastAsia="zh-CN"/>
                    </w:rPr>
                    <w:t>35</w:t>
                  </w:r>
                  <w:r>
                    <w:rPr>
                      <w:rFonts w:hint="eastAsia" w:ascii="Times New Roman" w:hAnsi="Times New Roman" w:eastAsia="宋体"/>
                      <w:color w:val="auto"/>
                      <w:szCs w:val="21"/>
                    </w:rPr>
                    <w:t>'</w:t>
                  </w:r>
                  <w:r>
                    <w:rPr>
                      <w:rFonts w:hint="eastAsia" w:ascii="Times New Roman" w:hAnsi="Times New Roman" w:eastAsia="宋体"/>
                      <w:color w:val="auto"/>
                      <w:szCs w:val="21"/>
                      <w:lang w:val="en-US" w:eastAsia="zh-CN"/>
                    </w:rPr>
                    <w:t>4.016</w:t>
                  </w:r>
                  <w:r>
                    <w:rPr>
                      <w:rFonts w:hint="eastAsia" w:ascii="Times New Roman" w:hAnsi="Times New Roman" w:eastAsia="宋体"/>
                      <w:color w:val="auto"/>
                      <w:szCs w:val="21"/>
                    </w:rPr>
                    <w:t>"</w:t>
                  </w:r>
                  <w:r>
                    <w:rPr>
                      <w:rFonts w:ascii="Times New Roman" w:hAnsi="Times New Roman" w:eastAsia="宋体"/>
                      <w:color w:val="auto"/>
                      <w:szCs w:val="21"/>
                    </w:rPr>
                    <w:t>，纬度：</w:t>
                  </w:r>
                  <w:r>
                    <w:rPr>
                      <w:rFonts w:hint="eastAsia" w:ascii="Times New Roman" w:hAnsi="Times New Roman" w:eastAsia="宋体"/>
                      <w:color w:val="auto"/>
                      <w:szCs w:val="21"/>
                      <w:lang w:val="en-US" w:eastAsia="zh-CN"/>
                    </w:rPr>
                    <w:t>25</w:t>
                  </w:r>
                  <w:r>
                    <w:rPr>
                      <w:rFonts w:ascii="Times New Roman" w:hAnsi="Times New Roman" w:eastAsia="宋体"/>
                      <w:color w:val="auto"/>
                      <w:szCs w:val="21"/>
                    </w:rPr>
                    <w:t>°</w:t>
                  </w:r>
                  <w:r>
                    <w:rPr>
                      <w:rFonts w:hint="eastAsia" w:ascii="Times New Roman" w:hAnsi="Times New Roman" w:eastAsia="宋体"/>
                      <w:color w:val="auto"/>
                      <w:szCs w:val="21"/>
                      <w:lang w:val="en-US" w:eastAsia="zh-CN"/>
                    </w:rPr>
                    <w:t>42</w:t>
                  </w:r>
                  <w:r>
                    <w:rPr>
                      <w:rFonts w:ascii="Times New Roman" w:hAnsi="Times New Roman" w:eastAsia="宋体"/>
                      <w:color w:val="auto"/>
                      <w:szCs w:val="21"/>
                    </w:rPr>
                    <w:t>′</w:t>
                  </w:r>
                  <w:r>
                    <w:rPr>
                      <w:rFonts w:hint="eastAsia" w:ascii="Times New Roman" w:hAnsi="Times New Roman" w:eastAsia="宋体"/>
                      <w:color w:val="auto"/>
                      <w:szCs w:val="21"/>
                      <w:lang w:val="en-US" w:eastAsia="zh-CN"/>
                    </w:rPr>
                    <w:t>10.250</w:t>
                  </w:r>
                  <w:r>
                    <w:rPr>
                      <w:rFonts w:hint="eastAsia" w:ascii="Times New Roman" w:hAnsi="Times New Roman" w:eastAsia="宋体"/>
                      <w:color w:val="auto"/>
                      <w:szCs w:val="21"/>
                    </w:rPr>
                    <w:t>″</w:t>
                  </w:r>
                </w:p>
              </w:tc>
            </w:tr>
            <w:tr w14:paraId="0273CDE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750" w:type="pct"/>
                  <w:vMerge w:val="restart"/>
                  <w:tcBorders>
                    <w:tl2br w:val="nil"/>
                    <w:tr2bl w:val="nil"/>
                  </w:tcBorders>
                  <w:noWrap w:val="0"/>
                  <w:vAlign w:val="center"/>
                </w:tcPr>
                <w:p w14:paraId="4BD11C0D">
                  <w:pPr>
                    <w:pStyle w:val="35"/>
                    <w:rPr>
                      <w:rFonts w:ascii="Times New Roman" w:hAnsi="Times New Roman" w:eastAsia="宋体"/>
                      <w:snapToGrid w:val="0"/>
                      <w:color w:val="auto"/>
                    </w:rPr>
                  </w:pPr>
                  <w:r>
                    <w:rPr>
                      <w:rFonts w:ascii="Times New Roman" w:hAnsi="Times New Roman" w:eastAsia="宋体"/>
                      <w:snapToGrid w:val="0"/>
                      <w:color w:val="auto"/>
                    </w:rPr>
                    <w:t>主要危险物质及分布</w:t>
                  </w:r>
                </w:p>
              </w:tc>
              <w:tc>
                <w:tcPr>
                  <w:tcW w:w="1565" w:type="pct"/>
                  <w:tcBorders>
                    <w:tl2br w:val="nil"/>
                    <w:tr2bl w:val="nil"/>
                  </w:tcBorders>
                  <w:noWrap w:val="0"/>
                  <w:vAlign w:val="center"/>
                </w:tcPr>
                <w:p w14:paraId="22832DD6">
                  <w:pPr>
                    <w:jc w:val="center"/>
                    <w:rPr>
                      <w:rFonts w:hint="eastAsia" w:ascii="Times New Roman" w:hAnsi="Times New Roman" w:eastAsia="宋体"/>
                      <w:snapToGrid w:val="0"/>
                      <w:color w:val="auto"/>
                      <w:lang w:eastAsia="zh-CN"/>
                    </w:rPr>
                  </w:pPr>
                  <w:r>
                    <w:rPr>
                      <w:rFonts w:hint="eastAsia" w:ascii="Times New Roman" w:hAnsi="Times New Roman" w:eastAsia="宋体"/>
                      <w:color w:val="auto"/>
                      <w:szCs w:val="21"/>
                      <w:lang w:eastAsia="zh-CN"/>
                    </w:rPr>
                    <w:t>贮存位置</w:t>
                  </w:r>
                </w:p>
              </w:tc>
              <w:tc>
                <w:tcPr>
                  <w:tcW w:w="2683" w:type="pct"/>
                  <w:tcBorders>
                    <w:tl2br w:val="nil"/>
                    <w:tr2bl w:val="nil"/>
                  </w:tcBorders>
                  <w:noWrap w:val="0"/>
                  <w:vAlign w:val="center"/>
                </w:tcPr>
                <w:p w14:paraId="05BB8651">
                  <w:pPr>
                    <w:jc w:val="center"/>
                    <w:rPr>
                      <w:rFonts w:ascii="Times New Roman" w:hAnsi="Times New Roman" w:eastAsia="宋体"/>
                      <w:snapToGrid w:val="0"/>
                      <w:color w:val="auto"/>
                    </w:rPr>
                  </w:pPr>
                  <w:r>
                    <w:rPr>
                      <w:rFonts w:hint="eastAsia" w:ascii="Times New Roman" w:hAnsi="Times New Roman" w:eastAsia="宋体"/>
                      <w:snapToGrid w:val="0"/>
                      <w:color w:val="auto"/>
                      <w:lang w:eastAsia="zh-CN"/>
                    </w:rPr>
                    <w:t>危险物质</w:t>
                  </w:r>
                </w:p>
              </w:tc>
            </w:tr>
            <w:tr w14:paraId="7B4070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750" w:type="pct"/>
                  <w:vMerge w:val="continue"/>
                  <w:tcBorders>
                    <w:tl2br w:val="nil"/>
                    <w:tr2bl w:val="nil"/>
                  </w:tcBorders>
                  <w:noWrap w:val="0"/>
                  <w:vAlign w:val="center"/>
                </w:tcPr>
                <w:p w14:paraId="5267A67A">
                  <w:pPr>
                    <w:pStyle w:val="35"/>
                    <w:rPr>
                      <w:rFonts w:ascii="Times New Roman" w:hAnsi="Times New Roman" w:eastAsia="宋体"/>
                      <w:color w:val="auto"/>
                    </w:rPr>
                  </w:pPr>
                </w:p>
              </w:tc>
              <w:tc>
                <w:tcPr>
                  <w:tcW w:w="1565" w:type="pct"/>
                  <w:tcBorders>
                    <w:tl2br w:val="nil"/>
                    <w:tr2bl w:val="nil"/>
                  </w:tcBorders>
                  <w:noWrap w:val="0"/>
                  <w:vAlign w:val="center"/>
                </w:tcPr>
                <w:p w14:paraId="2D205FA1">
                  <w:pPr>
                    <w:pStyle w:val="35"/>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大小车拆解车间</w:t>
                  </w:r>
                </w:p>
              </w:tc>
              <w:tc>
                <w:tcPr>
                  <w:tcW w:w="2683" w:type="pct"/>
                  <w:tcBorders>
                    <w:tl2br w:val="nil"/>
                    <w:tr2bl w:val="nil"/>
                  </w:tcBorders>
                  <w:noWrap w:val="0"/>
                  <w:vAlign w:val="center"/>
                </w:tcPr>
                <w:p w14:paraId="39BBD1FE">
                  <w:pPr>
                    <w:widowControl/>
                    <w:jc w:val="center"/>
                    <w:textAlignment w:val="center"/>
                    <w:rPr>
                      <w:rFonts w:hint="eastAsia" w:ascii="Times New Roman" w:hAnsi="Times New Roman" w:eastAsia="宋体"/>
                      <w:snapToGrid w:val="0"/>
                      <w:color w:val="auto"/>
                      <w:lang w:val="en-US" w:eastAsia="zh-CN"/>
                    </w:rPr>
                  </w:pPr>
                  <w:r>
                    <w:rPr>
                      <w:rFonts w:hint="eastAsia" w:ascii="Times New Roman" w:hAnsi="Times New Roman" w:eastAsia="宋体"/>
                      <w:snapToGrid w:val="0"/>
                      <w:color w:val="auto"/>
                      <w:lang w:val="en-US" w:eastAsia="zh-CN"/>
                    </w:rPr>
                    <w:t>乙炔</w:t>
                  </w:r>
                </w:p>
              </w:tc>
            </w:tr>
            <w:tr w14:paraId="53050E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750" w:type="pct"/>
                  <w:vMerge w:val="continue"/>
                  <w:tcBorders>
                    <w:tl2br w:val="nil"/>
                    <w:tr2bl w:val="nil"/>
                  </w:tcBorders>
                  <w:noWrap w:val="0"/>
                  <w:vAlign w:val="center"/>
                </w:tcPr>
                <w:p w14:paraId="51A04E93">
                  <w:pPr>
                    <w:pStyle w:val="35"/>
                    <w:rPr>
                      <w:rFonts w:ascii="Times New Roman" w:hAnsi="Times New Roman" w:eastAsia="宋体"/>
                      <w:color w:val="auto"/>
                    </w:rPr>
                  </w:pPr>
                </w:p>
              </w:tc>
              <w:tc>
                <w:tcPr>
                  <w:tcW w:w="1565" w:type="pct"/>
                  <w:tcBorders>
                    <w:tl2br w:val="nil"/>
                    <w:tr2bl w:val="nil"/>
                  </w:tcBorders>
                  <w:noWrap w:val="0"/>
                  <w:vAlign w:val="center"/>
                </w:tcPr>
                <w:p w14:paraId="7B416521">
                  <w:pPr>
                    <w:pStyle w:val="35"/>
                    <w:rPr>
                      <w:rFonts w:hint="eastAsia" w:ascii="Times New Roman" w:hAnsi="Times New Roman" w:eastAsia="宋体"/>
                      <w:color w:val="auto"/>
                      <w:lang w:eastAsia="zh-CN"/>
                    </w:rPr>
                  </w:pPr>
                  <w:r>
                    <w:rPr>
                      <w:rFonts w:hint="eastAsia" w:ascii="Times New Roman" w:hAnsi="Times New Roman" w:eastAsia="宋体"/>
                      <w:color w:val="auto"/>
                      <w:lang w:eastAsia="zh-CN"/>
                    </w:rPr>
                    <w:t>危险废物贮存</w:t>
                  </w:r>
                  <w:r>
                    <w:rPr>
                      <w:rFonts w:hint="eastAsia" w:eastAsia="宋体"/>
                      <w:color w:val="auto"/>
                      <w:lang w:eastAsia="zh-CN"/>
                    </w:rPr>
                    <w:t>库</w:t>
                  </w:r>
                </w:p>
              </w:tc>
              <w:tc>
                <w:tcPr>
                  <w:tcW w:w="2683" w:type="pct"/>
                  <w:tcBorders>
                    <w:tl2br w:val="nil"/>
                    <w:tr2bl w:val="nil"/>
                  </w:tcBorders>
                  <w:noWrap w:val="0"/>
                  <w:vAlign w:val="center"/>
                </w:tcPr>
                <w:p w14:paraId="2D68797C">
                  <w:pPr>
                    <w:widowControl/>
                    <w:jc w:val="center"/>
                    <w:textAlignment w:val="center"/>
                    <w:rPr>
                      <w:rFonts w:hint="default" w:ascii="Times New Roman" w:hAnsi="Times New Roman" w:eastAsia="宋体"/>
                      <w:snapToGrid w:val="0"/>
                      <w:color w:val="auto"/>
                      <w:lang w:val="en-US" w:eastAsia="zh-CN"/>
                    </w:rPr>
                  </w:pPr>
                  <w:r>
                    <w:rPr>
                      <w:rFonts w:hint="eastAsia" w:ascii="Times New Roman" w:hAnsi="Times New Roman" w:eastAsia="宋体"/>
                      <w:snapToGrid w:val="0"/>
                      <w:color w:val="auto"/>
                      <w:lang w:val="en-US" w:eastAsia="zh-CN"/>
                    </w:rPr>
                    <w:t>废铅酸蓄电池、废油液、废变压器油、废液压油、废机油、废油桶、浮油和污泥、废制冷剂、废滤清器等</w:t>
                  </w:r>
                </w:p>
              </w:tc>
            </w:tr>
            <w:tr w14:paraId="361759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50" w:type="pct"/>
                  <w:tcBorders>
                    <w:tl2br w:val="nil"/>
                    <w:tr2bl w:val="nil"/>
                  </w:tcBorders>
                  <w:noWrap w:val="0"/>
                  <w:vAlign w:val="center"/>
                </w:tcPr>
                <w:p w14:paraId="25B2B56E">
                  <w:pPr>
                    <w:pStyle w:val="35"/>
                    <w:rPr>
                      <w:rFonts w:ascii="Times New Roman" w:hAnsi="Times New Roman" w:eastAsia="宋体"/>
                      <w:snapToGrid w:val="0"/>
                      <w:color w:val="auto"/>
                    </w:rPr>
                  </w:pPr>
                  <w:r>
                    <w:rPr>
                      <w:rFonts w:ascii="Times New Roman" w:hAnsi="Times New Roman" w:eastAsia="宋体"/>
                      <w:snapToGrid w:val="0"/>
                      <w:color w:val="auto"/>
                    </w:rPr>
                    <w:t>环境影响途径及危害后果</w:t>
                  </w:r>
                </w:p>
              </w:tc>
              <w:tc>
                <w:tcPr>
                  <w:tcW w:w="4249" w:type="pct"/>
                  <w:gridSpan w:val="2"/>
                  <w:tcBorders>
                    <w:tl2br w:val="nil"/>
                    <w:tr2bl w:val="nil"/>
                  </w:tcBorders>
                  <w:noWrap w:val="0"/>
                  <w:vAlign w:val="center"/>
                </w:tcPr>
                <w:p w14:paraId="1D533583">
                  <w:pPr>
                    <w:pStyle w:val="35"/>
                    <w:jc w:val="left"/>
                    <w:rPr>
                      <w:rFonts w:hint="eastAsia" w:ascii="Times New Roman" w:hAnsi="Times New Roman" w:eastAsia="宋体"/>
                      <w:snapToGrid w:val="0"/>
                      <w:color w:val="auto"/>
                    </w:rPr>
                  </w:pPr>
                  <w:r>
                    <w:rPr>
                      <w:rFonts w:hint="eastAsia" w:ascii="Times New Roman" w:hAnsi="Times New Roman" w:eastAsia="宋体"/>
                      <w:snapToGrid w:val="0"/>
                      <w:color w:val="auto"/>
                    </w:rPr>
                    <w:t>本项目</w:t>
                  </w:r>
                  <w:r>
                    <w:rPr>
                      <w:rFonts w:hint="eastAsia" w:ascii="Times New Roman" w:hAnsi="Times New Roman" w:eastAsia="宋体"/>
                      <w:snapToGrid w:val="0"/>
                      <w:color w:val="auto"/>
                      <w:lang w:eastAsia="zh-CN"/>
                    </w:rPr>
                    <w:t>危险单元生产废水</w:t>
                  </w:r>
                  <w:r>
                    <w:rPr>
                      <w:rFonts w:hint="eastAsia" w:ascii="Times New Roman" w:hAnsi="Times New Roman" w:eastAsia="宋体"/>
                      <w:snapToGrid w:val="0"/>
                      <w:color w:val="auto"/>
                      <w:lang w:val="en-US" w:eastAsia="zh-CN"/>
                    </w:rPr>
                    <w:t>收集</w:t>
                  </w:r>
                  <w:r>
                    <w:rPr>
                      <w:rFonts w:hint="eastAsia" w:ascii="Times New Roman" w:hAnsi="Times New Roman" w:eastAsia="宋体"/>
                      <w:snapToGrid w:val="0"/>
                      <w:color w:val="auto"/>
                      <w:lang w:eastAsia="zh-CN"/>
                    </w:rPr>
                    <w:t>处理系统，可能因故障、管道破裂、人为操作失误等导致废水事故排放，影响周边地表水体。危险废物贮存</w:t>
                  </w:r>
                  <w:r>
                    <w:rPr>
                      <w:rFonts w:hint="eastAsia" w:eastAsia="宋体"/>
                      <w:snapToGrid w:val="0"/>
                      <w:color w:val="auto"/>
                      <w:lang w:eastAsia="zh-CN"/>
                    </w:rPr>
                    <w:t>库</w:t>
                  </w:r>
                  <w:r>
                    <w:rPr>
                      <w:rFonts w:hint="eastAsia" w:ascii="Times New Roman" w:hAnsi="Times New Roman" w:eastAsia="宋体"/>
                      <w:snapToGrid w:val="0"/>
                      <w:color w:val="auto"/>
                      <w:lang w:eastAsia="zh-CN"/>
                    </w:rPr>
                    <w:t>可能发生因容器破裂等原因导致的危险废物泄漏事故，对周边土壤、地下水、地表水造成影响；废气处理设施故障可能导致废气事故排放，对周边大气环境造成影响；厂内</w:t>
                  </w:r>
                  <w:r>
                    <w:rPr>
                      <w:rFonts w:hint="eastAsia" w:ascii="Times New Roman" w:hAnsi="Times New Roman" w:eastAsia="宋体"/>
                      <w:snapToGrid w:val="0"/>
                      <w:color w:val="auto"/>
                      <w:lang w:val="en-US" w:eastAsia="zh-CN"/>
                    </w:rPr>
                    <w:t>预处理区、废变压器拆解车间、动力蓄电池拆解车间</w:t>
                  </w:r>
                  <w:r>
                    <w:rPr>
                      <w:rFonts w:hint="eastAsia" w:ascii="Times New Roman" w:hAnsi="Times New Roman" w:eastAsia="宋体"/>
                      <w:snapToGrid w:val="0"/>
                      <w:color w:val="auto"/>
                      <w:lang w:eastAsia="zh-CN"/>
                    </w:rPr>
                    <w:t>、危险废物贮存</w:t>
                  </w:r>
                  <w:r>
                    <w:rPr>
                      <w:rFonts w:hint="eastAsia" w:eastAsia="宋体"/>
                      <w:snapToGrid w:val="0"/>
                      <w:color w:val="auto"/>
                      <w:lang w:eastAsia="zh-CN"/>
                    </w:rPr>
                    <w:t>库</w:t>
                  </w:r>
                  <w:r>
                    <w:rPr>
                      <w:rFonts w:hint="eastAsia" w:ascii="Times New Roman" w:hAnsi="Times New Roman" w:eastAsia="宋体"/>
                      <w:snapToGrid w:val="0"/>
                      <w:color w:val="auto"/>
                      <w:lang w:eastAsia="zh-CN"/>
                    </w:rPr>
                    <w:t>等可能发生</w:t>
                  </w:r>
                  <w:r>
                    <w:rPr>
                      <w:rFonts w:hint="eastAsia" w:ascii="Times New Roman" w:hAnsi="Times New Roman" w:eastAsia="宋体"/>
                      <w:snapToGrid w:val="0"/>
                      <w:color w:val="auto"/>
                    </w:rPr>
                    <w:t>电线短路、静电火花、</w:t>
                  </w:r>
                  <w:r>
                    <w:rPr>
                      <w:rFonts w:hint="eastAsia" w:ascii="Times New Roman" w:hAnsi="Times New Roman" w:eastAsia="宋体"/>
                      <w:snapToGrid w:val="0"/>
                      <w:color w:val="auto"/>
                      <w:lang w:val="en-US" w:eastAsia="zh-CN"/>
                    </w:rPr>
                    <w:t>可燃物质</w:t>
                  </w:r>
                  <w:r>
                    <w:rPr>
                      <w:rFonts w:hint="eastAsia" w:ascii="Times New Roman" w:hAnsi="Times New Roman" w:eastAsia="宋体"/>
                      <w:snapToGrid w:val="0"/>
                      <w:color w:val="auto"/>
                    </w:rPr>
                    <w:t>泄漏遇明火或高热等发生火灾事故及其次生/伴生事故，对周边环境造成的影响。</w:t>
                  </w:r>
                </w:p>
              </w:tc>
            </w:tr>
            <w:tr w14:paraId="719D5D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50" w:type="pct"/>
                  <w:tcBorders>
                    <w:tl2br w:val="nil"/>
                    <w:tr2bl w:val="nil"/>
                  </w:tcBorders>
                  <w:noWrap w:val="0"/>
                  <w:vAlign w:val="center"/>
                </w:tcPr>
                <w:p w14:paraId="202AF5F2">
                  <w:pPr>
                    <w:pStyle w:val="35"/>
                    <w:rPr>
                      <w:rFonts w:ascii="Times New Roman" w:hAnsi="Times New Roman" w:eastAsia="宋体"/>
                      <w:snapToGrid w:val="0"/>
                      <w:color w:val="auto"/>
                    </w:rPr>
                  </w:pPr>
                  <w:r>
                    <w:rPr>
                      <w:rFonts w:ascii="Times New Roman" w:hAnsi="Times New Roman" w:eastAsia="宋体"/>
                      <w:snapToGrid w:val="0"/>
                      <w:color w:val="auto"/>
                    </w:rPr>
                    <w:t>风险防范措施要求</w:t>
                  </w:r>
                </w:p>
              </w:tc>
              <w:tc>
                <w:tcPr>
                  <w:tcW w:w="4249" w:type="pct"/>
                  <w:gridSpan w:val="2"/>
                  <w:tcBorders>
                    <w:tl2br w:val="nil"/>
                    <w:tr2bl w:val="nil"/>
                  </w:tcBorders>
                  <w:noWrap w:val="0"/>
                  <w:vAlign w:val="center"/>
                </w:tcPr>
                <w:p w14:paraId="5C300625">
                  <w:pPr>
                    <w:pStyle w:val="35"/>
                    <w:jc w:val="left"/>
                    <w:rPr>
                      <w:rFonts w:ascii="Times New Roman" w:hAnsi="Times New Roman" w:eastAsia="宋体"/>
                      <w:snapToGrid w:val="0"/>
                      <w:color w:val="auto"/>
                    </w:rPr>
                  </w:pPr>
                  <w:r>
                    <w:rPr>
                      <w:rFonts w:ascii="Times New Roman" w:hAnsi="Times New Roman" w:eastAsia="宋体"/>
                      <w:snapToGrid w:val="0"/>
                      <w:color w:val="auto"/>
                    </w:rPr>
                    <w:t>本项目拟采取以下风险防范措施：</w:t>
                  </w:r>
                </w:p>
                <w:p w14:paraId="368A9281">
                  <w:pPr>
                    <w:pStyle w:val="35"/>
                    <w:numPr>
                      <w:ilvl w:val="0"/>
                      <w:numId w:val="15"/>
                    </w:numPr>
                    <w:jc w:val="left"/>
                    <w:rPr>
                      <w:rFonts w:hint="eastAsia" w:ascii="Times New Roman" w:hAnsi="Times New Roman" w:eastAsia="宋体"/>
                      <w:snapToGrid w:val="0"/>
                      <w:color w:val="auto"/>
                      <w:lang w:eastAsia="zh-CN"/>
                    </w:rPr>
                  </w:pPr>
                  <w:r>
                    <w:rPr>
                      <w:rFonts w:hint="eastAsia" w:ascii="Times New Roman" w:hAnsi="Times New Roman" w:eastAsia="宋体"/>
                      <w:snapToGrid w:val="0"/>
                      <w:color w:val="auto"/>
                      <w:lang w:eastAsia="zh-CN"/>
                    </w:rPr>
                    <w:t>对厂区按要求进行分区防渗，废水处理系统、</w:t>
                  </w:r>
                  <w:r>
                    <w:rPr>
                      <w:rFonts w:hint="eastAsia" w:ascii="Times New Roman" w:hAnsi="Times New Roman" w:eastAsia="宋体"/>
                      <w:snapToGrid w:val="0"/>
                      <w:color w:val="auto"/>
                      <w:lang w:val="en-US" w:eastAsia="zh-CN"/>
                    </w:rPr>
                    <w:t>危废暂存间</w:t>
                  </w:r>
                  <w:r>
                    <w:rPr>
                      <w:rFonts w:hint="eastAsia" w:ascii="Times New Roman" w:hAnsi="Times New Roman" w:eastAsia="宋体"/>
                      <w:snapToGrid w:val="0"/>
                      <w:color w:val="auto"/>
                      <w:lang w:eastAsia="zh-CN"/>
                    </w:rPr>
                    <w:t>等按重点防渗要求；</w:t>
                  </w:r>
                  <w:r>
                    <w:rPr>
                      <w:rFonts w:hint="eastAsia" w:eastAsia="宋体"/>
                      <w:snapToGrid w:val="0"/>
                      <w:color w:val="auto"/>
                      <w:lang w:eastAsia="zh-CN"/>
                    </w:rPr>
                    <w:t>危险废物间</w:t>
                  </w:r>
                  <w:r>
                    <w:rPr>
                      <w:rFonts w:hint="eastAsia" w:eastAsia="宋体"/>
                      <w:snapToGrid w:val="0"/>
                      <w:color w:val="auto"/>
                      <w:lang w:val="en-US" w:eastAsia="zh-CN"/>
                    </w:rPr>
                    <w:t>内危险废物分类存放，间内</w:t>
                  </w:r>
                  <w:r>
                    <w:rPr>
                      <w:rFonts w:hint="eastAsia" w:eastAsia="宋体"/>
                      <w:snapToGrid w:val="0"/>
                      <w:color w:val="auto"/>
                      <w:lang w:eastAsia="zh-CN"/>
                    </w:rPr>
                    <w:t>设置导流沟和集液坑，</w:t>
                  </w:r>
                  <w:r>
                    <w:rPr>
                      <w:rFonts w:hint="eastAsia" w:ascii="Times New Roman" w:hAnsi="Times New Roman" w:eastAsia="宋体"/>
                      <w:snapToGrid w:val="0"/>
                      <w:color w:val="auto"/>
                      <w:lang w:eastAsia="zh-CN"/>
                    </w:rPr>
                    <w:t>铅酸电池采取耐酸容器装存，地面设置耐酸隔离层；</w:t>
                  </w:r>
                </w:p>
                <w:p w14:paraId="2DA87029">
                  <w:pPr>
                    <w:pStyle w:val="35"/>
                    <w:numPr>
                      <w:ilvl w:val="0"/>
                      <w:numId w:val="15"/>
                    </w:numPr>
                    <w:jc w:val="left"/>
                    <w:rPr>
                      <w:rFonts w:hint="eastAsia" w:ascii="Times New Roman" w:hAnsi="Times New Roman" w:eastAsia="宋体"/>
                      <w:snapToGrid w:val="0"/>
                      <w:color w:val="auto"/>
                      <w:lang w:eastAsia="zh-CN"/>
                    </w:rPr>
                  </w:pPr>
                  <w:r>
                    <w:rPr>
                      <w:rFonts w:hint="eastAsia" w:ascii="Times New Roman" w:hAnsi="Times New Roman" w:eastAsia="宋体"/>
                      <w:snapToGrid w:val="0"/>
                      <w:color w:val="auto"/>
                      <w:lang w:eastAsia="zh-CN"/>
                    </w:rPr>
                    <w:t>定期对设施、管道进行检修及维护保养；定期更换废气处理设施内过滤</w:t>
                  </w:r>
                  <w:r>
                    <w:rPr>
                      <w:rFonts w:hint="eastAsia" w:ascii="Times New Roman" w:hAnsi="Times New Roman" w:eastAsia="宋体"/>
                      <w:snapToGrid w:val="0"/>
                      <w:color w:val="auto"/>
                      <w:lang w:val="en-US" w:eastAsia="zh-CN"/>
                    </w:rPr>
                    <w:t>棉、活性炭</w:t>
                  </w:r>
                  <w:r>
                    <w:rPr>
                      <w:rFonts w:hint="eastAsia" w:ascii="Times New Roman" w:hAnsi="Times New Roman" w:eastAsia="宋体"/>
                      <w:snapToGrid w:val="0"/>
                      <w:color w:val="auto"/>
                      <w:lang w:eastAsia="zh-CN"/>
                    </w:rPr>
                    <w:t>；</w:t>
                  </w:r>
                </w:p>
                <w:p w14:paraId="369E6BF6">
                  <w:pPr>
                    <w:pStyle w:val="35"/>
                    <w:numPr>
                      <w:ilvl w:val="0"/>
                      <w:numId w:val="15"/>
                    </w:numPr>
                    <w:ind w:left="0" w:leftChars="0" w:firstLine="0" w:firstLineChars="0"/>
                    <w:jc w:val="left"/>
                    <w:rPr>
                      <w:rFonts w:hint="eastAsia" w:ascii="Times New Roman" w:hAnsi="Times New Roman" w:eastAsia="宋体"/>
                      <w:snapToGrid w:val="0"/>
                      <w:color w:val="auto"/>
                      <w:lang w:eastAsia="zh-CN"/>
                    </w:rPr>
                  </w:pPr>
                  <w:r>
                    <w:rPr>
                      <w:rFonts w:hint="eastAsia" w:ascii="Times New Roman" w:hAnsi="Times New Roman" w:eastAsia="宋体"/>
                      <w:snapToGrid w:val="0"/>
                      <w:color w:val="auto"/>
                      <w:lang w:eastAsia="zh-CN"/>
                    </w:rPr>
                    <w:t>各生产岗位制定严格的操作规程和注意事项；设置警示标识等，</w:t>
                  </w:r>
                  <w:r>
                    <w:rPr>
                      <w:rFonts w:hint="eastAsia" w:ascii="Times New Roman" w:hAnsi="Times New Roman" w:eastAsia="宋体"/>
                      <w:snapToGrid w:val="0"/>
                      <w:color w:val="auto"/>
                    </w:rPr>
                    <w:t>厂区内严禁烟火，严格动火审批制度</w:t>
                  </w:r>
                  <w:r>
                    <w:rPr>
                      <w:rFonts w:hint="eastAsia" w:ascii="Times New Roman" w:hAnsi="Times New Roman" w:eastAsia="宋体"/>
                      <w:snapToGrid w:val="0"/>
                      <w:color w:val="auto"/>
                      <w:lang w:eastAsia="zh-CN"/>
                    </w:rPr>
                    <w:t>，</w:t>
                  </w:r>
                  <w:r>
                    <w:rPr>
                      <w:rFonts w:hint="eastAsia" w:ascii="Times New Roman" w:hAnsi="Times New Roman" w:eastAsia="宋体"/>
                      <w:snapToGrid w:val="0"/>
                      <w:color w:val="auto"/>
                    </w:rPr>
                    <w:t>定期进行防火安全检查</w:t>
                  </w:r>
                  <w:r>
                    <w:rPr>
                      <w:rFonts w:hint="eastAsia" w:ascii="Times New Roman" w:hAnsi="Times New Roman" w:eastAsia="宋体"/>
                      <w:snapToGrid w:val="0"/>
                      <w:color w:val="auto"/>
                      <w:lang w:eastAsia="zh-CN"/>
                    </w:rPr>
                    <w:t>；</w:t>
                  </w:r>
                </w:p>
                <w:p w14:paraId="65D797D2">
                  <w:pPr>
                    <w:pStyle w:val="35"/>
                    <w:numPr>
                      <w:ilvl w:val="0"/>
                      <w:numId w:val="15"/>
                    </w:numPr>
                    <w:ind w:left="0" w:leftChars="0" w:firstLine="0" w:firstLineChars="0"/>
                    <w:jc w:val="left"/>
                    <w:rPr>
                      <w:rFonts w:hint="eastAsia" w:ascii="Times New Roman" w:hAnsi="Times New Roman" w:eastAsia="宋体"/>
                      <w:snapToGrid w:val="0"/>
                      <w:color w:val="auto"/>
                      <w:lang w:val="en-US" w:eastAsia="zh-CN"/>
                    </w:rPr>
                  </w:pPr>
                  <w:r>
                    <w:rPr>
                      <w:rFonts w:hint="eastAsia" w:ascii="Times New Roman" w:hAnsi="Times New Roman" w:eastAsia="宋体"/>
                      <w:snapToGrid w:val="0"/>
                      <w:color w:val="auto"/>
                      <w:lang w:eastAsia="zh-CN"/>
                    </w:rPr>
                    <w:t>动力蓄电池拆解和储存间内设置防腐防渗紧急收集池，用以收集废蓄电池破损时渗漏出来的有害液体；</w:t>
                  </w:r>
                  <w:r>
                    <w:rPr>
                      <w:rFonts w:hint="eastAsia" w:ascii="Times New Roman" w:hAnsi="Times New Roman" w:eastAsia="宋体"/>
                      <w:snapToGrid w:val="0"/>
                      <w:color w:val="auto"/>
                      <w:lang w:val="en-US" w:eastAsia="zh-CN"/>
                    </w:rPr>
                    <w:t>动力蓄电池储存区设置烟雾报警器等火灾自动报警设施，</w:t>
                  </w:r>
                  <w:r>
                    <w:rPr>
                      <w:rFonts w:hint="eastAsia" w:ascii="Times New Roman" w:hAnsi="Times New Roman" w:eastAsia="宋体"/>
                      <w:snapToGrid w:val="0"/>
                      <w:color w:val="auto"/>
                      <w:lang w:eastAsia="zh-CN"/>
                    </w:rPr>
                    <w:t>对出现动力蓄电池破损、电极头和线束裸露等存在漏电风险的，采取绝缘处理；</w:t>
                  </w:r>
                </w:p>
                <w:p w14:paraId="760EB346">
                  <w:pPr>
                    <w:pStyle w:val="35"/>
                    <w:numPr>
                      <w:ilvl w:val="0"/>
                      <w:numId w:val="15"/>
                    </w:numPr>
                    <w:ind w:left="0" w:leftChars="0" w:firstLine="0" w:firstLineChars="0"/>
                    <w:jc w:val="left"/>
                    <w:rPr>
                      <w:rFonts w:hint="eastAsia" w:ascii="Times New Roman" w:hAnsi="Times New Roman" w:eastAsia="宋体"/>
                      <w:snapToGrid w:val="0"/>
                      <w:color w:val="auto"/>
                      <w:lang w:val="en-US" w:eastAsia="zh-CN"/>
                    </w:rPr>
                  </w:pPr>
                  <w:r>
                    <w:rPr>
                      <w:rFonts w:hint="eastAsia" w:ascii="Times New Roman" w:hAnsi="Times New Roman" w:eastAsia="宋体"/>
                      <w:snapToGrid w:val="0"/>
                      <w:color w:val="auto"/>
                    </w:rPr>
                    <w:t>配备相应的</w:t>
                  </w:r>
                  <w:r>
                    <w:rPr>
                      <w:rFonts w:hint="eastAsia" w:ascii="Times New Roman" w:hAnsi="Times New Roman" w:eastAsia="宋体"/>
                      <w:snapToGrid w:val="0"/>
                      <w:color w:val="auto"/>
                      <w:lang w:eastAsia="zh-CN"/>
                    </w:rPr>
                    <w:t>应急物</w:t>
                  </w:r>
                  <w:r>
                    <w:rPr>
                      <w:rFonts w:hint="eastAsia" w:eastAsia="宋体"/>
                      <w:snapToGrid w:val="0"/>
                      <w:color w:val="auto"/>
                      <w:lang w:eastAsia="zh-CN"/>
                    </w:rPr>
                    <w:t>资</w:t>
                  </w:r>
                  <w:r>
                    <w:rPr>
                      <w:rFonts w:hint="eastAsia" w:ascii="Times New Roman" w:hAnsi="Times New Roman" w:eastAsia="宋体"/>
                      <w:snapToGrid w:val="0"/>
                      <w:color w:val="auto"/>
                    </w:rPr>
                    <w:t>(</w:t>
                  </w:r>
                  <w:r>
                    <w:rPr>
                      <w:rFonts w:hint="eastAsia" w:ascii="Times New Roman" w:hAnsi="Times New Roman" w:eastAsia="宋体"/>
                      <w:snapToGrid w:val="0"/>
                      <w:color w:val="auto"/>
                      <w:lang w:eastAsia="zh-CN"/>
                    </w:rPr>
                    <w:t>沙袋</w:t>
                  </w:r>
                  <w:r>
                    <w:rPr>
                      <w:rFonts w:hint="eastAsia" w:ascii="Times New Roman" w:hAnsi="Times New Roman" w:eastAsia="宋体"/>
                      <w:snapToGrid w:val="0"/>
                      <w:color w:val="auto"/>
                    </w:rPr>
                    <w:t>、吸油毡</w:t>
                  </w:r>
                  <w:r>
                    <w:rPr>
                      <w:rFonts w:hint="eastAsia" w:eastAsia="宋体"/>
                      <w:snapToGrid w:val="0"/>
                      <w:color w:val="auto"/>
                      <w:lang w:eastAsia="zh-CN"/>
                    </w:rPr>
                    <w:t>、</w:t>
                  </w:r>
                  <w:r>
                    <w:rPr>
                      <w:rFonts w:hint="eastAsia" w:eastAsia="宋体"/>
                      <w:snapToGrid w:val="0"/>
                      <w:color w:val="auto"/>
                      <w:lang w:val="en-US" w:eastAsia="zh-CN"/>
                    </w:rPr>
                    <w:t>干粉灭火器、电池专用灭火器</w:t>
                  </w:r>
                  <w:r>
                    <w:rPr>
                      <w:rFonts w:hint="eastAsia" w:ascii="Times New Roman" w:hAnsi="Times New Roman" w:eastAsia="宋体"/>
                      <w:snapToGrid w:val="0"/>
                      <w:color w:val="auto"/>
                    </w:rPr>
                    <w:t>等)</w:t>
                  </w:r>
                  <w:r>
                    <w:rPr>
                      <w:rFonts w:hint="eastAsia" w:ascii="Times New Roman" w:hAnsi="Times New Roman" w:eastAsia="宋体"/>
                      <w:snapToGrid w:val="0"/>
                      <w:color w:val="auto"/>
                      <w:lang w:eastAsia="zh-CN"/>
                    </w:rPr>
                    <w:t>、</w:t>
                  </w:r>
                  <w:r>
                    <w:rPr>
                      <w:rFonts w:hint="eastAsia" w:ascii="Times New Roman" w:hAnsi="Times New Roman" w:eastAsia="宋体"/>
                      <w:snapToGrid w:val="0"/>
                      <w:color w:val="auto"/>
                      <w:lang w:val="en-US" w:eastAsia="zh-CN"/>
                    </w:rPr>
                    <w:t>收集池、</w:t>
                  </w:r>
                  <w:r>
                    <w:rPr>
                      <w:rFonts w:hint="eastAsia" w:ascii="Times New Roman" w:hAnsi="Times New Roman" w:eastAsia="宋体"/>
                      <w:snapToGrid w:val="0"/>
                      <w:color w:val="auto"/>
                      <w:lang w:eastAsia="zh-CN"/>
                    </w:rPr>
                    <w:t>废水处理系统进出水口设置阀门</w:t>
                  </w:r>
                  <w:r>
                    <w:rPr>
                      <w:rFonts w:hint="eastAsia" w:eastAsia="宋体"/>
                      <w:snapToGrid w:val="0"/>
                      <w:color w:val="auto"/>
                      <w:lang w:eastAsia="zh-CN"/>
                    </w:rPr>
                    <w:t>。</w:t>
                  </w:r>
                </w:p>
              </w:tc>
            </w:tr>
          </w:tbl>
          <w:p w14:paraId="1C90F0E5">
            <w:pPr>
              <w:pStyle w:val="2"/>
              <w:rPr>
                <w:rFonts w:hint="default"/>
                <w:color w:val="auto"/>
                <w:lang w:val="en-US" w:eastAsia="zh-CN"/>
              </w:rPr>
            </w:pPr>
          </w:p>
          <w:bookmarkEnd w:id="37"/>
          <w:p w14:paraId="765A96DA">
            <w:pPr>
              <w:spacing w:line="360" w:lineRule="auto"/>
              <w:rPr>
                <w:rFonts w:ascii="Times New Roman" w:hAnsi="Times New Roman"/>
                <w:b/>
                <w:bCs/>
                <w:color w:val="auto"/>
                <w:kern w:val="0"/>
                <w:sz w:val="28"/>
                <w:szCs w:val="28"/>
              </w:rPr>
            </w:pPr>
            <w:r>
              <w:rPr>
                <w:rFonts w:hint="eastAsia" w:ascii="Times New Roman" w:hAnsi="Times New Roman"/>
                <w:b/>
                <w:bCs/>
                <w:color w:val="auto"/>
                <w:kern w:val="0"/>
                <w:sz w:val="28"/>
                <w:szCs w:val="28"/>
              </w:rPr>
              <w:t>4.</w:t>
            </w:r>
            <w:r>
              <w:rPr>
                <w:rFonts w:hint="eastAsia" w:ascii="Times New Roman" w:hAnsi="Times New Roman"/>
                <w:b/>
                <w:bCs/>
                <w:color w:val="auto"/>
                <w:kern w:val="0"/>
                <w:sz w:val="28"/>
                <w:szCs w:val="28"/>
                <w:lang w:val="en-US" w:eastAsia="zh-CN"/>
              </w:rPr>
              <w:t>8</w:t>
            </w:r>
            <w:r>
              <w:rPr>
                <w:rFonts w:hint="eastAsia" w:ascii="Times New Roman" w:hAnsi="Times New Roman"/>
                <w:b/>
                <w:bCs/>
                <w:color w:val="auto"/>
                <w:kern w:val="0"/>
                <w:sz w:val="28"/>
                <w:szCs w:val="28"/>
              </w:rPr>
              <w:t xml:space="preserve"> 环保投资估算 </w:t>
            </w:r>
          </w:p>
          <w:p w14:paraId="73B1404E">
            <w:pPr>
              <w:spacing w:line="360" w:lineRule="auto"/>
              <w:ind w:firstLine="480" w:firstLineChars="200"/>
              <w:rPr>
                <w:rFonts w:ascii="Times New Roman" w:hAnsi="Times New Roman"/>
                <w:color w:val="auto"/>
                <w:sz w:val="24"/>
              </w:rPr>
            </w:pPr>
            <w:r>
              <w:rPr>
                <w:rFonts w:ascii="Times New Roman" w:hAnsi="Times New Roman"/>
                <w:color w:val="auto"/>
                <w:kern w:val="0"/>
                <w:sz w:val="24"/>
              </w:rPr>
              <w:t>本项目环保投资估算具体明细见表</w:t>
            </w:r>
            <w:r>
              <w:rPr>
                <w:rFonts w:hint="eastAsia" w:ascii="Times New Roman" w:hAnsi="Times New Roman"/>
                <w:color w:val="auto"/>
                <w:kern w:val="0"/>
                <w:sz w:val="24"/>
              </w:rPr>
              <w:t>4.</w:t>
            </w:r>
            <w:r>
              <w:rPr>
                <w:rFonts w:hint="eastAsia" w:ascii="Times New Roman" w:hAnsi="Times New Roman"/>
                <w:color w:val="auto"/>
                <w:kern w:val="0"/>
                <w:sz w:val="24"/>
                <w:lang w:val="en-US" w:eastAsia="zh-CN"/>
              </w:rPr>
              <w:t>8</w:t>
            </w:r>
            <w:r>
              <w:rPr>
                <w:rFonts w:ascii="Times New Roman" w:hAnsi="Times New Roman"/>
                <w:color w:val="auto"/>
                <w:kern w:val="0"/>
                <w:sz w:val="24"/>
              </w:rPr>
              <w:t>-1。</w:t>
            </w:r>
          </w:p>
          <w:p w14:paraId="561253EE">
            <w:pPr>
              <w:pStyle w:val="17"/>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jc w:val="center"/>
              <w:textAlignment w:val="auto"/>
              <w:rPr>
                <w:rFonts w:ascii="Times New Roman" w:hAnsi="Times New Roman" w:eastAsia="黑体"/>
                <w:color w:val="auto"/>
              </w:rPr>
            </w:pPr>
            <w:r>
              <w:rPr>
                <w:rFonts w:hint="eastAsia" w:ascii="Times New Roman" w:hAnsi="Times New Roman" w:eastAsia="黑体"/>
                <w:color w:val="auto"/>
                <w:kern w:val="2"/>
              </w:rPr>
              <w:t>4.</w:t>
            </w:r>
            <w:r>
              <w:rPr>
                <w:rFonts w:hint="eastAsia" w:ascii="Times New Roman" w:hAnsi="Times New Roman" w:eastAsia="黑体"/>
                <w:color w:val="auto"/>
                <w:kern w:val="2"/>
                <w:lang w:val="en-US" w:eastAsia="zh-CN"/>
              </w:rPr>
              <w:t>8</w:t>
            </w:r>
            <w:r>
              <w:rPr>
                <w:rFonts w:ascii="Times New Roman" w:hAnsi="Times New Roman" w:eastAsia="黑体"/>
                <w:color w:val="auto"/>
                <w:kern w:val="2"/>
              </w:rPr>
              <w:t>-1  环保措施投资明细表</w:t>
            </w:r>
          </w:p>
          <w:tbl>
            <w:tblPr>
              <w:tblStyle w:val="20"/>
              <w:tblW w:w="807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02"/>
              <w:gridCol w:w="1193"/>
              <w:gridCol w:w="5257"/>
              <w:gridCol w:w="1024"/>
            </w:tblGrid>
            <w:tr w14:paraId="2D318E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14:paraId="7BC6883D">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ascii="Times New Roman" w:hAnsi="Times New Roman"/>
                      <w:color w:val="auto"/>
                      <w:sz w:val="21"/>
                      <w:szCs w:val="21"/>
                    </w:rPr>
                    <w:t>序号</w:t>
                  </w:r>
                </w:p>
              </w:tc>
              <w:tc>
                <w:tcPr>
                  <w:tcW w:w="1193" w:type="dxa"/>
                  <w:noWrap w:val="0"/>
                  <w:vAlign w:val="center"/>
                </w:tcPr>
                <w:p w14:paraId="2AF61677">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ascii="Times New Roman" w:hAnsi="Times New Roman"/>
                      <w:color w:val="auto"/>
                      <w:sz w:val="21"/>
                      <w:szCs w:val="21"/>
                    </w:rPr>
                    <w:t>污染源</w:t>
                  </w:r>
                </w:p>
              </w:tc>
              <w:tc>
                <w:tcPr>
                  <w:tcW w:w="5257" w:type="dxa"/>
                  <w:noWrap w:val="0"/>
                  <w:vAlign w:val="center"/>
                </w:tcPr>
                <w:p w14:paraId="19BDB427">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ascii="Times New Roman" w:hAnsi="Times New Roman"/>
                      <w:color w:val="auto"/>
                      <w:sz w:val="21"/>
                      <w:szCs w:val="21"/>
                    </w:rPr>
                    <w:t>治理措施或设施</w:t>
                  </w:r>
                </w:p>
              </w:tc>
              <w:tc>
                <w:tcPr>
                  <w:tcW w:w="1024" w:type="dxa"/>
                  <w:noWrap w:val="0"/>
                  <w:vAlign w:val="center"/>
                </w:tcPr>
                <w:p w14:paraId="19D1E018">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ascii="Times New Roman" w:hAnsi="Times New Roman"/>
                      <w:color w:val="auto"/>
                      <w:sz w:val="21"/>
                      <w:szCs w:val="21"/>
                    </w:rPr>
                    <w:t>投资金额(万元)</w:t>
                  </w:r>
                </w:p>
              </w:tc>
            </w:tr>
            <w:tr w14:paraId="762C834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restart"/>
                  <w:noWrap w:val="0"/>
                  <w:vAlign w:val="center"/>
                </w:tcPr>
                <w:p w14:paraId="5BB769A7">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ascii="Times New Roman" w:hAnsi="Times New Roman"/>
                      <w:color w:val="auto"/>
                      <w:sz w:val="21"/>
                      <w:szCs w:val="21"/>
                    </w:rPr>
                    <w:t>1</w:t>
                  </w:r>
                </w:p>
              </w:tc>
              <w:tc>
                <w:tcPr>
                  <w:tcW w:w="1193" w:type="dxa"/>
                  <w:vMerge w:val="restart"/>
                  <w:noWrap w:val="0"/>
                  <w:vAlign w:val="center"/>
                </w:tcPr>
                <w:p w14:paraId="421D635B">
                  <w:pPr>
                    <w:pStyle w:val="17"/>
                    <w:widowControl w:val="0"/>
                    <w:autoSpaceDE w:val="0"/>
                    <w:autoSpaceDN w:val="0"/>
                    <w:adjustRightInd w:val="0"/>
                    <w:spacing w:before="0" w:beforeAutospacing="0" w:after="0" w:afterAutospacing="0" w:line="340" w:lineRule="exact"/>
                    <w:jc w:val="center"/>
                    <w:rPr>
                      <w:rFonts w:ascii="Times New Roman" w:hAnsi="Times New Roman"/>
                      <w:color w:val="auto"/>
                      <w:sz w:val="21"/>
                      <w:szCs w:val="21"/>
                    </w:rPr>
                  </w:pPr>
                  <w:r>
                    <w:rPr>
                      <w:rFonts w:ascii="Times New Roman" w:hAnsi="Times New Roman"/>
                      <w:color w:val="auto"/>
                      <w:sz w:val="21"/>
                      <w:szCs w:val="21"/>
                    </w:rPr>
                    <w:t>废水</w:t>
                  </w:r>
                </w:p>
              </w:tc>
              <w:tc>
                <w:tcPr>
                  <w:tcW w:w="5257" w:type="dxa"/>
                  <w:noWrap w:val="0"/>
                  <w:vAlign w:val="center"/>
                </w:tcPr>
                <w:p w14:paraId="58DF54C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w:t>
                  </w:r>
                  <w:r>
                    <w:rPr>
                      <w:rFonts w:hint="eastAsia" w:ascii="Times New Roman" w:hAnsi="Times New Roman" w:eastAsia="宋体" w:cs="Times New Roman"/>
                      <w:color w:val="auto"/>
                      <w:sz w:val="21"/>
                      <w:szCs w:val="21"/>
                      <w:highlight w:val="none"/>
                      <w:lang w:val="en-US" w:eastAsia="zh-CN"/>
                    </w:rPr>
                    <w:t>依托出租方</w:t>
                  </w:r>
                  <w:r>
                    <w:rPr>
                      <w:rFonts w:hint="default" w:ascii="Times New Roman" w:hAnsi="Times New Roman" w:eastAsia="宋体" w:cs="Times New Roman"/>
                      <w:color w:val="auto"/>
                      <w:sz w:val="21"/>
                      <w:szCs w:val="21"/>
                      <w:highlight w:val="none"/>
                      <w:lang w:eastAsia="zh-CN"/>
                    </w:rPr>
                    <w:t>化粪池预处理后排入</w:t>
                  </w:r>
                  <w:r>
                    <w:rPr>
                      <w:rFonts w:hint="eastAsia" w:ascii="Times New Roman" w:hAnsi="Times New Roman" w:eastAsia="宋体" w:cs="Times New Roman"/>
                      <w:color w:val="auto"/>
                      <w:sz w:val="21"/>
                      <w:szCs w:val="21"/>
                      <w:highlight w:val="none"/>
                      <w:lang w:eastAsia="zh-CN"/>
                    </w:rPr>
                    <w:t>松下镇山前村污水管网</w:t>
                  </w:r>
                  <w:r>
                    <w:rPr>
                      <w:rFonts w:hint="default" w:ascii="Times New Roman" w:hAnsi="Times New Roman" w:eastAsia="宋体" w:cs="Times New Roman"/>
                      <w:color w:val="auto"/>
                      <w:sz w:val="21"/>
                      <w:szCs w:val="21"/>
                      <w:highlight w:val="none"/>
                      <w:lang w:eastAsia="zh-CN"/>
                    </w:rPr>
                    <w:t>，送往</w:t>
                  </w:r>
                  <w:r>
                    <w:rPr>
                      <w:rFonts w:hint="eastAsia" w:ascii="Times New Roman" w:hAnsi="Times New Roman" w:eastAsia="宋体" w:cs="Times New Roman"/>
                      <w:color w:val="auto"/>
                      <w:sz w:val="21"/>
                      <w:szCs w:val="21"/>
                      <w:highlight w:val="none"/>
                      <w:lang w:eastAsia="zh-CN"/>
                    </w:rPr>
                    <w:t>福州市长乐区松下镇山前村污水处理站</w:t>
                  </w:r>
                  <w:r>
                    <w:rPr>
                      <w:rFonts w:hint="default" w:ascii="Times New Roman" w:hAnsi="Times New Roman" w:eastAsia="宋体" w:cs="Times New Roman"/>
                      <w:color w:val="auto"/>
                      <w:sz w:val="21"/>
                      <w:szCs w:val="21"/>
                      <w:highlight w:val="none"/>
                      <w:lang w:eastAsia="zh-CN"/>
                    </w:rPr>
                    <w:t>集中处理</w:t>
                  </w:r>
                </w:p>
              </w:tc>
              <w:tc>
                <w:tcPr>
                  <w:tcW w:w="1024" w:type="dxa"/>
                  <w:noWrap w:val="0"/>
                  <w:vAlign w:val="center"/>
                </w:tcPr>
                <w:p w14:paraId="3288DC0C">
                  <w:pPr>
                    <w:pStyle w:val="17"/>
                    <w:widowControl w:val="0"/>
                    <w:autoSpaceDE w:val="0"/>
                    <w:autoSpaceDN w:val="0"/>
                    <w:adjustRightInd w:val="0"/>
                    <w:spacing w:before="0" w:beforeAutospacing="0" w:after="0" w:afterAutospacing="0" w:line="340" w:lineRule="exact"/>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r>
            <w:tr w14:paraId="27B88A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14:paraId="48D91F0A">
                  <w:pPr>
                    <w:pStyle w:val="17"/>
                    <w:widowControl w:val="0"/>
                    <w:autoSpaceDE w:val="0"/>
                    <w:autoSpaceDN w:val="0"/>
                    <w:adjustRightInd w:val="0"/>
                    <w:spacing w:before="0" w:beforeAutospacing="0" w:after="0" w:afterAutospacing="0" w:line="320" w:lineRule="atLeast"/>
                    <w:jc w:val="center"/>
                    <w:rPr>
                      <w:rFonts w:hint="eastAsia" w:ascii="Times New Roman" w:hAnsi="Times New Roman" w:eastAsia="宋体"/>
                      <w:color w:val="auto"/>
                      <w:sz w:val="21"/>
                      <w:szCs w:val="21"/>
                      <w:lang w:val="en-US" w:eastAsia="zh-CN"/>
                    </w:rPr>
                  </w:pPr>
                </w:p>
              </w:tc>
              <w:tc>
                <w:tcPr>
                  <w:tcW w:w="1193" w:type="dxa"/>
                  <w:vMerge w:val="continue"/>
                  <w:noWrap w:val="0"/>
                  <w:vAlign w:val="center"/>
                </w:tcPr>
                <w:p w14:paraId="75F5C963">
                  <w:pPr>
                    <w:pStyle w:val="17"/>
                    <w:widowControl w:val="0"/>
                    <w:autoSpaceDE w:val="0"/>
                    <w:autoSpaceDN w:val="0"/>
                    <w:adjustRightInd w:val="0"/>
                    <w:spacing w:before="0" w:beforeAutospacing="0" w:after="0" w:afterAutospacing="0" w:line="340" w:lineRule="exact"/>
                    <w:jc w:val="center"/>
                    <w:rPr>
                      <w:rFonts w:ascii="Times New Roman" w:hAnsi="Times New Roman"/>
                      <w:color w:val="auto"/>
                      <w:sz w:val="21"/>
                      <w:szCs w:val="21"/>
                    </w:rPr>
                  </w:pPr>
                </w:p>
              </w:tc>
              <w:tc>
                <w:tcPr>
                  <w:tcW w:w="5257" w:type="dxa"/>
                  <w:noWrap w:val="0"/>
                  <w:vAlign w:val="center"/>
                </w:tcPr>
                <w:p w14:paraId="0E051E4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olor w:val="auto"/>
                      <w:lang w:val="en-US" w:eastAsia="zh-CN"/>
                    </w:rPr>
                  </w:pPr>
                  <w:r>
                    <w:rPr>
                      <w:rFonts w:hint="eastAsia" w:ascii="Times New Roman" w:hAnsi="Times New Roman" w:eastAsia="宋体" w:cs="Times New Roman"/>
                      <w:color w:val="auto"/>
                      <w:sz w:val="21"/>
                      <w:szCs w:val="21"/>
                      <w:highlight w:val="none"/>
                      <w:lang w:val="en-US" w:eastAsia="zh-CN"/>
                    </w:rPr>
                    <w:t>厂区设置导流沟槽，切换阀门，清洁废水、作业区初期雨水经收集进入收集池，进入废水处理设施（油水分离+混凝沉淀+过滤）（35t/d）处理，出水全部回用于场地洒水清扫、停车区冲洗，不外排</w:t>
                  </w:r>
                </w:p>
              </w:tc>
              <w:tc>
                <w:tcPr>
                  <w:tcW w:w="1024" w:type="dxa"/>
                  <w:noWrap w:val="0"/>
                  <w:vAlign w:val="center"/>
                </w:tcPr>
                <w:p w14:paraId="6C521D33">
                  <w:pPr>
                    <w:pStyle w:val="17"/>
                    <w:widowControl w:val="0"/>
                    <w:autoSpaceDE w:val="0"/>
                    <w:autoSpaceDN w:val="0"/>
                    <w:adjustRightInd w:val="0"/>
                    <w:spacing w:before="0" w:beforeAutospacing="0" w:after="0" w:afterAutospacing="0" w:line="34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45</w:t>
                  </w:r>
                </w:p>
              </w:tc>
            </w:tr>
            <w:tr w14:paraId="3B1609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restart"/>
                  <w:noWrap w:val="0"/>
                  <w:vAlign w:val="center"/>
                </w:tcPr>
                <w:p w14:paraId="23BEAE2E">
                  <w:pPr>
                    <w:pStyle w:val="17"/>
                    <w:widowControl w:val="0"/>
                    <w:autoSpaceDE w:val="0"/>
                    <w:autoSpaceDN w:val="0"/>
                    <w:adjustRightInd w:val="0"/>
                    <w:spacing w:before="0" w:beforeAutospacing="0" w:after="0" w:afterAutospacing="0" w:line="32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w:t>
                  </w:r>
                </w:p>
              </w:tc>
              <w:tc>
                <w:tcPr>
                  <w:tcW w:w="1193" w:type="dxa"/>
                  <w:vMerge w:val="restart"/>
                  <w:noWrap w:val="0"/>
                  <w:vAlign w:val="center"/>
                </w:tcPr>
                <w:p w14:paraId="0E6C2F4F">
                  <w:pPr>
                    <w:pStyle w:val="17"/>
                    <w:widowControl w:val="0"/>
                    <w:autoSpaceDE w:val="0"/>
                    <w:autoSpaceDN w:val="0"/>
                    <w:adjustRightInd w:val="0"/>
                    <w:spacing w:before="0" w:beforeAutospacing="0" w:after="0" w:afterAutospacing="0" w:line="340" w:lineRule="exact"/>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废气</w:t>
                  </w:r>
                </w:p>
              </w:tc>
              <w:tc>
                <w:tcPr>
                  <w:tcW w:w="5257" w:type="dxa"/>
                  <w:noWrap w:val="0"/>
                  <w:vAlign w:val="center"/>
                </w:tcPr>
                <w:p w14:paraId="7D53067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配套专用抽取装置和收集管道、收集容器，配套顶吸集气罩对预处理废气进行收集后废气引至1套“过滤棉+双级活性炭吸附装置”处理，尾气通过1根15m高排气筒DA001排放</w:t>
                  </w:r>
                </w:p>
              </w:tc>
              <w:tc>
                <w:tcPr>
                  <w:tcW w:w="1024" w:type="dxa"/>
                  <w:noWrap w:val="0"/>
                  <w:vAlign w:val="center"/>
                </w:tcPr>
                <w:p w14:paraId="7B3CDA4D">
                  <w:pPr>
                    <w:pStyle w:val="17"/>
                    <w:widowControl w:val="0"/>
                    <w:autoSpaceDE w:val="0"/>
                    <w:autoSpaceDN w:val="0"/>
                    <w:adjustRightInd w:val="0"/>
                    <w:spacing w:before="0" w:beforeAutospacing="0" w:after="0" w:afterAutospacing="0" w:line="34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25</w:t>
                  </w:r>
                </w:p>
              </w:tc>
            </w:tr>
            <w:tr w14:paraId="7B45EC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4" w:hRule="atLeast"/>
                <w:jc w:val="center"/>
              </w:trPr>
              <w:tc>
                <w:tcPr>
                  <w:tcW w:w="602" w:type="dxa"/>
                  <w:vMerge w:val="continue"/>
                  <w:noWrap w:val="0"/>
                  <w:vAlign w:val="center"/>
                </w:tcPr>
                <w:p w14:paraId="20630574">
                  <w:pPr>
                    <w:pStyle w:val="17"/>
                    <w:widowControl w:val="0"/>
                    <w:autoSpaceDE w:val="0"/>
                    <w:autoSpaceDN w:val="0"/>
                    <w:adjustRightInd w:val="0"/>
                    <w:spacing w:before="0" w:beforeAutospacing="0" w:after="0" w:afterAutospacing="0" w:line="320" w:lineRule="atLeast"/>
                    <w:jc w:val="center"/>
                    <w:rPr>
                      <w:rFonts w:hint="eastAsia" w:ascii="Times New Roman" w:hAnsi="Times New Roman"/>
                      <w:color w:val="auto"/>
                      <w:sz w:val="21"/>
                      <w:szCs w:val="21"/>
                      <w:lang w:val="en-US" w:eastAsia="zh-CN"/>
                    </w:rPr>
                  </w:pPr>
                </w:p>
              </w:tc>
              <w:tc>
                <w:tcPr>
                  <w:tcW w:w="1193" w:type="dxa"/>
                  <w:vMerge w:val="continue"/>
                  <w:noWrap w:val="0"/>
                  <w:vAlign w:val="center"/>
                </w:tcPr>
                <w:p w14:paraId="7BAF9A5D">
                  <w:pPr>
                    <w:pStyle w:val="17"/>
                    <w:widowControl w:val="0"/>
                    <w:autoSpaceDE w:val="0"/>
                    <w:autoSpaceDN w:val="0"/>
                    <w:adjustRightInd w:val="0"/>
                    <w:spacing w:before="0" w:beforeAutospacing="0" w:after="0" w:afterAutospacing="0" w:line="340" w:lineRule="exact"/>
                    <w:jc w:val="center"/>
                    <w:rPr>
                      <w:rFonts w:ascii="Times New Roman" w:hAnsi="Times New Roman"/>
                      <w:color w:val="auto"/>
                      <w:sz w:val="21"/>
                      <w:szCs w:val="21"/>
                    </w:rPr>
                  </w:pPr>
                </w:p>
              </w:tc>
              <w:tc>
                <w:tcPr>
                  <w:tcW w:w="5257" w:type="dxa"/>
                  <w:noWrap w:val="0"/>
                  <w:vAlign w:val="center"/>
                </w:tcPr>
                <w:p w14:paraId="4B8B4F67">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配套专用抽取装置和收集管道、收集容器，配套顶吸集气罩对废变压器油抽取废气进行收集后废气引至1套“过滤棉+双级活性炭吸附装置”处理，尾气通过1根15m高排气筒DA002排放</w:t>
                  </w:r>
                </w:p>
              </w:tc>
              <w:tc>
                <w:tcPr>
                  <w:tcW w:w="1024" w:type="dxa"/>
                  <w:noWrap w:val="0"/>
                  <w:vAlign w:val="center"/>
                </w:tcPr>
                <w:p w14:paraId="72625886">
                  <w:pPr>
                    <w:pStyle w:val="17"/>
                    <w:widowControl w:val="0"/>
                    <w:autoSpaceDE w:val="0"/>
                    <w:autoSpaceDN w:val="0"/>
                    <w:adjustRightInd w:val="0"/>
                    <w:spacing w:before="0" w:beforeAutospacing="0" w:after="0" w:afterAutospacing="0" w:line="34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25</w:t>
                  </w:r>
                </w:p>
              </w:tc>
            </w:tr>
            <w:tr w14:paraId="0FBA81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14:paraId="65667863">
                  <w:pPr>
                    <w:pStyle w:val="17"/>
                    <w:widowControl w:val="0"/>
                    <w:autoSpaceDE w:val="0"/>
                    <w:autoSpaceDN w:val="0"/>
                    <w:adjustRightInd w:val="0"/>
                    <w:spacing w:before="0" w:beforeAutospacing="0" w:after="0" w:afterAutospacing="0" w:line="320" w:lineRule="atLeast"/>
                    <w:jc w:val="center"/>
                    <w:rPr>
                      <w:rFonts w:hint="eastAsia" w:ascii="Times New Roman" w:hAnsi="Times New Roman"/>
                      <w:color w:val="auto"/>
                      <w:sz w:val="21"/>
                      <w:szCs w:val="21"/>
                      <w:lang w:val="en-US" w:eastAsia="zh-CN"/>
                    </w:rPr>
                  </w:pPr>
                </w:p>
              </w:tc>
              <w:tc>
                <w:tcPr>
                  <w:tcW w:w="1193" w:type="dxa"/>
                  <w:vMerge w:val="continue"/>
                  <w:noWrap w:val="0"/>
                  <w:vAlign w:val="center"/>
                </w:tcPr>
                <w:p w14:paraId="09A4A43A">
                  <w:pPr>
                    <w:pStyle w:val="17"/>
                    <w:widowControl w:val="0"/>
                    <w:autoSpaceDE w:val="0"/>
                    <w:autoSpaceDN w:val="0"/>
                    <w:adjustRightInd w:val="0"/>
                    <w:spacing w:before="0" w:beforeAutospacing="0" w:after="0" w:afterAutospacing="0" w:line="340" w:lineRule="exact"/>
                    <w:jc w:val="center"/>
                    <w:rPr>
                      <w:rFonts w:ascii="Times New Roman" w:hAnsi="Times New Roman"/>
                      <w:color w:val="auto"/>
                      <w:sz w:val="21"/>
                      <w:szCs w:val="21"/>
                    </w:rPr>
                  </w:pPr>
                </w:p>
              </w:tc>
              <w:tc>
                <w:tcPr>
                  <w:tcW w:w="5257" w:type="dxa"/>
                  <w:noWrap w:val="0"/>
                  <w:vAlign w:val="center"/>
                </w:tcPr>
                <w:p w14:paraId="486564C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对切割产尘点配套移动式除尘器处理</w:t>
                  </w:r>
                </w:p>
              </w:tc>
              <w:tc>
                <w:tcPr>
                  <w:tcW w:w="1024" w:type="dxa"/>
                  <w:noWrap w:val="0"/>
                  <w:vAlign w:val="center"/>
                </w:tcPr>
                <w:p w14:paraId="4880F5A2">
                  <w:pPr>
                    <w:pStyle w:val="17"/>
                    <w:widowControl w:val="0"/>
                    <w:autoSpaceDE w:val="0"/>
                    <w:autoSpaceDN w:val="0"/>
                    <w:adjustRightInd w:val="0"/>
                    <w:spacing w:before="0" w:beforeAutospacing="0" w:after="0" w:afterAutospacing="0" w:line="34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r>
            <w:tr w14:paraId="4667A0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vMerge w:val="continue"/>
                  <w:noWrap w:val="0"/>
                  <w:vAlign w:val="center"/>
                </w:tcPr>
                <w:p w14:paraId="54B490C6">
                  <w:pPr>
                    <w:pStyle w:val="17"/>
                    <w:widowControl w:val="0"/>
                    <w:autoSpaceDE w:val="0"/>
                    <w:autoSpaceDN w:val="0"/>
                    <w:adjustRightInd w:val="0"/>
                    <w:spacing w:before="0" w:beforeAutospacing="0" w:after="0" w:afterAutospacing="0" w:line="320" w:lineRule="atLeast"/>
                    <w:jc w:val="center"/>
                    <w:rPr>
                      <w:rFonts w:hint="eastAsia" w:ascii="Times New Roman" w:hAnsi="Times New Roman"/>
                      <w:color w:val="auto"/>
                      <w:sz w:val="21"/>
                      <w:szCs w:val="21"/>
                      <w:lang w:val="en-US" w:eastAsia="zh-CN"/>
                    </w:rPr>
                  </w:pPr>
                </w:p>
              </w:tc>
              <w:tc>
                <w:tcPr>
                  <w:tcW w:w="1193" w:type="dxa"/>
                  <w:vMerge w:val="continue"/>
                  <w:noWrap w:val="0"/>
                  <w:vAlign w:val="center"/>
                </w:tcPr>
                <w:p w14:paraId="257ED7E3">
                  <w:pPr>
                    <w:pStyle w:val="17"/>
                    <w:widowControl w:val="0"/>
                    <w:autoSpaceDE w:val="0"/>
                    <w:autoSpaceDN w:val="0"/>
                    <w:adjustRightInd w:val="0"/>
                    <w:spacing w:before="0" w:beforeAutospacing="0" w:after="0" w:afterAutospacing="0" w:line="340" w:lineRule="exact"/>
                    <w:jc w:val="center"/>
                    <w:rPr>
                      <w:rFonts w:ascii="Times New Roman" w:hAnsi="Times New Roman"/>
                      <w:color w:val="auto"/>
                      <w:sz w:val="21"/>
                      <w:szCs w:val="21"/>
                    </w:rPr>
                  </w:pPr>
                </w:p>
              </w:tc>
              <w:tc>
                <w:tcPr>
                  <w:tcW w:w="5257" w:type="dxa"/>
                  <w:noWrap w:val="0"/>
                  <w:vAlign w:val="center"/>
                </w:tcPr>
                <w:p w14:paraId="45016D1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危废暂存间配套集气管道，经收集废气引至1套双级活性炭吸附装置处理，尾气通过1根15m高排气筒DA003排放</w:t>
                  </w:r>
                </w:p>
              </w:tc>
              <w:tc>
                <w:tcPr>
                  <w:tcW w:w="1024" w:type="dxa"/>
                  <w:noWrap w:val="0"/>
                  <w:vAlign w:val="center"/>
                </w:tcPr>
                <w:p w14:paraId="54591317">
                  <w:pPr>
                    <w:pStyle w:val="17"/>
                    <w:widowControl w:val="0"/>
                    <w:autoSpaceDE w:val="0"/>
                    <w:autoSpaceDN w:val="0"/>
                    <w:adjustRightInd w:val="0"/>
                    <w:spacing w:before="0" w:beforeAutospacing="0" w:after="0" w:afterAutospacing="0" w:line="340" w:lineRule="exac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15</w:t>
                  </w:r>
                </w:p>
              </w:tc>
            </w:tr>
            <w:tr w14:paraId="178DCD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14:paraId="22FCDDF3">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ascii="Times New Roman" w:hAnsi="Times New Roman"/>
                      <w:color w:val="auto"/>
                      <w:sz w:val="21"/>
                      <w:szCs w:val="21"/>
                    </w:rPr>
                    <w:t>3</w:t>
                  </w:r>
                </w:p>
              </w:tc>
              <w:tc>
                <w:tcPr>
                  <w:tcW w:w="1193" w:type="dxa"/>
                  <w:noWrap w:val="0"/>
                  <w:vAlign w:val="center"/>
                </w:tcPr>
                <w:p w14:paraId="578618E1">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ascii="Times New Roman" w:hAnsi="Times New Roman"/>
                      <w:color w:val="auto"/>
                      <w:sz w:val="21"/>
                      <w:szCs w:val="21"/>
                    </w:rPr>
                    <w:t>噪声</w:t>
                  </w:r>
                </w:p>
              </w:tc>
              <w:tc>
                <w:tcPr>
                  <w:tcW w:w="5257" w:type="dxa"/>
                  <w:noWrap w:val="0"/>
                  <w:vAlign w:val="center"/>
                </w:tcPr>
                <w:p w14:paraId="00618363">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hint="eastAsia" w:ascii="Times New Roman" w:hAnsi="Times New Roman"/>
                      <w:color w:val="auto"/>
                      <w:sz w:val="21"/>
                      <w:szCs w:val="21"/>
                    </w:rPr>
                    <w:t>厂房隔声、设备基础设置</w:t>
                  </w:r>
                  <w:r>
                    <w:rPr>
                      <w:rFonts w:ascii="Times New Roman" w:hAnsi="Times New Roman"/>
                      <w:color w:val="auto"/>
                      <w:sz w:val="21"/>
                      <w:szCs w:val="21"/>
                    </w:rPr>
                    <w:t>减振垫等综合降噪措施</w:t>
                  </w:r>
                </w:p>
              </w:tc>
              <w:tc>
                <w:tcPr>
                  <w:tcW w:w="1024" w:type="dxa"/>
                  <w:noWrap w:val="0"/>
                  <w:vAlign w:val="center"/>
                </w:tcPr>
                <w:p w14:paraId="670E2BD1">
                  <w:pPr>
                    <w:pStyle w:val="17"/>
                    <w:widowControl w:val="0"/>
                    <w:autoSpaceDE w:val="0"/>
                    <w:autoSpaceDN w:val="0"/>
                    <w:adjustRightInd w:val="0"/>
                    <w:spacing w:before="0" w:beforeAutospacing="0" w:after="0" w:afterAutospacing="0" w:line="32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2.0</w:t>
                  </w:r>
                </w:p>
              </w:tc>
            </w:tr>
            <w:tr w14:paraId="0CA7BA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14:paraId="7E616746">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ascii="Times New Roman" w:hAnsi="Times New Roman"/>
                      <w:color w:val="auto"/>
                      <w:sz w:val="21"/>
                      <w:szCs w:val="21"/>
                    </w:rPr>
                    <w:t>4</w:t>
                  </w:r>
                </w:p>
              </w:tc>
              <w:tc>
                <w:tcPr>
                  <w:tcW w:w="1193" w:type="dxa"/>
                  <w:noWrap w:val="0"/>
                  <w:vAlign w:val="center"/>
                </w:tcPr>
                <w:p w14:paraId="366C2016">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ascii="Times New Roman" w:hAnsi="Times New Roman"/>
                      <w:color w:val="auto"/>
                      <w:sz w:val="21"/>
                      <w:szCs w:val="21"/>
                    </w:rPr>
                    <w:t>固体废物</w:t>
                  </w:r>
                </w:p>
              </w:tc>
              <w:tc>
                <w:tcPr>
                  <w:tcW w:w="5257" w:type="dxa"/>
                  <w:noWrap w:val="0"/>
                  <w:vAlign w:val="center"/>
                </w:tcPr>
                <w:p w14:paraId="31782125">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ascii="Times New Roman" w:hAnsi="Times New Roman"/>
                      <w:color w:val="auto"/>
                      <w:sz w:val="21"/>
                      <w:szCs w:val="21"/>
                    </w:rPr>
                    <w:t>垃圾收集装置，</w:t>
                  </w:r>
                  <w:r>
                    <w:rPr>
                      <w:rFonts w:hint="eastAsia" w:ascii="Times New Roman" w:hAnsi="Times New Roman"/>
                      <w:color w:val="auto"/>
                      <w:sz w:val="21"/>
                      <w:szCs w:val="21"/>
                    </w:rPr>
                    <w:t>一般工业固废暂存间、</w:t>
                  </w:r>
                  <w:r>
                    <w:rPr>
                      <w:rFonts w:ascii="Times New Roman" w:hAnsi="Times New Roman"/>
                      <w:color w:val="auto"/>
                      <w:sz w:val="21"/>
                      <w:szCs w:val="21"/>
                    </w:rPr>
                    <w:t>危险废物暂存间及委托处置</w:t>
                  </w:r>
                  <w:r>
                    <w:rPr>
                      <w:rFonts w:hint="eastAsia" w:ascii="Times New Roman" w:hAnsi="Times New Roman"/>
                      <w:color w:val="auto"/>
                      <w:sz w:val="21"/>
                      <w:szCs w:val="21"/>
                    </w:rPr>
                    <w:t>等</w:t>
                  </w:r>
                </w:p>
              </w:tc>
              <w:tc>
                <w:tcPr>
                  <w:tcW w:w="1024" w:type="dxa"/>
                  <w:noWrap w:val="0"/>
                  <w:vAlign w:val="center"/>
                </w:tcPr>
                <w:p w14:paraId="39631728">
                  <w:pPr>
                    <w:pStyle w:val="17"/>
                    <w:widowControl w:val="0"/>
                    <w:autoSpaceDE w:val="0"/>
                    <w:autoSpaceDN w:val="0"/>
                    <w:adjustRightInd w:val="0"/>
                    <w:spacing w:before="0" w:beforeAutospacing="0" w:after="0" w:afterAutospacing="0" w:line="320" w:lineRule="atLeast"/>
                    <w:jc w:val="center"/>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5.0</w:t>
                  </w:r>
                </w:p>
              </w:tc>
            </w:tr>
            <w:tr w14:paraId="11CCEB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14:paraId="311E0E88">
                  <w:pPr>
                    <w:pStyle w:val="17"/>
                    <w:widowControl w:val="0"/>
                    <w:autoSpaceDE w:val="0"/>
                    <w:autoSpaceDN w:val="0"/>
                    <w:adjustRightInd w:val="0"/>
                    <w:spacing w:before="0" w:beforeAutospacing="0" w:after="0" w:afterAutospacing="0" w:line="320" w:lineRule="atLeast"/>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w:t>
                  </w:r>
                </w:p>
              </w:tc>
              <w:tc>
                <w:tcPr>
                  <w:tcW w:w="1193" w:type="dxa"/>
                  <w:noWrap w:val="0"/>
                  <w:vAlign w:val="center"/>
                </w:tcPr>
                <w:p w14:paraId="58D1EEF8">
                  <w:pPr>
                    <w:pStyle w:val="17"/>
                    <w:widowControl w:val="0"/>
                    <w:autoSpaceDE w:val="0"/>
                    <w:autoSpaceDN w:val="0"/>
                    <w:adjustRightInd w:val="0"/>
                    <w:spacing w:before="0" w:beforeAutospacing="0" w:after="0" w:afterAutospacing="0" w:line="320" w:lineRule="atLeas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地下水及土壤</w:t>
                  </w:r>
                </w:p>
              </w:tc>
              <w:tc>
                <w:tcPr>
                  <w:tcW w:w="5257" w:type="dxa"/>
                  <w:noWrap w:val="0"/>
                  <w:vAlign w:val="center"/>
                </w:tcPr>
                <w:p w14:paraId="139A316A">
                  <w:pPr>
                    <w:pStyle w:val="17"/>
                    <w:widowControl w:val="0"/>
                    <w:autoSpaceDE w:val="0"/>
                    <w:autoSpaceDN w:val="0"/>
                    <w:adjustRightInd w:val="0"/>
                    <w:spacing w:before="0" w:beforeAutospacing="0" w:after="0" w:afterAutospacing="0" w:line="320" w:lineRule="atLeas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分区防渗</w:t>
                  </w:r>
                </w:p>
              </w:tc>
              <w:tc>
                <w:tcPr>
                  <w:tcW w:w="1024" w:type="dxa"/>
                  <w:noWrap w:val="0"/>
                  <w:vAlign w:val="center"/>
                </w:tcPr>
                <w:p w14:paraId="557391DD">
                  <w:pPr>
                    <w:pStyle w:val="17"/>
                    <w:widowControl w:val="0"/>
                    <w:autoSpaceDE w:val="0"/>
                    <w:autoSpaceDN w:val="0"/>
                    <w:adjustRightInd w:val="0"/>
                    <w:spacing w:before="0" w:beforeAutospacing="0" w:after="0" w:afterAutospacing="0" w:line="320" w:lineRule="atLeas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r>
            <w:tr w14:paraId="68B6FC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02" w:type="dxa"/>
                  <w:noWrap w:val="0"/>
                  <w:vAlign w:val="center"/>
                </w:tcPr>
                <w:p w14:paraId="7A46E24F">
                  <w:pPr>
                    <w:pStyle w:val="17"/>
                    <w:widowControl w:val="0"/>
                    <w:autoSpaceDE w:val="0"/>
                    <w:autoSpaceDN w:val="0"/>
                    <w:adjustRightInd w:val="0"/>
                    <w:spacing w:before="0" w:beforeAutospacing="0" w:after="0" w:afterAutospacing="0" w:line="32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1193" w:type="dxa"/>
                  <w:noWrap w:val="0"/>
                  <w:vAlign w:val="center"/>
                </w:tcPr>
                <w:p w14:paraId="06FDB459">
                  <w:pPr>
                    <w:pStyle w:val="17"/>
                    <w:widowControl w:val="0"/>
                    <w:autoSpaceDE w:val="0"/>
                    <w:autoSpaceDN w:val="0"/>
                    <w:adjustRightInd w:val="0"/>
                    <w:spacing w:before="0" w:beforeAutospacing="0" w:after="0" w:afterAutospacing="0" w:line="32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highlight w:val="none"/>
                      <w:lang w:val="en-US" w:eastAsia="zh-CN"/>
                    </w:rPr>
                    <w:t>环境风险</w:t>
                  </w:r>
                </w:p>
              </w:tc>
              <w:tc>
                <w:tcPr>
                  <w:tcW w:w="5257" w:type="dxa"/>
                  <w:noWrap w:val="0"/>
                  <w:vAlign w:val="center"/>
                </w:tcPr>
                <w:p w14:paraId="414261B9">
                  <w:pPr>
                    <w:pStyle w:val="17"/>
                    <w:widowControl w:val="0"/>
                    <w:autoSpaceDE w:val="0"/>
                    <w:autoSpaceDN w:val="0"/>
                    <w:adjustRightInd w:val="0"/>
                    <w:spacing w:before="0" w:beforeAutospacing="0" w:after="0" w:afterAutospacing="0" w:line="320" w:lineRule="atLeast"/>
                    <w:jc w:val="center"/>
                    <w:rPr>
                      <w:rFonts w:hint="default" w:ascii="Times New Roman" w:hAnsi="Times New Roman" w:eastAsia="宋体"/>
                      <w:color w:val="auto"/>
                      <w:sz w:val="21"/>
                      <w:szCs w:val="21"/>
                      <w:lang w:val="en-US" w:eastAsia="zh-CN"/>
                    </w:rPr>
                  </w:pPr>
                  <w:r>
                    <w:rPr>
                      <w:rFonts w:hint="default" w:ascii="Times New Roman" w:hAnsi="Times New Roman" w:eastAsia="宋体" w:cs="Times New Roman"/>
                      <w:color w:val="auto"/>
                      <w:sz w:val="21"/>
                      <w:szCs w:val="21"/>
                      <w:lang w:val="en-GB" w:eastAsia="zh-CN"/>
                    </w:rPr>
                    <w:t>制订应急预案</w:t>
                  </w:r>
                  <w:r>
                    <w:rPr>
                      <w:rFonts w:hint="eastAsia" w:ascii="Times New Roman" w:hAnsi="Times New Roman" w:eastAsia="宋体" w:cs="Times New Roman"/>
                      <w:color w:val="auto"/>
                      <w:sz w:val="21"/>
                      <w:szCs w:val="21"/>
                      <w:lang w:val="en-GB" w:eastAsia="zh-CN"/>
                    </w:rPr>
                    <w:t>，</w:t>
                  </w:r>
                  <w:r>
                    <w:rPr>
                      <w:rFonts w:hint="eastAsia" w:ascii="Times New Roman" w:hAnsi="Times New Roman" w:eastAsia="宋体" w:cs="Times New Roman"/>
                      <w:color w:val="auto"/>
                      <w:sz w:val="21"/>
                      <w:szCs w:val="21"/>
                      <w:lang w:val="en-US" w:eastAsia="zh-CN"/>
                    </w:rPr>
                    <w:t>配套</w:t>
                  </w:r>
                  <w:r>
                    <w:rPr>
                      <w:rFonts w:hint="eastAsia" w:ascii="Times New Roman" w:hAnsi="Times New Roman"/>
                      <w:color w:val="auto"/>
                      <w:sz w:val="21"/>
                      <w:szCs w:val="21"/>
                      <w:lang w:val="en-US" w:eastAsia="zh-CN"/>
                    </w:rPr>
                    <w:t>应急物资</w:t>
                  </w:r>
                </w:p>
              </w:tc>
              <w:tc>
                <w:tcPr>
                  <w:tcW w:w="1024" w:type="dxa"/>
                  <w:noWrap w:val="0"/>
                  <w:vAlign w:val="center"/>
                </w:tcPr>
                <w:p w14:paraId="6E67C6A7">
                  <w:pPr>
                    <w:pStyle w:val="17"/>
                    <w:widowControl w:val="0"/>
                    <w:autoSpaceDE w:val="0"/>
                    <w:autoSpaceDN w:val="0"/>
                    <w:adjustRightInd w:val="0"/>
                    <w:spacing w:before="0" w:beforeAutospacing="0" w:after="0" w:afterAutospacing="0" w:line="320" w:lineRule="atLeast"/>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3.0</w:t>
                  </w:r>
                </w:p>
              </w:tc>
            </w:tr>
            <w:tr w14:paraId="7D437A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52" w:type="dxa"/>
                  <w:gridSpan w:val="3"/>
                  <w:noWrap w:val="0"/>
                  <w:vAlign w:val="center"/>
                </w:tcPr>
                <w:p w14:paraId="38F60DA1">
                  <w:pPr>
                    <w:pStyle w:val="17"/>
                    <w:widowControl w:val="0"/>
                    <w:autoSpaceDE w:val="0"/>
                    <w:autoSpaceDN w:val="0"/>
                    <w:adjustRightInd w:val="0"/>
                    <w:spacing w:before="0" w:beforeAutospacing="0" w:after="0" w:afterAutospacing="0" w:line="320" w:lineRule="atLeast"/>
                    <w:jc w:val="center"/>
                    <w:rPr>
                      <w:rFonts w:ascii="Times New Roman" w:hAnsi="Times New Roman"/>
                      <w:color w:val="auto"/>
                      <w:sz w:val="21"/>
                      <w:szCs w:val="21"/>
                    </w:rPr>
                  </w:pPr>
                  <w:r>
                    <w:rPr>
                      <w:rFonts w:ascii="Times New Roman" w:hAnsi="Times New Roman"/>
                      <w:color w:val="auto"/>
                      <w:sz w:val="21"/>
                      <w:szCs w:val="21"/>
                    </w:rPr>
                    <w:t>合  计</w:t>
                  </w:r>
                </w:p>
              </w:tc>
              <w:tc>
                <w:tcPr>
                  <w:tcW w:w="1024" w:type="dxa"/>
                  <w:noWrap w:val="0"/>
                  <w:vAlign w:val="center"/>
                </w:tcPr>
                <w:p w14:paraId="649C842E">
                  <w:pPr>
                    <w:pStyle w:val="17"/>
                    <w:widowControl w:val="0"/>
                    <w:autoSpaceDE w:val="0"/>
                    <w:autoSpaceDN w:val="0"/>
                    <w:adjustRightInd w:val="0"/>
                    <w:spacing w:before="0" w:beforeAutospacing="0" w:after="0" w:afterAutospacing="0" w:line="320" w:lineRule="atLeas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140.0</w:t>
                  </w:r>
                </w:p>
              </w:tc>
            </w:tr>
          </w:tbl>
          <w:p w14:paraId="4ECCC410">
            <w:pPr>
              <w:pStyle w:val="17"/>
              <w:jc w:val="both"/>
              <w:outlineLvl w:val="0"/>
              <w:rPr>
                <w:rFonts w:hint="default" w:ascii="Times New Roman" w:hAnsi="Times New Roman" w:eastAsia="黑体" w:cs="Times New Roman"/>
                <w:snapToGrid w:val="0"/>
                <w:color w:val="auto"/>
                <w:sz w:val="30"/>
                <w:szCs w:val="30"/>
                <w:vertAlign w:val="baseline"/>
              </w:rPr>
            </w:pPr>
          </w:p>
        </w:tc>
      </w:tr>
    </w:tbl>
    <w:p w14:paraId="2DD44AFE">
      <w:pPr>
        <w:pStyle w:val="17"/>
        <w:jc w:val="both"/>
        <w:outlineLvl w:val="0"/>
        <w:rPr>
          <w:rFonts w:hint="default" w:ascii="Times New Roman" w:hAnsi="Times New Roman" w:eastAsia="黑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D2D072C">
      <w:pPr>
        <w:pStyle w:val="17"/>
        <w:jc w:val="center"/>
        <w:outlineLvl w:val="0"/>
        <w:rPr>
          <w:rFonts w:hint="default" w:ascii="Times New Roman" w:hAnsi="Times New Roman" w:eastAsia="黑体" w:cs="Times New Roman"/>
          <w:snapToGrid w:val="0"/>
          <w:color w:val="auto"/>
          <w:sz w:val="30"/>
          <w:szCs w:val="30"/>
          <w:highlight w:val="none"/>
        </w:rPr>
      </w:pPr>
      <w:bookmarkStart w:id="38" w:name="_Toc18499"/>
      <w:r>
        <w:rPr>
          <w:rFonts w:hint="default" w:ascii="Times New Roman" w:hAnsi="Times New Roman" w:eastAsia="黑体" w:cs="Times New Roman"/>
          <w:snapToGrid w:val="0"/>
          <w:color w:val="auto"/>
          <w:sz w:val="30"/>
          <w:szCs w:val="30"/>
          <w:highlight w:val="none"/>
        </w:rPr>
        <w:t>五、</w:t>
      </w:r>
      <w:bookmarkStart w:id="39" w:name="_Hlk54167917"/>
      <w:r>
        <w:rPr>
          <w:rFonts w:hint="default" w:ascii="Times New Roman" w:hAnsi="Times New Roman" w:eastAsia="黑体" w:cs="Times New Roman"/>
          <w:snapToGrid w:val="0"/>
          <w:color w:val="auto"/>
          <w:sz w:val="30"/>
          <w:szCs w:val="30"/>
          <w:highlight w:val="none"/>
        </w:rPr>
        <w:t>环境保护措施监督检查清单</w:t>
      </w:r>
      <w:bookmarkEnd w:id="38"/>
      <w:bookmarkEnd w:id="39"/>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066"/>
        <w:gridCol w:w="1014"/>
        <w:gridCol w:w="2786"/>
        <w:gridCol w:w="2874"/>
      </w:tblGrid>
      <w:tr w14:paraId="03C954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tcBorders>
              <w:tl2br w:val="single" w:color="auto" w:sz="4" w:space="0"/>
            </w:tcBorders>
            <w:noWrap w:val="0"/>
            <w:vAlign w:val="top"/>
          </w:tcPr>
          <w:p w14:paraId="524CF35D">
            <w:pPr>
              <w:keepNext w:val="0"/>
              <w:keepLines w:val="0"/>
              <w:pageBreakBefore w:val="0"/>
              <w:widowControl w:val="0"/>
              <w:kinsoku/>
              <w:wordWrap/>
              <w:overflowPunct/>
              <w:topLinePunct w:val="0"/>
              <w:bidi w:val="0"/>
              <w:adjustRightInd w:val="0"/>
              <w:snapToGrid w:val="0"/>
              <w:spacing w:line="340" w:lineRule="exact"/>
              <w:jc w:val="righ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p w14:paraId="3D350CB9">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cs="Times New Roman"/>
                <w:color w:val="auto"/>
                <w:sz w:val="21"/>
                <w:szCs w:val="21"/>
              </w:rPr>
            </w:pPr>
          </w:p>
          <w:p w14:paraId="03002457">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要素</w:t>
            </w:r>
          </w:p>
        </w:tc>
        <w:tc>
          <w:tcPr>
            <w:tcW w:w="1066" w:type="dxa"/>
            <w:noWrap w:val="0"/>
            <w:vAlign w:val="center"/>
          </w:tcPr>
          <w:p w14:paraId="1B998E4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排放口(编号、名称)/污染源</w:t>
            </w:r>
          </w:p>
        </w:tc>
        <w:tc>
          <w:tcPr>
            <w:tcW w:w="1014" w:type="dxa"/>
            <w:noWrap w:val="0"/>
            <w:vAlign w:val="center"/>
          </w:tcPr>
          <w:p w14:paraId="2E4FC8C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p w14:paraId="770B8ED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2786" w:type="dxa"/>
            <w:noWrap w:val="0"/>
            <w:vAlign w:val="center"/>
          </w:tcPr>
          <w:p w14:paraId="1F052B7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环境保护措施</w:t>
            </w:r>
          </w:p>
        </w:tc>
        <w:tc>
          <w:tcPr>
            <w:tcW w:w="2874" w:type="dxa"/>
            <w:noWrap w:val="0"/>
            <w:vAlign w:val="center"/>
          </w:tcPr>
          <w:p w14:paraId="49DD43A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14:paraId="72DAA7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restart"/>
            <w:noWrap w:val="0"/>
            <w:vAlign w:val="center"/>
          </w:tcPr>
          <w:p w14:paraId="46975E5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1066" w:type="dxa"/>
            <w:noWrap w:val="0"/>
            <w:vAlign w:val="center"/>
          </w:tcPr>
          <w:p w14:paraId="42CA4F06">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1</w:t>
            </w:r>
          </w:p>
          <w:p w14:paraId="362DA70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/预处理废液抽取废气</w:t>
            </w:r>
          </w:p>
        </w:tc>
        <w:tc>
          <w:tcPr>
            <w:tcW w:w="1014" w:type="dxa"/>
            <w:noWrap w:val="0"/>
            <w:vAlign w:val="center"/>
          </w:tcPr>
          <w:p w14:paraId="7B6AF05B">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非甲烷</w:t>
            </w:r>
          </w:p>
          <w:p w14:paraId="5F9E661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总烃</w:t>
            </w:r>
          </w:p>
        </w:tc>
        <w:tc>
          <w:tcPr>
            <w:tcW w:w="2786" w:type="dxa"/>
            <w:noWrap w:val="0"/>
            <w:vAlign w:val="center"/>
          </w:tcPr>
          <w:p w14:paraId="3F661F09">
            <w:pPr>
              <w:pStyle w:val="38"/>
              <w:keepNext w:val="0"/>
              <w:keepLines w:val="0"/>
              <w:pageBreakBefore w:val="0"/>
              <w:widowControl w:val="0"/>
              <w:kinsoku/>
              <w:wordWrap/>
              <w:overflowPunct/>
              <w:topLinePunct w:val="0"/>
              <w:autoSpaceDE/>
              <w:autoSpaceDN/>
              <w:bidi w:val="0"/>
              <w:adjustRightInd w:val="0"/>
              <w:snapToGrid w:val="0"/>
              <w:spacing w:before="0" w:line="34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highlight w:val="none"/>
                <w:lang w:val="en-US" w:eastAsia="zh-CN"/>
              </w:rPr>
              <w:t>预处理车间密闭，仅保留进出通道（加设软帘），废旧机动车废油液、废制冷剂分别采用专门抽取装置抽取排空，抽取后废液通过管道送至密闭废液收集容器分类储存，使用顶吸集气罩对作业点位进行废气收集，收集的废气引至1套“过滤棉+双级活性炭吸附装置”处理，尾气通过1根15m高排气筒DA001排放</w:t>
            </w:r>
          </w:p>
        </w:tc>
        <w:tc>
          <w:tcPr>
            <w:tcW w:w="2874" w:type="dxa"/>
            <w:vMerge w:val="restart"/>
            <w:noWrap w:val="0"/>
            <w:vAlign w:val="center"/>
          </w:tcPr>
          <w:p w14:paraId="306ACB9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color w:val="auto"/>
                <w:lang w:val="en-US" w:eastAsia="zh-CN"/>
              </w:rPr>
              <w:t>有组织非甲烷总烃执行《大气污染物综合排放标准》(GB16297-1996)表2二级标准限值</w:t>
            </w:r>
            <w:r>
              <w:rPr>
                <w:rFonts w:hint="default" w:ascii="Times New Roman" w:hAnsi="Times New Roman" w:eastAsia="宋体" w:cs="Times New Roman"/>
                <w:color w:val="auto"/>
                <w:lang w:val="en-US" w:eastAsia="zh-CN"/>
              </w:rPr>
              <w:t>(</w:t>
            </w:r>
            <w:r>
              <w:rPr>
                <w:rFonts w:hint="default" w:ascii="Times New Roman" w:hAnsi="Times New Roman"/>
                <w:color w:val="auto"/>
                <w:lang w:val="en-US" w:eastAsia="zh-CN"/>
              </w:rPr>
              <w:t>即非甲烷总烃≤</w:t>
            </w:r>
            <w:r>
              <w:rPr>
                <w:rFonts w:hint="eastAsia" w:ascii="Times New Roman" w:hAnsi="Times New Roman"/>
                <w:color w:val="auto"/>
                <w:lang w:val="en-US" w:eastAsia="zh-CN"/>
              </w:rPr>
              <w:t>120</w:t>
            </w:r>
            <w:r>
              <w:rPr>
                <w:rFonts w:hint="default" w:ascii="Times New Roman" w:hAnsi="Times New Roman"/>
                <w:color w:val="auto"/>
                <w:lang w:val="en-US" w:eastAsia="zh-CN"/>
              </w:rPr>
              <w:t>mg/m</w:t>
            </w:r>
            <w:r>
              <w:rPr>
                <w:rFonts w:hint="default" w:ascii="Times New Roman" w:hAnsi="Times New Roman"/>
                <w:color w:val="auto"/>
                <w:vertAlign w:val="superscript"/>
                <w:lang w:val="en-US" w:eastAsia="zh-CN"/>
              </w:rPr>
              <w:t>3</w:t>
            </w:r>
            <w:r>
              <w:rPr>
                <w:rFonts w:hint="default" w:ascii="Times New Roman" w:hAnsi="Times New Roman"/>
                <w:color w:val="auto"/>
                <w:lang w:val="en-US" w:eastAsia="zh-CN"/>
              </w:rPr>
              <w:t>；</w:t>
            </w:r>
            <w:r>
              <w:rPr>
                <w:rFonts w:hint="default" w:ascii="Times New Roman" w:hAnsi="Times New Roman" w:eastAsia="宋体" w:cs="Times New Roman"/>
                <w:color w:val="auto"/>
                <w:sz w:val="21"/>
                <w:szCs w:val="21"/>
                <w:vertAlign w:val="baseline"/>
                <w:lang w:val="en-US" w:eastAsia="zh-CN"/>
              </w:rPr>
              <w:t>排气筒高度为15m时，排放速率</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kg/h</w:t>
            </w:r>
            <w:r>
              <w:rPr>
                <w:rFonts w:hint="eastAsia" w:ascii="Times New Roman" w:hAnsi="Times New Roman" w:eastAsia="宋体" w:cs="Times New Roman"/>
                <w:color w:val="auto"/>
                <w:sz w:val="21"/>
                <w:szCs w:val="21"/>
                <w:lang w:val="en-US" w:eastAsia="zh-CN"/>
              </w:rPr>
              <w:t>（从严50%）</w:t>
            </w:r>
            <w:r>
              <w:rPr>
                <w:rFonts w:hint="default" w:ascii="Times New Roman" w:hAnsi="Times New Roman"/>
                <w:color w:val="auto"/>
                <w:lang w:val="en-US" w:eastAsia="zh-CN"/>
              </w:rPr>
              <w:t>)</w:t>
            </w:r>
          </w:p>
        </w:tc>
      </w:tr>
      <w:tr w14:paraId="64F086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53B657A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p>
        </w:tc>
        <w:tc>
          <w:tcPr>
            <w:tcW w:w="1066" w:type="dxa"/>
            <w:noWrap w:val="0"/>
            <w:vAlign w:val="center"/>
          </w:tcPr>
          <w:p w14:paraId="1E912F4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2</w:t>
            </w:r>
          </w:p>
          <w:p w14:paraId="1C9BF1C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/废变压器油抽取废气</w:t>
            </w:r>
          </w:p>
        </w:tc>
        <w:tc>
          <w:tcPr>
            <w:tcW w:w="1014" w:type="dxa"/>
            <w:noWrap w:val="0"/>
            <w:vAlign w:val="center"/>
          </w:tcPr>
          <w:p w14:paraId="553DC895">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非甲烷</w:t>
            </w:r>
          </w:p>
          <w:p w14:paraId="19053F4E">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总烃</w:t>
            </w:r>
          </w:p>
        </w:tc>
        <w:tc>
          <w:tcPr>
            <w:tcW w:w="2786" w:type="dxa"/>
            <w:noWrap w:val="0"/>
            <w:vAlign w:val="center"/>
          </w:tcPr>
          <w:p w14:paraId="3D64C104">
            <w:pPr>
              <w:pStyle w:val="38"/>
              <w:keepNext w:val="0"/>
              <w:keepLines w:val="0"/>
              <w:pageBreakBefore w:val="0"/>
              <w:widowControl w:val="0"/>
              <w:kinsoku/>
              <w:wordWrap/>
              <w:overflowPunct/>
              <w:topLinePunct w:val="0"/>
              <w:autoSpaceDE/>
              <w:autoSpaceDN/>
              <w:bidi w:val="0"/>
              <w:adjustRightInd w:val="0"/>
              <w:snapToGrid w:val="0"/>
              <w:spacing w:before="0" w:line="34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宋体"/>
                <w:color w:val="auto"/>
                <w:lang w:val="en-US" w:eastAsia="zh-CN"/>
              </w:rPr>
              <w:t>变压器拆解车间密闭，仅保留进出通道（加设软帘），变压器废油液采用专门抽取装置抽取排空，抽取后废液通过密闭管道送至密闭废液收集容器储存，使用顶吸集气罩对作业点位进行废气收集，收集的废气引至1套</w:t>
            </w:r>
            <w:r>
              <w:rPr>
                <w:rFonts w:hint="eastAsia" w:ascii="Times New Roman" w:hAnsi="Times New Roman" w:eastAsia="宋体" w:cs="Times New Roman"/>
                <w:color w:val="auto"/>
                <w:kern w:val="0"/>
                <w:sz w:val="21"/>
                <w:szCs w:val="21"/>
                <w:highlight w:val="none"/>
                <w:lang w:val="en-US" w:eastAsia="zh-CN"/>
              </w:rPr>
              <w:t>“过滤棉+双级活性炭吸附装置”</w:t>
            </w:r>
            <w:r>
              <w:rPr>
                <w:rFonts w:hint="eastAsia" w:ascii="Times New Roman" w:hAnsi="Times New Roman" w:eastAsia="宋体" w:cs="宋体"/>
                <w:color w:val="auto"/>
                <w:lang w:val="en-US" w:eastAsia="zh-CN"/>
              </w:rPr>
              <w:t>处理，尾气通过1根15m高排气筒DA002排放</w:t>
            </w:r>
          </w:p>
        </w:tc>
        <w:tc>
          <w:tcPr>
            <w:tcW w:w="2874" w:type="dxa"/>
            <w:vMerge w:val="continue"/>
            <w:noWrap w:val="0"/>
            <w:vAlign w:val="center"/>
          </w:tcPr>
          <w:p w14:paraId="7263B9D6">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eastAsia="宋体" w:cs="Times New Roman"/>
                <w:color w:val="auto"/>
                <w:lang w:val="en-US" w:eastAsia="zh-CN"/>
              </w:rPr>
            </w:pPr>
          </w:p>
        </w:tc>
      </w:tr>
      <w:tr w14:paraId="1102E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66F7913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p>
        </w:tc>
        <w:tc>
          <w:tcPr>
            <w:tcW w:w="1066" w:type="dxa"/>
            <w:noWrap w:val="0"/>
            <w:vAlign w:val="center"/>
          </w:tcPr>
          <w:p w14:paraId="4490687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DA003/危废暂存废气</w:t>
            </w:r>
          </w:p>
        </w:tc>
        <w:tc>
          <w:tcPr>
            <w:tcW w:w="1014" w:type="dxa"/>
            <w:noWrap w:val="0"/>
            <w:vAlign w:val="center"/>
          </w:tcPr>
          <w:p w14:paraId="514238E6">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非甲烷</w:t>
            </w:r>
          </w:p>
          <w:p w14:paraId="5708725F">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总烃</w:t>
            </w:r>
          </w:p>
        </w:tc>
        <w:tc>
          <w:tcPr>
            <w:tcW w:w="2786" w:type="dxa"/>
            <w:noWrap w:val="0"/>
            <w:vAlign w:val="center"/>
          </w:tcPr>
          <w:p w14:paraId="50D0FFBD">
            <w:pPr>
              <w:pStyle w:val="38"/>
              <w:keepNext w:val="0"/>
              <w:keepLines w:val="0"/>
              <w:pageBreakBefore w:val="0"/>
              <w:widowControl w:val="0"/>
              <w:kinsoku/>
              <w:wordWrap/>
              <w:overflowPunct/>
              <w:topLinePunct w:val="0"/>
              <w:autoSpaceDE/>
              <w:autoSpaceDN/>
              <w:bidi w:val="0"/>
              <w:adjustRightInd w:val="0"/>
              <w:snapToGrid w:val="0"/>
              <w:spacing w:before="0" w:line="340" w:lineRule="exact"/>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危废暂存废气经集气管道收集后引至1套双级活性炭吸附装置处理，尾气通过1根15m高排气筒DA003排放</w:t>
            </w:r>
          </w:p>
        </w:tc>
        <w:tc>
          <w:tcPr>
            <w:tcW w:w="2874" w:type="dxa"/>
            <w:vMerge w:val="continue"/>
            <w:noWrap w:val="0"/>
            <w:vAlign w:val="center"/>
          </w:tcPr>
          <w:p w14:paraId="26A78846">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eastAsia="宋体" w:cs="Times New Roman"/>
                <w:color w:val="auto"/>
                <w:lang w:val="en-US" w:eastAsia="zh-CN"/>
              </w:rPr>
            </w:pPr>
          </w:p>
        </w:tc>
      </w:tr>
      <w:tr w14:paraId="0D879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60" w:type="dxa"/>
            <w:vMerge w:val="continue"/>
            <w:noWrap w:val="0"/>
            <w:vAlign w:val="center"/>
          </w:tcPr>
          <w:p w14:paraId="3835A7A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p>
        </w:tc>
        <w:tc>
          <w:tcPr>
            <w:tcW w:w="1066" w:type="dxa"/>
            <w:noWrap w:val="0"/>
            <w:vAlign w:val="center"/>
          </w:tcPr>
          <w:p w14:paraId="038C403F">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厂界</w:t>
            </w:r>
          </w:p>
          <w:p w14:paraId="56D6D0E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无组织</w:t>
            </w:r>
          </w:p>
        </w:tc>
        <w:tc>
          <w:tcPr>
            <w:tcW w:w="1014" w:type="dxa"/>
            <w:noWrap w:val="0"/>
            <w:vAlign w:val="center"/>
          </w:tcPr>
          <w:p w14:paraId="6DE8B82D">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颗粒物、非甲烷</w:t>
            </w:r>
          </w:p>
          <w:p w14:paraId="384E9BB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总烃、臭气浓度</w:t>
            </w:r>
          </w:p>
        </w:tc>
        <w:tc>
          <w:tcPr>
            <w:tcW w:w="2786" w:type="dxa"/>
            <w:noWrap w:val="0"/>
            <w:vAlign w:val="center"/>
          </w:tcPr>
          <w:p w14:paraId="129AD80C">
            <w:pPr>
              <w:keepNext w:val="0"/>
              <w:keepLines w:val="0"/>
              <w:pageBreakBefore w:val="0"/>
              <w:widowControl w:val="0"/>
              <w:kinsoku/>
              <w:wordWrap/>
              <w:overflowPunct/>
              <w:topLinePunct w:val="0"/>
              <w:bidi w:val="0"/>
              <w:adjustRightInd w:val="0"/>
              <w:snapToGrid w:val="0"/>
              <w:spacing w:line="340" w:lineRule="exact"/>
              <w:jc w:val="both"/>
              <w:textAlignment w:val="auto"/>
              <w:rPr>
                <w:rFonts w:hint="default" w:ascii="Times New Roman" w:hAnsi="Times New Roman" w:eastAsia="宋体" w:cs="Times New Roman"/>
                <w:color w:val="auto"/>
                <w:kern w:val="0"/>
                <w:sz w:val="21"/>
                <w:szCs w:val="21"/>
                <w:highlight w:val="none"/>
                <w:lang w:val="en-US" w:eastAsia="zh-CN" w:bidi="he-IL"/>
              </w:rPr>
            </w:pPr>
            <w:r>
              <w:rPr>
                <w:rFonts w:hint="default" w:ascii="Times New Roman" w:hAnsi="Times New Roman" w:eastAsia="宋体" w:cs="Times New Roman"/>
                <w:color w:val="auto"/>
                <w:kern w:val="0"/>
                <w:sz w:val="21"/>
                <w:szCs w:val="21"/>
                <w:highlight w:val="none"/>
                <w:lang w:val="en-US" w:eastAsia="zh-CN" w:bidi="he-IL"/>
              </w:rPr>
              <w:t>①</w:t>
            </w:r>
            <w:r>
              <w:rPr>
                <w:rFonts w:hint="eastAsia" w:ascii="Times New Roman" w:hAnsi="Times New Roman" w:eastAsia="宋体" w:cs="Times New Roman"/>
                <w:color w:val="auto"/>
                <w:kern w:val="0"/>
                <w:sz w:val="21"/>
                <w:szCs w:val="21"/>
                <w:highlight w:val="none"/>
                <w:lang w:val="en-US" w:eastAsia="zh-CN" w:bidi="he-IL"/>
              </w:rPr>
              <w:t>对切割产尘点配套移动式布袋除尘器处理；</w:t>
            </w:r>
          </w:p>
          <w:p w14:paraId="28699F7C">
            <w:pPr>
              <w:keepNext w:val="0"/>
              <w:keepLines w:val="0"/>
              <w:pageBreakBefore w:val="0"/>
              <w:widowControl w:val="0"/>
              <w:kinsoku/>
              <w:wordWrap/>
              <w:overflowPunct/>
              <w:topLinePunct w:val="0"/>
              <w:bidi w:val="0"/>
              <w:adjustRightInd w:val="0"/>
              <w:snapToGrid w:val="0"/>
              <w:spacing w:line="340" w:lineRule="exact"/>
              <w:jc w:val="both"/>
              <w:textAlignment w:val="auto"/>
              <w:rPr>
                <w:rFonts w:hint="default" w:ascii="Times New Roman" w:hAnsi="Times New Roman" w:eastAsia="宋体" w:cs="Times New Roman"/>
                <w:color w:val="auto"/>
                <w:kern w:val="0"/>
                <w:sz w:val="21"/>
                <w:szCs w:val="21"/>
                <w:highlight w:val="none"/>
                <w:lang w:val="en-US" w:eastAsia="zh-CN" w:bidi="he-IL"/>
              </w:rPr>
            </w:pPr>
            <w:r>
              <w:rPr>
                <w:rFonts w:hint="default" w:ascii="Times New Roman" w:hAnsi="Times New Roman" w:eastAsia="宋体" w:cs="Times New Roman"/>
                <w:color w:val="auto"/>
                <w:kern w:val="0"/>
                <w:sz w:val="21"/>
                <w:szCs w:val="21"/>
                <w:highlight w:val="none"/>
                <w:lang w:val="en-US" w:eastAsia="zh-CN" w:bidi="he-IL"/>
              </w:rPr>
              <w:t>②</w:t>
            </w:r>
            <w:r>
              <w:rPr>
                <w:rFonts w:hint="eastAsia" w:ascii="Times New Roman" w:hAnsi="Times New Roman" w:eastAsia="宋体" w:cs="Times New Roman"/>
                <w:color w:val="auto"/>
                <w:kern w:val="0"/>
                <w:sz w:val="21"/>
                <w:szCs w:val="21"/>
                <w:highlight w:val="none"/>
                <w:lang w:val="en-US" w:eastAsia="zh-CN" w:bidi="he-IL"/>
              </w:rPr>
              <w:t>安全气囊引爆配套密闭引爆箱；</w:t>
            </w:r>
          </w:p>
          <w:p w14:paraId="744F8FFE">
            <w:pPr>
              <w:keepNext w:val="0"/>
              <w:keepLines w:val="0"/>
              <w:pageBreakBefore w:val="0"/>
              <w:widowControl w:val="0"/>
              <w:kinsoku/>
              <w:wordWrap/>
              <w:overflowPunct/>
              <w:topLinePunct w:val="0"/>
              <w:bidi w:val="0"/>
              <w:adjustRightInd w:val="0"/>
              <w:snapToGrid w:val="0"/>
              <w:spacing w:line="340" w:lineRule="exact"/>
              <w:jc w:val="both"/>
              <w:textAlignment w:val="auto"/>
              <w:rPr>
                <w:rFonts w:hint="eastAsia" w:ascii="Times New Roman" w:hAnsi="Times New Roman" w:eastAsia="宋体" w:cs="Times New Roman"/>
                <w:color w:val="auto"/>
                <w:kern w:val="0"/>
                <w:sz w:val="21"/>
                <w:szCs w:val="21"/>
                <w:highlight w:val="none"/>
                <w:lang w:val="en-US" w:eastAsia="zh-CN" w:bidi="he-IL"/>
              </w:rPr>
            </w:pPr>
            <w:r>
              <w:rPr>
                <w:rFonts w:hint="default" w:ascii="Times New Roman" w:hAnsi="Times New Roman" w:eastAsia="宋体" w:cs="Times New Roman"/>
                <w:color w:val="auto"/>
                <w:kern w:val="0"/>
                <w:sz w:val="21"/>
                <w:szCs w:val="21"/>
                <w:highlight w:val="none"/>
                <w:lang w:val="en-US" w:eastAsia="zh-CN" w:bidi="he-IL"/>
              </w:rPr>
              <w:t>③加强废气的收集</w:t>
            </w:r>
            <w:r>
              <w:rPr>
                <w:rFonts w:hint="eastAsia" w:ascii="Times New Roman" w:hAnsi="Times New Roman" w:cs="Times New Roman"/>
                <w:color w:val="auto"/>
                <w:kern w:val="0"/>
                <w:sz w:val="21"/>
                <w:szCs w:val="21"/>
                <w:highlight w:val="none"/>
                <w:lang w:val="en-US" w:eastAsia="zh-CN" w:bidi="he-IL"/>
              </w:rPr>
              <w:t>、定期对废气设施进行</w:t>
            </w:r>
            <w:r>
              <w:rPr>
                <w:rFonts w:hint="default" w:ascii="Times New Roman" w:hAnsi="Times New Roman" w:eastAsia="宋体" w:cs="Times New Roman"/>
                <w:color w:val="auto"/>
                <w:kern w:val="0"/>
                <w:sz w:val="21"/>
                <w:szCs w:val="21"/>
                <w:highlight w:val="none"/>
                <w:lang w:val="en-US" w:eastAsia="zh-CN" w:bidi="he-IL"/>
              </w:rPr>
              <w:t>维护保养</w:t>
            </w:r>
            <w:r>
              <w:rPr>
                <w:rFonts w:hint="eastAsia" w:ascii="Times New Roman" w:hAnsi="Times New Roman" w:eastAsia="宋体" w:cs="Times New Roman"/>
                <w:color w:val="auto"/>
                <w:kern w:val="0"/>
                <w:sz w:val="21"/>
                <w:szCs w:val="21"/>
                <w:highlight w:val="none"/>
                <w:lang w:val="en-US" w:eastAsia="zh-CN" w:bidi="he-IL"/>
              </w:rPr>
              <w:t>等；</w:t>
            </w:r>
          </w:p>
          <w:p w14:paraId="4FAC6CF8">
            <w:pPr>
              <w:keepNext w:val="0"/>
              <w:keepLines w:val="0"/>
              <w:pageBreakBefore w:val="0"/>
              <w:widowControl w:val="0"/>
              <w:kinsoku/>
              <w:wordWrap/>
              <w:overflowPunct/>
              <w:topLinePunct w:val="0"/>
              <w:bidi w:val="0"/>
              <w:adjustRightInd w:val="0"/>
              <w:snapToGrid w:val="0"/>
              <w:spacing w:line="340" w:lineRule="exact"/>
              <w:jc w:val="both"/>
              <w:textAlignment w:val="auto"/>
              <w:rPr>
                <w:rFonts w:hint="default" w:ascii="Times New Roman" w:hAnsi="Times New Roman" w:eastAsia="宋体" w:cs="Times New Roman"/>
                <w:color w:val="auto"/>
                <w:kern w:val="0"/>
                <w:sz w:val="21"/>
                <w:szCs w:val="21"/>
                <w:highlight w:val="none"/>
                <w:lang w:val="en-US" w:eastAsia="zh-CN" w:bidi="he-IL"/>
              </w:rPr>
            </w:pPr>
            <w:r>
              <w:rPr>
                <w:rFonts w:hint="default" w:ascii="Times New Roman" w:hAnsi="Times New Roman" w:eastAsia="宋体" w:cs="Times New Roman"/>
                <w:color w:val="auto"/>
                <w:kern w:val="0"/>
                <w:sz w:val="21"/>
                <w:szCs w:val="21"/>
                <w:highlight w:val="none"/>
                <w:lang w:val="en-US" w:eastAsia="zh-CN" w:bidi="he-IL"/>
              </w:rPr>
              <w:t>④</w:t>
            </w:r>
            <w:r>
              <w:rPr>
                <w:rFonts w:hint="eastAsia" w:ascii="Times New Roman" w:hAnsi="Times New Roman" w:eastAsia="宋体" w:cs="Times New Roman"/>
                <w:color w:val="auto"/>
                <w:kern w:val="0"/>
                <w:sz w:val="21"/>
                <w:szCs w:val="21"/>
                <w:highlight w:val="none"/>
                <w:lang w:val="en-US" w:eastAsia="zh-CN" w:bidi="he-IL"/>
              </w:rPr>
              <w:t>及时清扫地面积尘。</w:t>
            </w:r>
          </w:p>
        </w:tc>
        <w:tc>
          <w:tcPr>
            <w:tcW w:w="2874" w:type="dxa"/>
            <w:noWrap w:val="0"/>
            <w:vAlign w:val="center"/>
          </w:tcPr>
          <w:p w14:paraId="1F21076F">
            <w:pPr>
              <w:keepNext w:val="0"/>
              <w:keepLines w:val="0"/>
              <w:pageBreakBefore w:val="0"/>
              <w:widowControl w:val="0"/>
              <w:kinsoku/>
              <w:wordWrap/>
              <w:overflowPunct/>
              <w:topLinePunct w:val="0"/>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厂界无组织颗粒物、非甲烷总烃执行</w:t>
            </w:r>
            <w:r>
              <w:rPr>
                <w:rFonts w:hint="eastAsia" w:ascii="Times New Roman" w:hAnsi="Times New Roman" w:eastAsia="宋体" w:cs="Times New Roman"/>
                <w:color w:val="auto"/>
                <w:lang w:val="en-US" w:eastAsia="zh-CN"/>
              </w:rPr>
              <w:t>《大气污染物综合排放标准》(GB16297-1996)表2</w:t>
            </w:r>
            <w:r>
              <w:rPr>
                <w:rFonts w:hint="default" w:ascii="Times New Roman" w:hAnsi="Times New Roman" w:eastAsia="宋体" w:cs="Times New Roman"/>
                <w:color w:val="auto"/>
                <w:lang w:val="en-US" w:eastAsia="zh-CN"/>
              </w:rPr>
              <w:t>企业边界监控点(即</w:t>
            </w:r>
            <w:r>
              <w:rPr>
                <w:rFonts w:hint="eastAsia" w:ascii="Times New Roman" w:hAnsi="Times New Roman" w:eastAsia="宋体" w:cs="Times New Roman"/>
                <w:color w:val="auto"/>
                <w:lang w:val="en-US" w:eastAsia="zh-CN"/>
              </w:rPr>
              <w:t>颗粒物</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.0mg/</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olor w:val="auto"/>
                <w:lang w:val="en-US" w:eastAsia="zh-CN"/>
              </w:rPr>
              <w:t>，</w:t>
            </w:r>
            <w:r>
              <w:rPr>
                <w:rFonts w:hint="default" w:ascii="Times New Roman" w:hAnsi="Times New Roman" w:eastAsia="宋体" w:cs="Times New Roman"/>
                <w:color w:val="auto"/>
                <w:lang w:val="en-US" w:eastAsia="zh-CN"/>
              </w:rPr>
              <w:t>非甲烷总烃≤</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.0mg/</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；臭气浓度执行《恶臭污染物排放标准》（GB14554-93）中表1中二级新改扩建标准（臭气浓度≤20（无量纲））</w:t>
            </w:r>
          </w:p>
        </w:tc>
      </w:tr>
      <w:tr w14:paraId="3E2F1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107AC4A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p>
        </w:tc>
        <w:tc>
          <w:tcPr>
            <w:tcW w:w="1066" w:type="dxa"/>
            <w:noWrap w:val="0"/>
            <w:vAlign w:val="center"/>
          </w:tcPr>
          <w:p w14:paraId="0FD7B6D5">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厂内</w:t>
            </w:r>
          </w:p>
          <w:p w14:paraId="564991F2">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无组织</w:t>
            </w:r>
          </w:p>
        </w:tc>
        <w:tc>
          <w:tcPr>
            <w:tcW w:w="1014" w:type="dxa"/>
            <w:noWrap w:val="0"/>
            <w:vAlign w:val="center"/>
          </w:tcPr>
          <w:p w14:paraId="011582E8">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非甲烷</w:t>
            </w:r>
          </w:p>
          <w:p w14:paraId="3FB79E41">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color w:val="auto"/>
                <w:kern w:val="2"/>
                <w:sz w:val="21"/>
                <w:szCs w:val="21"/>
                <w:lang w:val="en-US" w:eastAsia="zh-CN" w:bidi="ar-SA"/>
              </w:rPr>
              <w:t>总烃</w:t>
            </w:r>
          </w:p>
        </w:tc>
        <w:tc>
          <w:tcPr>
            <w:tcW w:w="2786" w:type="dxa"/>
            <w:noWrap w:val="0"/>
            <w:vAlign w:val="center"/>
          </w:tcPr>
          <w:p w14:paraId="5963A90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0"/>
                <w:sz w:val="21"/>
                <w:szCs w:val="21"/>
                <w:highlight w:val="none"/>
                <w:lang w:val="en-US" w:eastAsia="zh-CN" w:bidi="he-IL"/>
              </w:rPr>
              <w:t>加强有机废气的收集</w:t>
            </w:r>
            <w:r>
              <w:rPr>
                <w:rFonts w:hint="eastAsia" w:ascii="Times New Roman" w:hAnsi="Times New Roman" w:cs="Times New Roman"/>
                <w:color w:val="auto"/>
                <w:kern w:val="0"/>
                <w:sz w:val="21"/>
                <w:szCs w:val="21"/>
                <w:highlight w:val="none"/>
                <w:lang w:val="en-US" w:eastAsia="zh-CN" w:bidi="he-IL"/>
              </w:rPr>
              <w:t>、定期对废气设施进行</w:t>
            </w:r>
            <w:r>
              <w:rPr>
                <w:rFonts w:hint="default" w:ascii="Times New Roman" w:hAnsi="Times New Roman" w:eastAsia="宋体" w:cs="Times New Roman"/>
                <w:color w:val="auto"/>
                <w:kern w:val="0"/>
                <w:sz w:val="21"/>
                <w:szCs w:val="21"/>
                <w:highlight w:val="none"/>
                <w:lang w:val="en-US" w:eastAsia="zh-CN" w:bidi="he-IL"/>
              </w:rPr>
              <w:t>维护保养</w:t>
            </w:r>
            <w:r>
              <w:rPr>
                <w:rFonts w:hint="eastAsia" w:ascii="Times New Roman" w:hAnsi="Times New Roman" w:eastAsia="宋体" w:cs="Times New Roman"/>
                <w:color w:val="auto"/>
                <w:kern w:val="0"/>
                <w:sz w:val="21"/>
                <w:szCs w:val="21"/>
                <w:highlight w:val="none"/>
                <w:lang w:val="en-US" w:eastAsia="zh-CN" w:bidi="he-IL"/>
              </w:rPr>
              <w:t>等</w:t>
            </w:r>
          </w:p>
        </w:tc>
        <w:tc>
          <w:tcPr>
            <w:tcW w:w="2874" w:type="dxa"/>
            <w:noWrap w:val="0"/>
            <w:vAlign w:val="center"/>
          </w:tcPr>
          <w:p w14:paraId="2FB21F79">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厂区内监控点</w:t>
            </w:r>
            <w:r>
              <w:rPr>
                <w:rFonts w:hint="eastAsia" w:ascii="Times New Roman" w:hAnsi="Times New Roman" w:eastAsia="宋体" w:cs="Times New Roman"/>
                <w:color w:val="auto"/>
                <w:sz w:val="21"/>
                <w:szCs w:val="21"/>
                <w:highlight w:val="none"/>
                <w:lang w:val="en-US" w:eastAsia="zh-CN"/>
              </w:rPr>
              <w:t>非甲烷总烃执行</w:t>
            </w:r>
            <w:r>
              <w:rPr>
                <w:rFonts w:hint="default" w:ascii="Times New Roman" w:hAnsi="Times New Roman" w:eastAsia="宋体" w:cs="Times New Roman"/>
                <w:color w:val="auto"/>
                <w:sz w:val="21"/>
                <w:szCs w:val="21"/>
                <w:highlight w:val="none"/>
              </w:rPr>
              <w:t>《挥发性有机物无组织排放控制标准》(GB37822-2019</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中附录A表A.1标准限值</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1h平均浓度值</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0.0mg/m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vertAlign w:val="baseline"/>
                <w:lang w:eastAsia="zh-CN"/>
              </w:rPr>
              <w:t>、</w:t>
            </w:r>
            <w:r>
              <w:rPr>
                <w:rFonts w:hint="eastAsia" w:ascii="Times New Roman" w:hAnsi="Times New Roman" w:eastAsia="宋体" w:cs="Times New Roman"/>
                <w:color w:val="auto"/>
                <w:sz w:val="21"/>
                <w:szCs w:val="21"/>
                <w:highlight w:val="none"/>
                <w:vertAlign w:val="baseline"/>
                <w:lang w:val="en-US" w:eastAsia="zh-CN"/>
              </w:rPr>
              <w:t>任意一次浓度值</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vertAlign w:val="baseline"/>
                <w:lang w:eastAsia="zh-CN"/>
              </w:rPr>
              <w:t>）</w:t>
            </w:r>
          </w:p>
        </w:tc>
      </w:tr>
      <w:tr w14:paraId="24A95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restart"/>
            <w:noWrap w:val="0"/>
            <w:vAlign w:val="center"/>
          </w:tcPr>
          <w:p w14:paraId="2376F76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p w14:paraId="658427B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tc>
        <w:tc>
          <w:tcPr>
            <w:tcW w:w="1066" w:type="dxa"/>
            <w:noWrap w:val="0"/>
            <w:vAlign w:val="center"/>
          </w:tcPr>
          <w:p w14:paraId="21A935A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厂区污水总排口DW001/生活污水</w:t>
            </w:r>
          </w:p>
        </w:tc>
        <w:tc>
          <w:tcPr>
            <w:tcW w:w="1014" w:type="dxa"/>
            <w:noWrap w:val="0"/>
            <w:vAlign w:val="center"/>
          </w:tcPr>
          <w:p w14:paraId="36AEE02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rPr>
              <w:t>pH、COD、BOD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SS</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NH</w:t>
            </w:r>
            <w:r>
              <w:rPr>
                <w:rFonts w:hint="eastAsia" w:ascii="Times New Roman" w:hAnsi="Times New Roman" w:cs="Times New Roman"/>
                <w:color w:val="auto"/>
                <w:sz w:val="21"/>
                <w:szCs w:val="21"/>
                <w:highlight w:val="none"/>
                <w:vertAlign w:val="subscript"/>
                <w:lang w:val="en-US" w:eastAsia="zh-CN"/>
              </w:rPr>
              <w:t>3</w:t>
            </w:r>
            <w:r>
              <w:rPr>
                <w:rFonts w:hint="eastAsia" w:ascii="Times New Roman" w:hAnsi="Times New Roman" w:cs="Times New Roman"/>
                <w:color w:val="auto"/>
                <w:sz w:val="21"/>
                <w:szCs w:val="21"/>
                <w:highlight w:val="none"/>
                <w:lang w:val="en-US" w:eastAsia="zh-CN"/>
              </w:rPr>
              <w:t>-N</w:t>
            </w:r>
          </w:p>
        </w:tc>
        <w:tc>
          <w:tcPr>
            <w:tcW w:w="2786" w:type="dxa"/>
            <w:noWrap w:val="0"/>
            <w:vAlign w:val="center"/>
          </w:tcPr>
          <w:p w14:paraId="101D84F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eastAsia="zh-CN"/>
              </w:rPr>
              <w:t>生活污水</w:t>
            </w:r>
            <w:r>
              <w:rPr>
                <w:rFonts w:hint="eastAsia" w:ascii="Times New Roman" w:hAnsi="Times New Roman" w:eastAsia="宋体" w:cs="Times New Roman"/>
                <w:color w:val="auto"/>
                <w:sz w:val="21"/>
                <w:szCs w:val="21"/>
                <w:highlight w:val="none"/>
                <w:lang w:val="en-US" w:eastAsia="zh-CN"/>
              </w:rPr>
              <w:t>依托出租方</w:t>
            </w:r>
            <w:r>
              <w:rPr>
                <w:rFonts w:hint="default" w:ascii="Times New Roman" w:hAnsi="Times New Roman" w:eastAsia="宋体" w:cs="Times New Roman"/>
                <w:color w:val="auto"/>
                <w:sz w:val="21"/>
                <w:szCs w:val="21"/>
                <w:highlight w:val="none"/>
                <w:lang w:eastAsia="zh-CN"/>
              </w:rPr>
              <w:t>化粪池预处理后排入</w:t>
            </w:r>
            <w:r>
              <w:rPr>
                <w:rFonts w:hint="eastAsia" w:ascii="Times New Roman" w:hAnsi="Times New Roman" w:eastAsia="宋体" w:cs="Times New Roman"/>
                <w:color w:val="auto"/>
                <w:sz w:val="21"/>
                <w:szCs w:val="21"/>
                <w:highlight w:val="none"/>
                <w:lang w:eastAsia="zh-CN"/>
              </w:rPr>
              <w:t>松下镇山前村污水管网</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纳入</w:t>
            </w:r>
            <w:r>
              <w:rPr>
                <w:rFonts w:hint="eastAsia" w:ascii="Times New Roman" w:hAnsi="Times New Roman" w:eastAsia="宋体" w:cs="Times New Roman"/>
                <w:color w:val="auto"/>
                <w:sz w:val="21"/>
                <w:szCs w:val="21"/>
                <w:highlight w:val="none"/>
                <w:lang w:eastAsia="zh-CN"/>
              </w:rPr>
              <w:t>福州市长乐区松下镇山前村污水处理站</w:t>
            </w:r>
            <w:r>
              <w:rPr>
                <w:rFonts w:hint="default" w:ascii="Times New Roman" w:hAnsi="Times New Roman" w:eastAsia="宋体" w:cs="Times New Roman"/>
                <w:color w:val="auto"/>
                <w:sz w:val="21"/>
                <w:szCs w:val="21"/>
                <w:highlight w:val="none"/>
                <w:lang w:eastAsia="zh-CN"/>
              </w:rPr>
              <w:t>集中处理</w:t>
            </w:r>
          </w:p>
        </w:tc>
        <w:tc>
          <w:tcPr>
            <w:tcW w:w="2874" w:type="dxa"/>
            <w:noWrap w:val="0"/>
            <w:vAlign w:val="center"/>
          </w:tcPr>
          <w:p w14:paraId="37FFB2F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纳管水质执行</w:t>
            </w:r>
            <w:r>
              <w:rPr>
                <w:rFonts w:hint="default" w:ascii="Times New Roman" w:hAnsi="Times New Roman" w:cs="Times New Roman"/>
                <w:color w:val="auto"/>
                <w:sz w:val="21"/>
                <w:szCs w:val="21"/>
                <w:highlight w:val="none"/>
              </w:rPr>
              <w:t>《污水综合排放标准》(GB8978-1996)表4中三级排放标准</w:t>
            </w:r>
            <w:r>
              <w:rPr>
                <w:rFonts w:hint="default" w:ascii="Times New Roman" w:hAnsi="Times New Roman" w:cs="Times New Roman"/>
                <w:color w:val="auto"/>
                <w:sz w:val="21"/>
                <w:szCs w:val="21"/>
                <w:highlight w:val="none"/>
                <w:lang w:eastAsia="zh-CN"/>
              </w:rPr>
              <w:t>及</w:t>
            </w:r>
            <w:r>
              <w:rPr>
                <w:rFonts w:hint="default" w:ascii="Times New Roman" w:hAnsi="Times New Roman" w:cs="Times New Roman"/>
                <w:color w:val="auto"/>
                <w:sz w:val="21"/>
                <w:szCs w:val="21"/>
                <w:highlight w:val="none"/>
              </w:rPr>
              <w:t>《污水排入城镇下水道水质标准》(GB/T 31962-2015)表1中B级标准</w:t>
            </w:r>
            <w:r>
              <w:rPr>
                <w:rFonts w:hint="default" w:ascii="Times New Roman" w:hAnsi="Times New Roman" w:cs="Times New Roman"/>
                <w:color w:val="auto"/>
                <w:sz w:val="21"/>
                <w:szCs w:val="21"/>
                <w:highlight w:val="none"/>
                <w:lang w:eastAsia="zh-CN"/>
              </w:rPr>
              <w:t>限值</w:t>
            </w:r>
            <w:r>
              <w:rPr>
                <w:rFonts w:hint="default" w:ascii="Times New Roman" w:hAnsi="Times New Roman" w:cs="Times New Roman"/>
                <w:color w:val="auto"/>
                <w:sz w:val="21"/>
                <w:szCs w:val="21"/>
                <w:highlight w:val="none"/>
              </w:rPr>
              <w:t>(即pH6 ~ 9</w:t>
            </w:r>
            <w:r>
              <w:rPr>
                <w:rFonts w:hint="default" w:ascii="Times New Roman" w:hAnsi="Times New Roman" w:cs="Times New Roman"/>
                <w:color w:val="auto"/>
                <w:sz w:val="21"/>
                <w:szCs w:val="21"/>
                <w:highlight w:val="none"/>
                <w:lang w:val="en-US" w:eastAsia="zh-CN"/>
              </w:rPr>
              <w:t>(无量纲)</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COD</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50</w:t>
            </w:r>
            <w:r>
              <w:rPr>
                <w:rFonts w:hint="default" w:ascii="Times New Roman" w:hAnsi="Times New Roman" w:cs="Times New Roman"/>
                <w:color w:val="auto"/>
                <w:sz w:val="21"/>
                <w:szCs w:val="21"/>
                <w:highlight w:val="none"/>
              </w:rPr>
              <w:t>0mg/L</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0mg/L</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SS</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40</w:t>
            </w:r>
            <w:r>
              <w:rPr>
                <w:rFonts w:hint="default" w:ascii="Times New Roman" w:hAnsi="Times New Roman" w:cs="Times New Roman"/>
                <w:color w:val="auto"/>
                <w:sz w:val="21"/>
                <w:szCs w:val="21"/>
                <w:highlight w:val="none"/>
              </w:rPr>
              <w:t>0mg/L</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default" w:ascii="Times New Roman" w:hAnsi="Times New Roman" w:cs="Times New Roman"/>
                <w:color w:val="auto"/>
                <w:sz w:val="21"/>
                <w:szCs w:val="21"/>
                <w:highlight w:val="none"/>
                <w:lang w:val="en-US" w:eastAsia="zh-CN"/>
              </w:rPr>
              <w:t>45</w:t>
            </w:r>
            <w:r>
              <w:rPr>
                <w:rFonts w:hint="default" w:ascii="Times New Roman" w:hAnsi="Times New Roman" w:cs="Times New Roman"/>
                <w:color w:val="auto"/>
                <w:sz w:val="21"/>
                <w:szCs w:val="21"/>
                <w:highlight w:val="none"/>
              </w:rPr>
              <w:t>mg/L)</w:t>
            </w:r>
          </w:p>
        </w:tc>
      </w:tr>
      <w:tr w14:paraId="5DB84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38CCD60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p>
        </w:tc>
        <w:tc>
          <w:tcPr>
            <w:tcW w:w="1066" w:type="dxa"/>
            <w:noWrap w:val="0"/>
            <w:vAlign w:val="center"/>
          </w:tcPr>
          <w:p w14:paraId="1DDA9C6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清洁废水</w:t>
            </w:r>
          </w:p>
        </w:tc>
        <w:tc>
          <w:tcPr>
            <w:tcW w:w="1014" w:type="dxa"/>
            <w:noWrap w:val="0"/>
            <w:vAlign w:val="center"/>
          </w:tcPr>
          <w:p w14:paraId="2AB10E6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pH、COD、</w:t>
            </w:r>
            <w:r>
              <w:rPr>
                <w:rFonts w:hint="eastAsia" w:ascii="Times New Roman" w:hAnsi="Times New Roman" w:cs="Times New Roman"/>
                <w:color w:val="auto"/>
                <w:sz w:val="21"/>
                <w:szCs w:val="21"/>
                <w:highlight w:val="none"/>
                <w:lang w:val="en-US" w:eastAsia="zh-CN"/>
              </w:rPr>
              <w:t>SS</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NH</w:t>
            </w:r>
            <w:r>
              <w:rPr>
                <w:rFonts w:hint="eastAsia" w:ascii="Times New Roman" w:hAnsi="Times New Roman" w:cs="Times New Roman"/>
                <w:color w:val="auto"/>
                <w:sz w:val="21"/>
                <w:szCs w:val="21"/>
                <w:highlight w:val="none"/>
                <w:vertAlign w:val="subscript"/>
                <w:lang w:val="en-US" w:eastAsia="zh-CN"/>
              </w:rPr>
              <w:t>3</w:t>
            </w:r>
            <w:r>
              <w:rPr>
                <w:rFonts w:hint="eastAsia" w:ascii="Times New Roman" w:hAnsi="Times New Roman" w:cs="Times New Roman"/>
                <w:color w:val="auto"/>
                <w:sz w:val="21"/>
                <w:szCs w:val="21"/>
                <w:highlight w:val="none"/>
                <w:lang w:val="en-US" w:eastAsia="zh-CN"/>
              </w:rPr>
              <w:t>-N、石油类、LAS</w:t>
            </w:r>
          </w:p>
        </w:tc>
        <w:tc>
          <w:tcPr>
            <w:tcW w:w="2786" w:type="dxa"/>
            <w:vMerge w:val="restart"/>
            <w:noWrap w:val="0"/>
            <w:vAlign w:val="center"/>
          </w:tcPr>
          <w:p w14:paraId="4973B7DC">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①厂区作业区及废旧机动车停车场四周设置导流沟并连通收集池，设置阀门控制；作业车间设置清洗池，清洗池管道连通收集池；清洁废水、作业区露天区域初期雨水在收集池收集暂存后进入废水处理设施（油水分离+混凝沉淀+过滤）（35t/d）处理，出水全部回用于场地洒水清扫、停车区冲洗，不外排</w:t>
            </w:r>
          </w:p>
          <w:p w14:paraId="683DFE00">
            <w:pPr>
              <w:keepNext w:val="0"/>
              <w:keepLines w:val="0"/>
              <w:pageBreakBefore w:val="0"/>
              <w:widowControl w:val="0"/>
              <w:kinsoku/>
              <w:wordWrap/>
              <w:overflowPunct/>
              <w:topLinePunct w:val="0"/>
              <w:bidi w:val="0"/>
              <w:adjustRightInd w:val="0"/>
              <w:snapToGrid w:val="0"/>
              <w:spacing w:line="340" w:lineRule="exact"/>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w:t>
            </w:r>
            <w:r>
              <w:rPr>
                <w:rFonts w:hint="eastAsia" w:ascii="Times New Roman" w:hAnsi="Times New Roman" w:eastAsia="宋体" w:cs="Times New Roman"/>
                <w:color w:val="auto"/>
                <w:kern w:val="2"/>
                <w:sz w:val="21"/>
                <w:szCs w:val="21"/>
                <w:highlight w:val="none"/>
                <w:lang w:val="en-US" w:eastAsia="zh-CN" w:bidi="ar-SA"/>
              </w:rPr>
              <w:t>回用水池容积不低于61.22m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，以保证回用水暂存需求。</w:t>
            </w:r>
          </w:p>
        </w:tc>
        <w:tc>
          <w:tcPr>
            <w:tcW w:w="2874" w:type="dxa"/>
            <w:vMerge w:val="restart"/>
            <w:noWrap w:val="0"/>
            <w:vAlign w:val="center"/>
          </w:tcPr>
          <w:p w14:paraId="7699E8B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落实回用情况</w:t>
            </w:r>
          </w:p>
        </w:tc>
      </w:tr>
      <w:tr w14:paraId="306B1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706C821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p>
        </w:tc>
        <w:tc>
          <w:tcPr>
            <w:tcW w:w="1066" w:type="dxa"/>
            <w:noWrap w:val="0"/>
            <w:vAlign w:val="center"/>
          </w:tcPr>
          <w:p w14:paraId="783A2299">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作业区露天区域初期雨水</w:t>
            </w:r>
          </w:p>
        </w:tc>
        <w:tc>
          <w:tcPr>
            <w:tcW w:w="1014" w:type="dxa"/>
            <w:noWrap w:val="0"/>
            <w:vAlign w:val="center"/>
          </w:tcPr>
          <w:p w14:paraId="5D56BE1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eastAsia" w:ascii="Times New Roman" w:hAnsi="Times New Roman" w:cs="Times New Roman"/>
                <w:color w:val="auto"/>
                <w:sz w:val="21"/>
                <w:szCs w:val="21"/>
                <w:highlight w:val="none"/>
                <w:lang w:val="en-US" w:eastAsia="zh-CN"/>
              </w:rPr>
              <w:t>SS</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NH</w:t>
            </w:r>
            <w:r>
              <w:rPr>
                <w:rFonts w:hint="eastAsia" w:ascii="Times New Roman" w:hAnsi="Times New Roman" w:cs="Times New Roman"/>
                <w:color w:val="auto"/>
                <w:sz w:val="21"/>
                <w:szCs w:val="21"/>
                <w:highlight w:val="none"/>
                <w:vertAlign w:val="subscript"/>
                <w:lang w:val="en-US" w:eastAsia="zh-CN"/>
              </w:rPr>
              <w:t>3</w:t>
            </w:r>
            <w:r>
              <w:rPr>
                <w:rFonts w:hint="eastAsia" w:ascii="Times New Roman" w:hAnsi="Times New Roman" w:cs="Times New Roman"/>
                <w:color w:val="auto"/>
                <w:sz w:val="21"/>
                <w:szCs w:val="21"/>
                <w:highlight w:val="none"/>
                <w:lang w:val="en-US" w:eastAsia="zh-CN"/>
              </w:rPr>
              <w:t>-N、石油类</w:t>
            </w:r>
          </w:p>
        </w:tc>
        <w:tc>
          <w:tcPr>
            <w:tcW w:w="2786" w:type="dxa"/>
            <w:vMerge w:val="continue"/>
            <w:noWrap w:val="0"/>
            <w:vAlign w:val="center"/>
          </w:tcPr>
          <w:p w14:paraId="76E9B65F">
            <w:pPr>
              <w:keepNext w:val="0"/>
              <w:keepLines w:val="0"/>
              <w:pageBreakBefore w:val="0"/>
              <w:widowControl w:val="0"/>
              <w:kinsoku/>
              <w:wordWrap/>
              <w:overflowPunct/>
              <w:topLinePunct w:val="0"/>
              <w:bidi w:val="0"/>
              <w:adjustRightInd w:val="0"/>
              <w:snapToGrid w:val="0"/>
              <w:spacing w:line="340" w:lineRule="exact"/>
              <w:jc w:val="both"/>
              <w:textAlignment w:val="auto"/>
              <w:rPr>
                <w:rFonts w:hint="eastAsia" w:ascii="Times New Roman" w:hAnsi="Times New Roman" w:eastAsia="宋体" w:cs="Times New Roman"/>
                <w:color w:val="auto"/>
                <w:sz w:val="21"/>
                <w:szCs w:val="21"/>
                <w:highlight w:val="none"/>
                <w:lang w:val="en-US" w:eastAsia="zh-CN"/>
              </w:rPr>
            </w:pPr>
          </w:p>
        </w:tc>
        <w:tc>
          <w:tcPr>
            <w:tcW w:w="2874" w:type="dxa"/>
            <w:vMerge w:val="continue"/>
            <w:noWrap w:val="0"/>
            <w:vAlign w:val="center"/>
          </w:tcPr>
          <w:p w14:paraId="1BECFCA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lang w:eastAsia="zh-CN"/>
              </w:rPr>
            </w:pPr>
          </w:p>
        </w:tc>
      </w:tr>
      <w:tr w14:paraId="10815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1060" w:type="dxa"/>
            <w:noWrap w:val="0"/>
            <w:vAlign w:val="center"/>
          </w:tcPr>
          <w:p w14:paraId="509F9C6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066" w:type="dxa"/>
            <w:noWrap w:val="0"/>
            <w:vAlign w:val="center"/>
          </w:tcPr>
          <w:p w14:paraId="2EB22DF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厂界四周</w:t>
            </w:r>
            <w:r>
              <w:rPr>
                <w:rFonts w:hint="eastAsia" w:ascii="Times New Roman" w:hAnsi="Times New Roman" w:cs="Times New Roman"/>
                <w:color w:val="auto"/>
                <w:sz w:val="21"/>
                <w:szCs w:val="21"/>
                <w:lang w:eastAsia="zh-CN"/>
              </w:rPr>
              <w:t>外</w:t>
            </w:r>
            <w:r>
              <w:rPr>
                <w:rFonts w:hint="eastAsia" w:ascii="Times New Roman" w:hAnsi="Times New Roman" w:cs="Times New Roman"/>
                <w:color w:val="auto"/>
                <w:sz w:val="21"/>
                <w:szCs w:val="21"/>
                <w:lang w:val="en-US" w:eastAsia="zh-CN"/>
              </w:rPr>
              <w:t>1m</w:t>
            </w:r>
          </w:p>
        </w:tc>
        <w:tc>
          <w:tcPr>
            <w:tcW w:w="1014" w:type="dxa"/>
            <w:noWrap w:val="0"/>
            <w:vAlign w:val="center"/>
          </w:tcPr>
          <w:p w14:paraId="0465CDE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等效A</w:t>
            </w:r>
          </w:p>
          <w:p w14:paraId="2E79844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声级</w:t>
            </w:r>
          </w:p>
        </w:tc>
        <w:tc>
          <w:tcPr>
            <w:tcW w:w="2786" w:type="dxa"/>
            <w:noWrap w:val="0"/>
            <w:vAlign w:val="center"/>
          </w:tcPr>
          <w:p w14:paraId="3E89CCC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GB" w:eastAsia="zh-CN"/>
              </w:rPr>
              <w:t>选用低噪声设备，加强设备维护，</w:t>
            </w:r>
            <w:r>
              <w:rPr>
                <w:rFonts w:hint="default" w:ascii="Times New Roman" w:hAnsi="Times New Roman" w:cs="Times New Roman"/>
                <w:color w:val="auto"/>
                <w:sz w:val="21"/>
                <w:szCs w:val="21"/>
                <w:highlight w:val="none"/>
                <w:lang w:val="en-GB"/>
              </w:rPr>
              <w:t>高噪声设备设置基础减振、隔声等措施</w:t>
            </w:r>
          </w:p>
        </w:tc>
        <w:tc>
          <w:tcPr>
            <w:tcW w:w="2874" w:type="dxa"/>
            <w:noWrap w:val="0"/>
            <w:vAlign w:val="center"/>
          </w:tcPr>
          <w:p w14:paraId="4565CF0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eastAsia="zh-CN"/>
              </w:rPr>
              <w:t>满足</w:t>
            </w:r>
            <w:r>
              <w:rPr>
                <w:rFonts w:hint="default" w:ascii="Times New Roman" w:hAnsi="Times New Roman" w:cs="Times New Roman"/>
                <w:color w:val="auto"/>
                <w:spacing w:val="-2"/>
                <w:sz w:val="21"/>
                <w:szCs w:val="21"/>
                <w:highlight w:val="none"/>
              </w:rPr>
              <w:t>《工业企业厂界环境噪声排放标准》(GB12348-2008)中</w:t>
            </w:r>
            <w:r>
              <w:rPr>
                <w:rFonts w:hint="eastAsia" w:ascii="Times New Roman" w:hAnsi="Times New Roman" w:cs="Times New Roman"/>
                <w:color w:val="auto"/>
                <w:spacing w:val="-2"/>
                <w:sz w:val="21"/>
                <w:szCs w:val="21"/>
                <w:highlight w:val="none"/>
                <w:lang w:val="en-US" w:eastAsia="zh-CN"/>
              </w:rPr>
              <w:t>2</w:t>
            </w:r>
            <w:r>
              <w:rPr>
                <w:rFonts w:hint="default" w:ascii="Times New Roman" w:hAnsi="Times New Roman" w:cs="Times New Roman"/>
                <w:color w:val="auto"/>
                <w:spacing w:val="-2"/>
                <w:sz w:val="21"/>
                <w:szCs w:val="21"/>
                <w:highlight w:val="none"/>
                <w:lang w:val="en-US" w:eastAsia="zh-CN"/>
              </w:rPr>
              <w:t>类标准</w:t>
            </w:r>
            <w:r>
              <w:rPr>
                <w:rFonts w:hint="default" w:ascii="Times New Roman" w:hAnsi="Times New Roman" w:cs="Times New Roman"/>
                <w:color w:val="auto"/>
                <w:spacing w:val="-2"/>
                <w:sz w:val="21"/>
                <w:szCs w:val="21"/>
                <w:highlight w:val="none"/>
              </w:rPr>
              <w:t>(昼间≤</w:t>
            </w:r>
            <w:r>
              <w:rPr>
                <w:rFonts w:hint="default" w:ascii="Times New Roman" w:hAnsi="Times New Roman" w:cs="Times New Roman"/>
                <w:color w:val="auto"/>
                <w:spacing w:val="-2"/>
                <w:sz w:val="21"/>
                <w:szCs w:val="21"/>
                <w:highlight w:val="none"/>
                <w:lang w:val="en-US" w:eastAsia="zh-CN"/>
              </w:rPr>
              <w:t>6</w:t>
            </w:r>
            <w:r>
              <w:rPr>
                <w:rFonts w:hint="eastAsia" w:ascii="Times New Roman" w:hAnsi="Times New Roman" w:cs="Times New Roman"/>
                <w:color w:val="auto"/>
                <w:spacing w:val="-2"/>
                <w:sz w:val="21"/>
                <w:szCs w:val="21"/>
                <w:highlight w:val="none"/>
                <w:lang w:val="en-US" w:eastAsia="zh-CN"/>
              </w:rPr>
              <w:t>0</w:t>
            </w:r>
            <w:r>
              <w:rPr>
                <w:rFonts w:hint="default" w:ascii="Times New Roman" w:hAnsi="Times New Roman" w:cs="Times New Roman"/>
                <w:color w:val="auto"/>
                <w:spacing w:val="-2"/>
                <w:sz w:val="21"/>
                <w:szCs w:val="21"/>
                <w:highlight w:val="none"/>
              </w:rPr>
              <w:t>dB(A)</w:t>
            </w:r>
            <w:r>
              <w:rPr>
                <w:rFonts w:hint="eastAsia" w:ascii="Times New Roman" w:hAnsi="Times New Roman" w:cs="Times New Roman"/>
                <w:color w:val="auto"/>
                <w:spacing w:val="-2"/>
                <w:sz w:val="21"/>
                <w:szCs w:val="21"/>
                <w:highlight w:val="none"/>
                <w:lang w:val="en-US" w:eastAsia="zh-CN"/>
              </w:rPr>
              <w:t>)，夜间不生产</w:t>
            </w:r>
          </w:p>
        </w:tc>
      </w:tr>
      <w:tr w14:paraId="32B1F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416554B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电磁辐射</w:t>
            </w:r>
          </w:p>
        </w:tc>
        <w:tc>
          <w:tcPr>
            <w:tcW w:w="1066" w:type="dxa"/>
            <w:noWrap w:val="0"/>
            <w:vAlign w:val="center"/>
          </w:tcPr>
          <w:p w14:paraId="7D0B0C4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14" w:type="dxa"/>
            <w:noWrap w:val="0"/>
            <w:vAlign w:val="center"/>
          </w:tcPr>
          <w:p w14:paraId="763CC7A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2786" w:type="dxa"/>
            <w:noWrap w:val="0"/>
            <w:vAlign w:val="center"/>
          </w:tcPr>
          <w:p w14:paraId="3CC078FF">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2874" w:type="dxa"/>
            <w:noWrap w:val="0"/>
            <w:vAlign w:val="center"/>
          </w:tcPr>
          <w:p w14:paraId="6BA4340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w:t>
            </w:r>
          </w:p>
        </w:tc>
      </w:tr>
      <w:tr w14:paraId="62BCA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2180983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7740" w:type="dxa"/>
            <w:gridSpan w:val="4"/>
            <w:noWrap w:val="0"/>
            <w:vAlign w:val="center"/>
          </w:tcPr>
          <w:p w14:paraId="274E7EA5">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动力蓄电池暂存间：设置动力蓄电池暂存间，</w:t>
            </w:r>
            <w:r>
              <w:rPr>
                <w:rFonts w:hint="eastAsia" w:ascii="Times New Roman" w:hAnsi="Times New Roman"/>
                <w:color w:val="auto"/>
                <w:szCs w:val="21"/>
                <w:lang w:val="en-US" w:eastAsia="zh-CN"/>
              </w:rPr>
              <w:t>动力蓄电池经收集暂存后，定期交由回收网点处理。</w:t>
            </w:r>
            <w:r>
              <w:rPr>
                <w:rFonts w:hint="eastAsia" w:ascii="Times New Roman" w:hAnsi="Times New Roman" w:cs="Times New Roman"/>
                <w:color w:val="auto"/>
                <w:sz w:val="21"/>
                <w:szCs w:val="21"/>
                <w:lang w:val="en-US" w:eastAsia="zh-CN"/>
              </w:rPr>
              <w:t>动力蓄电池暂存间应符合</w:t>
            </w:r>
            <w:r>
              <w:rPr>
                <w:rFonts w:hint="eastAsia" w:ascii="Times New Roman" w:hAnsi="Times New Roman"/>
                <w:color w:val="auto"/>
                <w:szCs w:val="21"/>
                <w:lang w:val="en-GB"/>
              </w:rPr>
              <w:t>《一般工业固体废物贮存和填埋污染控制标准》</w:t>
            </w:r>
            <w:r>
              <w:rPr>
                <w:rFonts w:hint="eastAsia" w:ascii="Times New Roman" w:hAnsi="Times New Roman"/>
                <w:color w:val="auto"/>
                <w:szCs w:val="21"/>
              </w:rPr>
              <w:t>(</w:t>
            </w:r>
            <w:r>
              <w:rPr>
                <w:rFonts w:hint="eastAsia" w:ascii="Times New Roman" w:hAnsi="Times New Roman"/>
                <w:color w:val="auto"/>
                <w:szCs w:val="21"/>
                <w:lang w:val="en-GB"/>
              </w:rPr>
              <w:t>GB 18599-2020</w:t>
            </w:r>
            <w:r>
              <w:rPr>
                <w:rFonts w:hint="eastAsia" w:ascii="Times New Roman" w:hAnsi="Times New Roman"/>
                <w:color w:val="auto"/>
                <w:szCs w:val="21"/>
              </w:rPr>
              <w:t>)</w:t>
            </w:r>
            <w:r>
              <w:rPr>
                <w:rFonts w:hint="eastAsia" w:ascii="Times New Roman" w:hAnsi="Times New Roman"/>
                <w:color w:val="auto"/>
                <w:szCs w:val="21"/>
                <w:lang w:eastAsia="zh-CN"/>
              </w:rPr>
              <w:t>、《废锂离子动力蓄电池处理污染控制技术规范（试行）》（HJ1186-2021）</w:t>
            </w:r>
            <w:r>
              <w:rPr>
                <w:rFonts w:hint="eastAsia" w:ascii="Times New Roman" w:hAnsi="Times New Roman"/>
                <w:color w:val="auto"/>
                <w:szCs w:val="21"/>
                <w:lang w:val="en-US" w:eastAsia="zh-CN"/>
              </w:rPr>
              <w:t>等</w:t>
            </w:r>
            <w:r>
              <w:rPr>
                <w:rFonts w:ascii="Times New Roman" w:hAnsi="Times New Roman"/>
                <w:color w:val="auto"/>
                <w:szCs w:val="21"/>
                <w:lang w:val="en-GB"/>
              </w:rPr>
              <w:t>相关要求</w:t>
            </w:r>
            <w:r>
              <w:rPr>
                <w:rFonts w:hint="eastAsia" w:ascii="Times New Roman" w:hAnsi="Times New Roman"/>
                <w:color w:val="auto"/>
                <w:szCs w:val="21"/>
                <w:lang w:val="en-GB" w:eastAsia="zh-CN"/>
              </w:rPr>
              <w:t>，间内设置防腐防渗紧急收集池，</w:t>
            </w:r>
            <w:r>
              <w:rPr>
                <w:rFonts w:hint="eastAsia" w:ascii="Times New Roman" w:hAnsi="Times New Roman"/>
                <w:color w:val="auto"/>
                <w:szCs w:val="21"/>
                <w:lang w:val="en-US" w:eastAsia="zh-CN"/>
              </w:rPr>
              <w:t>动力蓄电池经收集暂存后，定期交由回收网点处理。</w:t>
            </w:r>
          </w:p>
          <w:p w14:paraId="46F18F84">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cs="Times New Roman"/>
                <w:color w:val="auto"/>
                <w:sz w:val="21"/>
                <w:szCs w:val="21"/>
                <w:lang w:val="en-GB" w:eastAsia="zh-CN"/>
              </w:rPr>
            </w:pPr>
            <w:r>
              <w:rPr>
                <w:rFonts w:hint="default" w:ascii="Times New Roman" w:hAnsi="Times New Roman" w:cs="Times New Roman"/>
                <w:color w:val="auto"/>
                <w:sz w:val="21"/>
                <w:szCs w:val="21"/>
                <w:lang w:val="en-GB" w:eastAsia="zh-CN"/>
              </w:rPr>
              <w:t>一般工业固废：</w:t>
            </w:r>
            <w:r>
              <w:rPr>
                <w:rFonts w:hint="default" w:ascii="Times New Roman" w:hAnsi="Times New Roman" w:cs="Times New Roman"/>
                <w:color w:val="auto"/>
                <w:sz w:val="21"/>
                <w:szCs w:val="21"/>
                <w:lang w:val="en-GB"/>
              </w:rPr>
              <w:t>设置一般工业固废暂存间，</w:t>
            </w:r>
            <w:r>
              <w:rPr>
                <w:rFonts w:hint="eastAsia" w:ascii="Times New Roman" w:hAnsi="Times New Roman" w:cs="Times New Roman"/>
                <w:color w:val="auto"/>
                <w:sz w:val="21"/>
                <w:szCs w:val="21"/>
                <w:lang w:val="en-US" w:eastAsia="zh-CN"/>
              </w:rPr>
              <w:t>不可利用废杂物、布袋收集尘及地面清扫尘经分类收集暂存后，不可利用废杂物交由环卫部门统一清运处置，布袋收集尘及地面清扫尘、水处理废过滤材料、废液化气燃料罐委托合规处置单位利用处置</w:t>
            </w:r>
            <w:r>
              <w:rPr>
                <w:rFonts w:hint="default" w:ascii="Times New Roman" w:hAnsi="Times New Roman" w:cs="Times New Roman"/>
                <w:color w:val="auto"/>
                <w:sz w:val="21"/>
                <w:szCs w:val="21"/>
                <w:lang w:val="en-GB" w:eastAsia="zh-CN"/>
              </w:rPr>
              <w:t>；一般工业固废</w:t>
            </w:r>
            <w:r>
              <w:rPr>
                <w:rFonts w:hint="eastAsia" w:ascii="Times New Roman" w:hAnsi="Times New Roman" w:cs="Times New Roman"/>
                <w:color w:val="auto"/>
                <w:sz w:val="21"/>
                <w:szCs w:val="21"/>
                <w:lang w:val="en-GB" w:eastAsia="zh-CN"/>
              </w:rPr>
              <w:t>暂存间</w:t>
            </w:r>
            <w:r>
              <w:rPr>
                <w:rFonts w:hint="eastAsia" w:ascii="Times New Roman" w:hAnsi="Times New Roman" w:cs="Times New Roman"/>
                <w:color w:val="auto"/>
                <w:sz w:val="21"/>
                <w:szCs w:val="21"/>
                <w:lang w:val="en-US" w:eastAsia="zh-CN"/>
              </w:rPr>
              <w:t>应符合</w:t>
            </w:r>
            <w:r>
              <w:rPr>
                <w:rFonts w:hint="eastAsia" w:ascii="Times New Roman" w:hAnsi="Times New Roman"/>
                <w:color w:val="auto"/>
                <w:szCs w:val="21"/>
                <w:lang w:val="en-GB"/>
              </w:rPr>
              <w:t>《一般工业固体废物贮存和填埋污染控制标准》</w:t>
            </w:r>
            <w:r>
              <w:rPr>
                <w:rFonts w:hint="eastAsia" w:ascii="Times New Roman" w:hAnsi="Times New Roman"/>
                <w:color w:val="auto"/>
                <w:szCs w:val="21"/>
              </w:rPr>
              <w:t>(</w:t>
            </w:r>
            <w:r>
              <w:rPr>
                <w:rFonts w:hint="eastAsia" w:ascii="Times New Roman" w:hAnsi="Times New Roman"/>
                <w:color w:val="auto"/>
                <w:szCs w:val="21"/>
                <w:lang w:val="en-GB"/>
              </w:rPr>
              <w:t>GB18599-2020</w:t>
            </w:r>
            <w:r>
              <w:rPr>
                <w:rFonts w:hint="eastAsia" w:ascii="Times New Roman" w:hAnsi="Times New Roman"/>
                <w:color w:val="auto"/>
                <w:szCs w:val="21"/>
              </w:rPr>
              <w:t>)</w:t>
            </w:r>
            <w:r>
              <w:rPr>
                <w:rFonts w:ascii="Times New Roman" w:hAnsi="Times New Roman"/>
                <w:color w:val="auto"/>
                <w:szCs w:val="21"/>
                <w:lang w:val="en-GB"/>
              </w:rPr>
              <w:t>的相关要求</w:t>
            </w:r>
            <w:r>
              <w:rPr>
                <w:rFonts w:hint="default" w:ascii="Times New Roman" w:hAnsi="Times New Roman" w:cs="Times New Roman"/>
                <w:color w:val="auto"/>
                <w:sz w:val="21"/>
                <w:szCs w:val="21"/>
                <w:lang w:val="en-GB" w:eastAsia="zh-CN"/>
              </w:rPr>
              <w:t>；</w:t>
            </w:r>
          </w:p>
          <w:p w14:paraId="53987DEE">
            <w:pPr>
              <w:keepNext w:val="0"/>
              <w:keepLines w:val="0"/>
              <w:pageBreakBefore w:val="0"/>
              <w:widowControl w:val="0"/>
              <w:kinsoku/>
              <w:wordWrap/>
              <w:overflowPunct/>
              <w:topLinePunct w:val="0"/>
              <w:bidi w:val="0"/>
              <w:adjustRightInd w:val="0"/>
              <w:snapToGrid w:val="0"/>
              <w:spacing w:line="340" w:lineRule="exact"/>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危险废物：设置</w:t>
            </w:r>
            <w:r>
              <w:rPr>
                <w:rFonts w:hint="default" w:ascii="Times New Roman" w:hAnsi="Times New Roman" w:cs="Times New Roman"/>
                <w:color w:val="auto"/>
                <w:sz w:val="21"/>
                <w:szCs w:val="21"/>
              </w:rPr>
              <w:t>危险废物暂存间，</w:t>
            </w:r>
            <w:r>
              <w:rPr>
                <w:rFonts w:hint="eastAsia" w:ascii="Times New Roman" w:hAnsi="Times New Roman" w:cs="Times New Roman"/>
                <w:color w:val="auto"/>
                <w:sz w:val="21"/>
                <w:szCs w:val="21"/>
                <w:lang w:val="en-US" w:eastAsia="zh-CN"/>
              </w:rPr>
              <w:t>废铅酸蓄电池、废油液、废制冷剂、废活性炭等危险废物经</w:t>
            </w:r>
            <w:r>
              <w:rPr>
                <w:rFonts w:hint="default" w:ascii="Times New Roman" w:hAnsi="Times New Roman" w:cs="Times New Roman"/>
                <w:color w:val="auto"/>
                <w:sz w:val="21"/>
                <w:szCs w:val="21"/>
                <w:lang w:val="en-GB"/>
              </w:rPr>
              <w:t>妥善收集</w:t>
            </w:r>
            <w:r>
              <w:rPr>
                <w:rFonts w:hint="eastAsia" w:ascii="Times New Roman" w:hAnsi="Times New Roman" w:cs="Times New Roman"/>
                <w:color w:val="auto"/>
                <w:sz w:val="21"/>
                <w:szCs w:val="21"/>
                <w:lang w:val="en-GB" w:eastAsia="zh-CN"/>
              </w:rPr>
              <w:t>，</w:t>
            </w:r>
            <w:r>
              <w:rPr>
                <w:rFonts w:hint="eastAsia" w:ascii="Times New Roman" w:hAnsi="Times New Roman" w:cs="Times New Roman"/>
                <w:color w:val="auto"/>
                <w:sz w:val="21"/>
                <w:szCs w:val="21"/>
                <w:lang w:val="en-US" w:eastAsia="zh-CN"/>
              </w:rPr>
              <w:t>在危废暂存间内分类分区暂存，</w:t>
            </w:r>
            <w:r>
              <w:rPr>
                <w:rFonts w:hint="default" w:ascii="Times New Roman" w:hAnsi="Times New Roman" w:cs="Times New Roman"/>
                <w:color w:val="auto"/>
                <w:sz w:val="21"/>
                <w:szCs w:val="21"/>
              </w:rPr>
              <w:t>定期委托有资质的单位进行处置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危险废物暂存间</w:t>
            </w:r>
            <w:r>
              <w:rPr>
                <w:rFonts w:hint="eastAsia" w:ascii="Times New Roman" w:hAnsi="Times New Roman" w:cs="Times New Roman"/>
                <w:color w:val="auto"/>
                <w:sz w:val="21"/>
                <w:szCs w:val="21"/>
                <w:lang w:val="en-US" w:eastAsia="zh-CN"/>
              </w:rPr>
              <w:t>应符合</w:t>
            </w:r>
            <w:r>
              <w:rPr>
                <w:rFonts w:hint="default" w:ascii="Times New Roman" w:hAnsi="Times New Roman" w:cs="Times New Roman"/>
                <w:color w:val="auto"/>
                <w:sz w:val="21"/>
                <w:szCs w:val="21"/>
                <w:lang w:val="en-GB"/>
              </w:rPr>
              <w:t>《危险废物贮存污染控制标准》(GB 18597-20</w:t>
            </w:r>
            <w:r>
              <w:rPr>
                <w:rFonts w:hint="eastAsia" w:ascii="Times New Roman" w:hAnsi="Times New Roman" w:cs="Times New Roman"/>
                <w:color w:val="auto"/>
                <w:sz w:val="21"/>
                <w:szCs w:val="21"/>
                <w:lang w:val="en-US" w:eastAsia="zh-CN"/>
              </w:rPr>
              <w:t>23</w:t>
            </w:r>
            <w:r>
              <w:rPr>
                <w:rFonts w:hint="default" w:ascii="Times New Roman" w:hAnsi="Times New Roman" w:cs="Times New Roman"/>
                <w:color w:val="auto"/>
                <w:sz w:val="21"/>
                <w:szCs w:val="21"/>
                <w:lang w:val="en-GB"/>
              </w:rPr>
              <w:t>)要求</w:t>
            </w:r>
            <w:r>
              <w:rPr>
                <w:rFonts w:hint="eastAsia" w:ascii="Times New Roman" w:hAnsi="Times New Roman" w:cs="Times New Roman"/>
                <w:color w:val="auto"/>
                <w:sz w:val="21"/>
                <w:szCs w:val="21"/>
                <w:lang w:val="en-GB" w:eastAsia="zh-CN"/>
              </w:rPr>
              <w:t>，</w:t>
            </w:r>
            <w:r>
              <w:rPr>
                <w:rFonts w:hint="eastAsia" w:ascii="Times New Roman" w:hAnsi="Times New Roman" w:cs="Times New Roman"/>
                <w:color w:val="auto"/>
                <w:sz w:val="21"/>
                <w:szCs w:val="21"/>
                <w:lang w:val="en-US" w:eastAsia="zh-CN"/>
              </w:rPr>
              <w:t>废铅酸蓄电池暂存分区还应设置地面设置耐酸隔离层</w:t>
            </w:r>
            <w:r>
              <w:rPr>
                <w:rFonts w:hint="eastAsia" w:ascii="Times New Roman" w:hAnsi="Times New Roman" w:cs="Times New Roman"/>
                <w:color w:val="auto"/>
                <w:sz w:val="21"/>
                <w:szCs w:val="21"/>
                <w:lang w:val="en-GB" w:eastAsia="zh-CN"/>
              </w:rPr>
              <w:t>；</w:t>
            </w:r>
            <w:r>
              <w:rPr>
                <w:rFonts w:hint="eastAsia" w:ascii="Times New Roman" w:hAnsi="Times New Roman" w:eastAsia="宋体" w:cs="Times New Roman"/>
                <w:color w:val="auto"/>
                <w:sz w:val="21"/>
                <w:szCs w:val="21"/>
                <w:lang w:val="en-US" w:eastAsia="zh-CN"/>
              </w:rPr>
              <w:t>危险废物标识按照《危险废物识别标志设置技术规范》(HJ 1276-2022)要求进行</w:t>
            </w:r>
            <w:r>
              <w:rPr>
                <w:rFonts w:hint="default" w:ascii="Times New Roman" w:hAnsi="Times New Roman" w:eastAsia="宋体" w:cs="Times New Roman"/>
                <w:color w:val="auto"/>
                <w:sz w:val="21"/>
                <w:szCs w:val="21"/>
                <w:lang w:val="en-GB" w:eastAsia="zh-CN"/>
              </w:rPr>
              <w:t>；</w:t>
            </w:r>
            <w:r>
              <w:rPr>
                <w:rFonts w:hint="eastAsia" w:ascii="Times New Roman" w:hAnsi="Times New Roman" w:eastAsia="宋体"/>
                <w:color w:val="auto"/>
                <w:spacing w:val="0"/>
                <w:sz w:val="21"/>
                <w:highlight w:val="none"/>
                <w:shd w:val="clear" w:color="auto" w:fill="FFFFFF"/>
                <w:lang w:eastAsia="zh-CN"/>
              </w:rPr>
              <w:t>含油废抹布及手套</w:t>
            </w:r>
            <w:r>
              <w:rPr>
                <w:rFonts w:hint="eastAsia" w:ascii="Times New Roman" w:hAnsi="Times New Roman" w:eastAsia="宋体"/>
                <w:color w:val="auto"/>
                <w:spacing w:val="0"/>
                <w:sz w:val="21"/>
                <w:highlight w:val="none"/>
                <w:shd w:val="clear" w:color="auto" w:fill="FFFFFF"/>
              </w:rPr>
              <w:t>混入生活垃圾，由当地环卫部门统一清运处置</w:t>
            </w:r>
            <w:r>
              <w:rPr>
                <w:rFonts w:hint="eastAsia" w:ascii="Times New Roman" w:hAnsi="Times New Roman" w:eastAsia="宋体"/>
                <w:color w:val="auto"/>
                <w:spacing w:val="0"/>
                <w:sz w:val="21"/>
                <w:highlight w:val="none"/>
                <w:shd w:val="clear" w:color="auto" w:fill="FFFFFF"/>
                <w:lang w:eastAsia="zh-CN"/>
              </w:rPr>
              <w:t>。</w:t>
            </w:r>
          </w:p>
          <w:p w14:paraId="23FB927E">
            <w:pPr>
              <w:keepNext w:val="0"/>
              <w:keepLines w:val="0"/>
              <w:pageBreakBefore w:val="0"/>
              <w:widowControl w:val="0"/>
              <w:kinsoku/>
              <w:wordWrap/>
              <w:overflowPunct/>
              <w:topLinePunct w:val="0"/>
              <w:bidi w:val="0"/>
              <w:adjustRightInd w:val="0"/>
              <w:snapToGrid w:val="0"/>
              <w:spacing w:line="340" w:lineRule="exact"/>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生活垃圾：</w:t>
            </w:r>
            <w:r>
              <w:rPr>
                <w:rFonts w:hint="default" w:ascii="Times New Roman" w:hAnsi="Times New Roman" w:cs="Times New Roman"/>
                <w:color w:val="auto"/>
                <w:sz w:val="21"/>
                <w:szCs w:val="21"/>
              </w:rPr>
              <w:t>由垃圾桶收集，由市政环卫部门统一清运处理</w:t>
            </w:r>
            <w:r>
              <w:rPr>
                <w:rFonts w:hint="eastAsia" w:ascii="Times New Roman" w:hAnsi="Times New Roman" w:cs="Times New Roman"/>
                <w:color w:val="auto"/>
                <w:sz w:val="21"/>
                <w:szCs w:val="21"/>
                <w:lang w:eastAsia="zh-CN"/>
              </w:rPr>
              <w:t>；</w:t>
            </w:r>
          </w:p>
        </w:tc>
      </w:tr>
      <w:tr w14:paraId="29590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79CF2F9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土壤及地下水污染防治措施</w:t>
            </w:r>
          </w:p>
        </w:tc>
        <w:tc>
          <w:tcPr>
            <w:tcW w:w="7740" w:type="dxa"/>
            <w:gridSpan w:val="4"/>
            <w:noWrap w:val="0"/>
            <w:vAlign w:val="center"/>
          </w:tcPr>
          <w:p w14:paraId="6509D46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合理进行防渗区域划分</w:t>
            </w:r>
            <w:r>
              <w:rPr>
                <w:rFonts w:hint="default" w:ascii="Times New Roman" w:hAnsi="Times New Roman" w:cs="Times New Roman"/>
                <w:color w:val="auto"/>
                <w:sz w:val="21"/>
                <w:szCs w:val="21"/>
                <w:lang w:eastAsia="zh-CN"/>
              </w:rPr>
              <w:t>，危险暂存间</w:t>
            </w:r>
            <w:r>
              <w:rPr>
                <w:rFonts w:hint="eastAsia" w:ascii="Times New Roman" w:hAnsi="Times New Roman" w:cs="Times New Roman"/>
                <w:color w:val="auto"/>
                <w:sz w:val="21"/>
                <w:szCs w:val="21"/>
                <w:lang w:eastAsia="zh-CN"/>
              </w:rPr>
              <w:t>、拆</w:t>
            </w:r>
            <w:r>
              <w:rPr>
                <w:rFonts w:hint="eastAsia" w:ascii="Times New Roman" w:hAnsi="Times New Roman" w:cs="Times New Roman"/>
                <w:color w:val="auto"/>
                <w:sz w:val="21"/>
                <w:szCs w:val="21"/>
                <w:lang w:val="en-US" w:eastAsia="zh-CN"/>
              </w:rPr>
              <w:t>预处理车间、大小车拆解车间、废变压器拆解车间、电解液应急收集池、收集池、废水处理设施等</w:t>
            </w:r>
            <w:r>
              <w:rPr>
                <w:rFonts w:hint="default" w:ascii="Times New Roman" w:hAnsi="Times New Roman" w:cs="Times New Roman"/>
                <w:color w:val="auto"/>
                <w:sz w:val="21"/>
                <w:szCs w:val="21"/>
                <w:lang w:eastAsia="zh-CN"/>
              </w:rPr>
              <w:t>按</w:t>
            </w:r>
            <w:r>
              <w:rPr>
                <w:rFonts w:hint="default" w:ascii="Times New Roman" w:hAnsi="Times New Roman" w:cs="Times New Roman"/>
                <w:color w:val="auto"/>
                <w:sz w:val="21"/>
                <w:szCs w:val="21"/>
              </w:rPr>
              <w:t>重点污染区防渗要求</w:t>
            </w:r>
            <w:r>
              <w:rPr>
                <w:rFonts w:hint="default" w:ascii="Times New Roman" w:hAnsi="Times New Roman" w:cs="Times New Roman"/>
                <w:color w:val="auto"/>
                <w:sz w:val="21"/>
                <w:szCs w:val="21"/>
                <w:lang w:eastAsia="zh-CN"/>
              </w:rPr>
              <w:t>进行建设</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一般工业固废间</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仓库区</w:t>
            </w:r>
            <w:r>
              <w:rPr>
                <w:rFonts w:hint="default" w:ascii="Times New Roman" w:hAnsi="Times New Roman" w:cs="Times New Roman"/>
                <w:color w:val="auto"/>
                <w:sz w:val="21"/>
                <w:szCs w:val="21"/>
                <w:lang w:eastAsia="zh-CN"/>
              </w:rPr>
              <w:t>等按</w:t>
            </w:r>
            <w:r>
              <w:rPr>
                <w:rFonts w:hint="default" w:ascii="Times New Roman" w:hAnsi="Times New Roman" w:cs="Times New Roman"/>
                <w:color w:val="auto"/>
                <w:sz w:val="21"/>
                <w:szCs w:val="21"/>
              </w:rPr>
              <w:t>一般污染区防渗要求</w:t>
            </w:r>
            <w:r>
              <w:rPr>
                <w:rFonts w:hint="default" w:ascii="Times New Roman" w:hAnsi="Times New Roman" w:cs="Times New Roman"/>
                <w:color w:val="auto"/>
                <w:sz w:val="21"/>
                <w:szCs w:val="21"/>
                <w:lang w:eastAsia="zh-CN"/>
              </w:rPr>
              <w:t>进行建设，</w:t>
            </w:r>
            <w:r>
              <w:rPr>
                <w:rFonts w:hint="default" w:ascii="Times New Roman" w:hAnsi="Times New Roman" w:cs="Times New Roman"/>
                <w:color w:val="auto"/>
                <w:sz w:val="21"/>
                <w:szCs w:val="21"/>
              </w:rPr>
              <w:t>且具有防雨、防渗、防风、防日晒</w:t>
            </w:r>
            <w:r>
              <w:rPr>
                <w:rFonts w:hint="default" w:ascii="Times New Roman" w:hAnsi="Times New Roman" w:cs="Times New Roman"/>
                <w:color w:val="auto"/>
                <w:sz w:val="21"/>
                <w:szCs w:val="21"/>
                <w:lang w:eastAsia="zh-CN"/>
              </w:rPr>
              <w:t>等</w:t>
            </w:r>
            <w:r>
              <w:rPr>
                <w:rFonts w:hint="default" w:ascii="Times New Roman" w:hAnsi="Times New Roman" w:cs="Times New Roman"/>
                <w:color w:val="auto"/>
                <w:sz w:val="21"/>
                <w:szCs w:val="21"/>
              </w:rPr>
              <w:t>功能</w:t>
            </w:r>
          </w:p>
        </w:tc>
      </w:tr>
      <w:tr w14:paraId="58146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1EEC55DF">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生态保护措施</w:t>
            </w:r>
          </w:p>
        </w:tc>
        <w:tc>
          <w:tcPr>
            <w:tcW w:w="7740" w:type="dxa"/>
            <w:gridSpan w:val="4"/>
            <w:noWrap w:val="0"/>
            <w:vAlign w:val="center"/>
          </w:tcPr>
          <w:p w14:paraId="27308F7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w:t>
            </w:r>
          </w:p>
        </w:tc>
      </w:tr>
      <w:tr w14:paraId="5CC0A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0A4695A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p w14:paraId="2908766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防范措施</w:t>
            </w:r>
          </w:p>
        </w:tc>
        <w:tc>
          <w:tcPr>
            <w:tcW w:w="7740" w:type="dxa"/>
            <w:gridSpan w:val="4"/>
            <w:noWrap w:val="0"/>
            <w:vAlign w:val="center"/>
          </w:tcPr>
          <w:p w14:paraId="0B2F8765">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厂区分区防渗，</w:t>
            </w:r>
            <w:r>
              <w:rPr>
                <w:rFonts w:hint="default" w:ascii="Times New Roman" w:hAnsi="Times New Roman" w:eastAsia="宋体" w:cs="Times New Roman"/>
                <w:color w:val="auto"/>
                <w:sz w:val="21"/>
                <w:szCs w:val="21"/>
                <w:lang w:eastAsia="zh-CN"/>
              </w:rPr>
              <w:t>危险暂存间四周设置导流沟</w:t>
            </w:r>
            <w:r>
              <w:rPr>
                <w:rFonts w:hint="eastAsia" w:ascii="Times New Roman" w:hAnsi="Times New Roman" w:eastAsia="宋体" w:cs="Times New Roman"/>
                <w:color w:val="auto"/>
                <w:sz w:val="21"/>
                <w:szCs w:val="21"/>
                <w:lang w:val="en-US" w:eastAsia="zh-CN"/>
              </w:rPr>
              <w:t>和集液坑，</w:t>
            </w:r>
            <w:r>
              <w:rPr>
                <w:rFonts w:hint="default" w:ascii="Times New Roman" w:hAnsi="Times New Roman" w:eastAsia="宋体" w:cs="Times New Roman"/>
                <w:color w:val="auto"/>
                <w:sz w:val="21"/>
                <w:szCs w:val="21"/>
              </w:rPr>
              <w:t>厂区内严禁烟火，</w:t>
            </w:r>
            <w:r>
              <w:rPr>
                <w:rFonts w:hint="default" w:ascii="Times New Roman" w:hAnsi="Times New Roman" w:eastAsia="宋体" w:cs="Times New Roman"/>
                <w:color w:val="auto"/>
                <w:sz w:val="21"/>
                <w:szCs w:val="21"/>
                <w:lang w:val="en-US" w:eastAsia="zh-CN"/>
              </w:rPr>
              <w:t>配备</w:t>
            </w:r>
            <w:r>
              <w:rPr>
                <w:rFonts w:hint="default" w:ascii="Times New Roman" w:hAnsi="Times New Roman" w:eastAsia="宋体" w:cs="Times New Roman"/>
                <w:color w:val="auto"/>
                <w:sz w:val="21"/>
                <w:szCs w:val="21"/>
              </w:rPr>
              <w:t>相应的堵漏材料(</w:t>
            </w:r>
            <w:r>
              <w:rPr>
                <w:rFonts w:hint="eastAsia" w:ascii="Times New Roman" w:hAnsi="Times New Roman" w:eastAsia="宋体" w:cs="Times New Roman"/>
                <w:color w:val="auto"/>
                <w:sz w:val="21"/>
                <w:szCs w:val="21"/>
                <w:lang w:eastAsia="zh-CN"/>
              </w:rPr>
              <w:t>沙袋</w:t>
            </w:r>
            <w:r>
              <w:rPr>
                <w:rFonts w:hint="default" w:ascii="Times New Roman" w:hAnsi="Times New Roman" w:eastAsia="宋体" w:cs="Times New Roman"/>
                <w:color w:val="auto"/>
                <w:sz w:val="21"/>
                <w:szCs w:val="21"/>
              </w:rPr>
              <w:t>、吸油毡</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干粉灭火器、电池专用灭火器</w:t>
            </w:r>
            <w:r>
              <w:rPr>
                <w:rFonts w:hint="default" w:ascii="Times New Roman" w:hAnsi="Times New Roman" w:eastAsia="宋体" w:cs="Times New Roman"/>
                <w:color w:val="auto"/>
                <w:sz w:val="21"/>
                <w:szCs w:val="21"/>
              </w:rPr>
              <w:t>等)</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收集池、</w:t>
            </w:r>
            <w:r>
              <w:rPr>
                <w:rFonts w:hint="eastAsia" w:ascii="Times New Roman" w:hAnsi="Times New Roman" w:eastAsia="宋体" w:cs="Times New Roman"/>
                <w:color w:val="auto"/>
                <w:sz w:val="21"/>
                <w:szCs w:val="21"/>
                <w:lang w:eastAsia="zh-CN"/>
              </w:rPr>
              <w:t>废水处理系统进出水口设置阀门，</w:t>
            </w:r>
            <w:r>
              <w:rPr>
                <w:rFonts w:hint="default" w:ascii="Times New Roman" w:hAnsi="Times New Roman" w:eastAsia="宋体" w:cs="Times New Roman"/>
                <w:color w:val="auto"/>
                <w:highlight w:val="none"/>
                <w:lang w:val="en-GB"/>
              </w:rPr>
              <w:t>制订应急预案</w:t>
            </w:r>
            <w:r>
              <w:rPr>
                <w:rFonts w:hint="eastAsia" w:ascii="Times New Roman" w:hAnsi="Times New Roman" w:eastAsia="宋体" w:cs="Times New Roman"/>
                <w:color w:val="auto"/>
                <w:highlight w:val="none"/>
                <w:lang w:val="en-US" w:eastAsia="zh-CN"/>
              </w:rPr>
              <w:t>等</w:t>
            </w:r>
          </w:p>
        </w:tc>
      </w:tr>
      <w:tr w14:paraId="47C93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55C793E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其他环境</w:t>
            </w:r>
          </w:p>
          <w:p w14:paraId="5ACB314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管理要求</w:t>
            </w:r>
          </w:p>
        </w:tc>
        <w:tc>
          <w:tcPr>
            <w:tcW w:w="7740" w:type="dxa"/>
            <w:gridSpan w:val="4"/>
            <w:noWrap w:val="0"/>
            <w:vAlign w:val="center"/>
          </w:tcPr>
          <w:p w14:paraId="2460135A">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b/>
                <w:bCs/>
                <w:color w:val="auto"/>
                <w:lang w:val="en-US" w:eastAsia="zh-CN"/>
              </w:rPr>
            </w:pPr>
            <w:r>
              <w:rPr>
                <w:rFonts w:hint="default" w:ascii="Times New Roman" w:hAnsi="Times New Roman"/>
                <w:b/>
                <w:bCs/>
                <w:color w:val="auto"/>
                <w:lang w:val="en-US" w:eastAsia="zh-CN"/>
              </w:rPr>
              <w:t>1、</w:t>
            </w:r>
            <w:r>
              <w:rPr>
                <w:rFonts w:hint="default" w:ascii="Times New Roman" w:hAnsi="Times New Roman"/>
                <w:b/>
                <w:bCs/>
                <w:color w:val="auto"/>
              </w:rPr>
              <w:t>竣工环境保护验收</w:t>
            </w:r>
          </w:p>
          <w:p w14:paraId="51BF630C">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color w:val="auto"/>
                <w:lang w:val="en-US" w:eastAsia="zh-CN"/>
              </w:rPr>
            </w:pPr>
            <w:r>
              <w:rPr>
                <w:rFonts w:hint="default" w:ascii="Times New Roman" w:hAnsi="Times New Roman"/>
                <w:color w:val="auto"/>
              </w:rPr>
              <w:t>根据《建设项目竣工环境保护验收暂行办法》的规定，建设项目竣工后，建设单位应当如实查验、监测、记载建设项目环境保护设施的建设和调试情况，编制验收监测报告</w:t>
            </w:r>
            <w:r>
              <w:rPr>
                <w:rFonts w:hint="default" w:ascii="Times New Roman" w:hAnsi="Times New Roman"/>
                <w:color w:val="auto"/>
                <w:lang w:eastAsia="zh-CN"/>
              </w:rPr>
              <w:t>表</w:t>
            </w:r>
            <w:r>
              <w:rPr>
                <w:rFonts w:hint="default" w:ascii="Times New Roman" w:hAnsi="Times New Roman"/>
                <w:color w:val="auto"/>
                <w:lang w:val="en-US" w:eastAsia="zh-CN"/>
              </w:rPr>
              <w:t>。</w:t>
            </w:r>
          </w:p>
          <w:p w14:paraId="5023B173">
            <w:pPr>
              <w:keepNext w:val="0"/>
              <w:keepLines w:val="0"/>
              <w:pageBreakBefore w:val="0"/>
              <w:widowControl w:val="0"/>
              <w:kinsoku/>
              <w:wordWrap/>
              <w:overflowPunct/>
              <w:topLinePunct w:val="0"/>
              <w:bidi w:val="0"/>
              <w:adjustRightInd w:val="0"/>
              <w:snapToGrid w:val="0"/>
              <w:spacing w:line="340" w:lineRule="exact"/>
              <w:jc w:val="both"/>
              <w:textAlignment w:val="auto"/>
              <w:rPr>
                <w:rFonts w:hint="default" w:ascii="Times New Roman" w:hAnsi="Times New Roman"/>
                <w:b/>
                <w:bCs/>
                <w:color w:val="auto"/>
                <w:lang w:val="en-US" w:eastAsia="zh-CN"/>
              </w:rPr>
            </w:pPr>
            <w:r>
              <w:rPr>
                <w:rFonts w:hint="default" w:ascii="Times New Roman" w:hAnsi="Times New Roman"/>
                <w:b/>
                <w:bCs/>
                <w:color w:val="auto"/>
                <w:lang w:val="en-US" w:eastAsia="zh-CN"/>
              </w:rPr>
              <w:t>2、</w:t>
            </w:r>
            <w:r>
              <w:rPr>
                <w:rFonts w:hint="default" w:ascii="Times New Roman" w:hAnsi="Times New Roman"/>
                <w:b/>
                <w:bCs/>
                <w:color w:val="auto"/>
              </w:rPr>
              <w:t>排污许可</w:t>
            </w:r>
            <w:r>
              <w:rPr>
                <w:rFonts w:hint="default" w:ascii="Times New Roman" w:hAnsi="Times New Roman"/>
                <w:b/>
                <w:bCs/>
                <w:color w:val="auto"/>
                <w:lang w:eastAsia="zh-CN"/>
              </w:rPr>
              <w:t>管理要求</w:t>
            </w:r>
          </w:p>
          <w:p w14:paraId="1F56E565">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根据《固定污染源排污许可分类管理名录(2019年版)》(生态环境部 第11号)可知，本项目实行排污许可</w:t>
            </w:r>
            <w:r>
              <w:rPr>
                <w:rFonts w:hint="default" w:ascii="Times New Roman" w:hAnsi="Times New Roman" w:eastAsia="宋体" w:cs="Times New Roman"/>
                <w:color w:val="auto"/>
                <w:sz w:val="21"/>
                <w:szCs w:val="21"/>
                <w:lang w:eastAsia="zh-CN"/>
              </w:rPr>
              <w:t>简化管理</w:t>
            </w:r>
            <w:r>
              <w:rPr>
                <w:rFonts w:hint="default" w:ascii="Times New Roman" w:hAnsi="Times New Roman" w:eastAsia="宋体" w:cs="Times New Roman"/>
                <w:bCs/>
                <w:color w:val="auto"/>
                <w:sz w:val="21"/>
                <w:szCs w:val="21"/>
                <w:u w:val="none"/>
                <w:lang w:val="en-US" w:eastAsia="zh-CN"/>
              </w:rPr>
              <w:t>(详见表</w:t>
            </w:r>
            <w:r>
              <w:rPr>
                <w:rFonts w:hint="eastAsia" w:ascii="Times New Roman" w:hAnsi="Times New Roman" w:eastAsia="宋体" w:cs="Times New Roman"/>
                <w:bCs/>
                <w:color w:val="auto"/>
                <w:sz w:val="21"/>
                <w:szCs w:val="21"/>
                <w:u w:val="none"/>
                <w:lang w:val="en-US" w:eastAsia="zh-CN"/>
              </w:rPr>
              <w:t>5-1</w:t>
            </w:r>
            <w:r>
              <w:rPr>
                <w:rFonts w:hint="default" w:ascii="Times New Roman" w:hAnsi="Times New Roman" w:eastAsia="宋体" w:cs="Times New Roman"/>
                <w:bCs/>
                <w:color w:val="auto"/>
                <w:sz w:val="21"/>
                <w:szCs w:val="21"/>
                <w:u w:val="none"/>
                <w:lang w:val="en-US" w:eastAsia="zh-CN"/>
              </w:rPr>
              <w:t>)</w:t>
            </w:r>
            <w:r>
              <w:rPr>
                <w:rFonts w:hint="default" w:ascii="Times New Roman" w:hAnsi="Times New Roman" w:eastAsia="宋体" w:cs="Times New Roman"/>
                <w:color w:val="auto"/>
                <w:sz w:val="21"/>
                <w:szCs w:val="21"/>
              </w:rPr>
              <w:t>；因此，建设单位应当在启动生产设施或者发生实际排污之前在全国排污许可证管理信息平台进行排污许可</w:t>
            </w:r>
            <w:r>
              <w:rPr>
                <w:rFonts w:hint="eastAsia" w:ascii="Times New Roman" w:hAnsi="Times New Roman" w:eastAsia="宋体" w:cs="Times New Roman"/>
                <w:color w:val="auto"/>
                <w:sz w:val="21"/>
                <w:szCs w:val="21"/>
                <w:lang w:val="en-US" w:eastAsia="zh-CN"/>
              </w:rPr>
              <w:t>申报</w:t>
            </w:r>
            <w:r>
              <w:rPr>
                <w:rFonts w:hint="default" w:ascii="Times New Roman" w:hAnsi="Times New Roman" w:eastAsia="宋体" w:cs="Times New Roman"/>
                <w:color w:val="auto"/>
                <w:sz w:val="21"/>
                <w:szCs w:val="21"/>
              </w:rPr>
              <w:t>。</w:t>
            </w:r>
          </w:p>
          <w:p w14:paraId="6EB4D59B">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lang w:eastAsia="zh-CN"/>
              </w:rPr>
              <w:t>表</w:t>
            </w:r>
            <w:r>
              <w:rPr>
                <w:rFonts w:hint="eastAsia" w:ascii="Times New Roman" w:hAnsi="Times New Roman" w:eastAsia="黑体" w:cs="Times New Roman"/>
                <w:color w:val="auto"/>
                <w:sz w:val="21"/>
                <w:szCs w:val="21"/>
                <w:highlight w:val="none"/>
                <w:lang w:val="en-US" w:eastAsia="zh-CN"/>
              </w:rPr>
              <w:t>5-1</w:t>
            </w:r>
            <w:r>
              <w:rPr>
                <w:rFonts w:hint="default" w:ascii="Times New Roman" w:hAnsi="Times New Roman" w:eastAsia="黑体" w:cs="Times New Roman"/>
                <w:color w:val="auto"/>
                <w:sz w:val="21"/>
                <w:szCs w:val="21"/>
                <w:highlight w:val="none"/>
                <w:lang w:val="en-US" w:eastAsia="zh-CN"/>
              </w:rPr>
              <w:t xml:space="preserve">    </w:t>
            </w:r>
            <w:r>
              <w:rPr>
                <w:rFonts w:hint="default" w:ascii="Times New Roman" w:hAnsi="Times New Roman" w:eastAsia="黑体" w:cs="Times New Roman"/>
                <w:color w:val="auto"/>
                <w:sz w:val="21"/>
                <w:szCs w:val="21"/>
                <w:highlight w:val="none"/>
              </w:rPr>
              <w:t>固定污染源排污许可分类管理名录(摘录)</w:t>
            </w:r>
          </w:p>
          <w:tbl>
            <w:tblPr>
              <w:tblStyle w:val="20"/>
              <w:tblW w:w="495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765"/>
              <w:gridCol w:w="1280"/>
              <w:gridCol w:w="2478"/>
              <w:gridCol w:w="1295"/>
            </w:tblGrid>
            <w:tr w14:paraId="67A0D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l2br w:val="nil"/>
                    <w:tr2bl w:val="nil"/>
                  </w:tcBorders>
                  <w:shd w:val="clear" w:color="auto" w:fill="auto"/>
                  <w:noWrap w:val="0"/>
                  <w:vAlign w:val="center"/>
                </w:tcPr>
                <w:p w14:paraId="4B654D9E">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序号</w:t>
                  </w:r>
                </w:p>
              </w:tc>
              <w:tc>
                <w:tcPr>
                  <w:tcW w:w="1183" w:type="pct"/>
                  <w:tcBorders>
                    <w:tl2br w:val="nil"/>
                    <w:tr2bl w:val="nil"/>
                  </w:tcBorders>
                  <w:shd w:val="clear" w:color="auto" w:fill="auto"/>
                  <w:noWrap w:val="0"/>
                  <w:vAlign w:val="center"/>
                </w:tcPr>
                <w:p w14:paraId="590B5F87">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行业类别</w:t>
                  </w:r>
                </w:p>
              </w:tc>
              <w:tc>
                <w:tcPr>
                  <w:tcW w:w="858" w:type="pct"/>
                  <w:tcBorders>
                    <w:tl2br w:val="nil"/>
                    <w:tr2bl w:val="nil"/>
                  </w:tcBorders>
                  <w:shd w:val="clear" w:color="auto" w:fill="auto"/>
                  <w:noWrap w:val="0"/>
                  <w:vAlign w:val="center"/>
                </w:tcPr>
                <w:p w14:paraId="34918DB1">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重点管理</w:t>
                  </w:r>
                </w:p>
              </w:tc>
              <w:tc>
                <w:tcPr>
                  <w:tcW w:w="1661" w:type="pct"/>
                  <w:tcBorders>
                    <w:tl2br w:val="nil"/>
                    <w:tr2bl w:val="nil"/>
                  </w:tcBorders>
                  <w:shd w:val="clear" w:color="auto" w:fill="A4A4A4"/>
                  <w:noWrap w:val="0"/>
                  <w:vAlign w:val="center"/>
                </w:tcPr>
                <w:p w14:paraId="11387FF4">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简化管理</w:t>
                  </w:r>
                </w:p>
              </w:tc>
              <w:tc>
                <w:tcPr>
                  <w:tcW w:w="866" w:type="pct"/>
                  <w:tcBorders>
                    <w:tl2br w:val="nil"/>
                    <w:tr2bl w:val="nil"/>
                  </w:tcBorders>
                  <w:noWrap w:val="0"/>
                  <w:vAlign w:val="center"/>
                </w:tcPr>
                <w:p w14:paraId="782E1749">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登记</w:t>
                  </w:r>
                  <w:r>
                    <w:rPr>
                      <w:rFonts w:hint="default" w:ascii="Times New Roman" w:hAnsi="Times New Roman" w:eastAsia="宋体" w:cs="Times New Roman"/>
                      <w:b w:val="0"/>
                      <w:bCs w:val="0"/>
                      <w:color w:val="auto"/>
                      <w:kern w:val="2"/>
                      <w:sz w:val="21"/>
                      <w:szCs w:val="21"/>
                      <w:highlight w:val="none"/>
                      <w:u w:val="none"/>
                      <w:lang w:val="en-US" w:eastAsia="zh-CN" w:bidi="ar-SA"/>
                    </w:rPr>
                    <w:t>管理</w:t>
                  </w:r>
                </w:p>
              </w:tc>
            </w:tr>
            <w:tr w14:paraId="71DB3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shd w:val="clear" w:color="auto" w:fill="A4A4A4"/>
                  <w:noWrap w:val="0"/>
                  <w:vAlign w:val="center"/>
                </w:tcPr>
                <w:p w14:paraId="1E8A0ABA">
                  <w:pPr>
                    <w:keepNext w:val="0"/>
                    <w:keepLines w:val="0"/>
                    <w:pageBreakBefore w:val="0"/>
                    <w:widowControl w:val="0"/>
                    <w:suppressLineNumbers w:val="0"/>
                    <w:kinsoku w:val="0"/>
                    <w:wordWrap/>
                    <w:overflowPunct w:val="0"/>
                    <w:topLinePunct w:val="0"/>
                    <w:autoSpaceDE/>
                    <w:autoSpaceDN/>
                    <w:bidi w:val="0"/>
                    <w:adjustRightInd w:val="0"/>
                    <w:snapToGrid w:val="0"/>
                    <w:spacing w:line="340" w:lineRule="exact"/>
                    <w:ind w:left="0" w:right="0"/>
                    <w:jc w:val="left"/>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bCs/>
                      <w:color w:val="auto"/>
                      <w:sz w:val="21"/>
                      <w:szCs w:val="21"/>
                    </w:rPr>
                    <w:t>三十七、废弃资源综合利用业42</w:t>
                  </w:r>
                </w:p>
              </w:tc>
            </w:tr>
            <w:tr w14:paraId="586E45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l2br w:val="nil"/>
                    <w:tr2bl w:val="nil"/>
                  </w:tcBorders>
                  <w:shd w:val="clear" w:color="auto" w:fill="auto"/>
                  <w:noWrap w:val="0"/>
                  <w:vAlign w:val="center"/>
                </w:tcPr>
                <w:p w14:paraId="4FC34779">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93</w:t>
                  </w:r>
                </w:p>
              </w:tc>
              <w:tc>
                <w:tcPr>
                  <w:tcW w:w="1183" w:type="pct"/>
                  <w:tcBorders>
                    <w:tl2br w:val="nil"/>
                    <w:tr2bl w:val="nil"/>
                  </w:tcBorders>
                  <w:shd w:val="clear" w:color="auto" w:fill="auto"/>
                  <w:noWrap w:val="0"/>
                  <w:vAlign w:val="center"/>
                </w:tcPr>
                <w:p w14:paraId="69AC80AB">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金属废料和碎屑加工处理421，非金属废料和碎屑加工处理422</w:t>
                  </w:r>
                </w:p>
              </w:tc>
              <w:tc>
                <w:tcPr>
                  <w:tcW w:w="858" w:type="pct"/>
                  <w:tcBorders>
                    <w:tl2br w:val="nil"/>
                    <w:tr2bl w:val="nil"/>
                  </w:tcBorders>
                  <w:shd w:val="clear" w:color="auto" w:fill="auto"/>
                  <w:noWrap w:val="0"/>
                  <w:vAlign w:val="center"/>
                </w:tcPr>
                <w:p w14:paraId="647698A1">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废电池、废油、废轮胎加工处理</w:t>
                  </w:r>
                </w:p>
              </w:tc>
              <w:tc>
                <w:tcPr>
                  <w:tcW w:w="1661" w:type="pct"/>
                  <w:tcBorders>
                    <w:tl2br w:val="nil"/>
                    <w:tr2bl w:val="nil"/>
                  </w:tcBorders>
                  <w:shd w:val="clear" w:color="auto" w:fill="A4A4A4"/>
                  <w:noWrap w:val="0"/>
                  <w:vAlign w:val="center"/>
                </w:tcPr>
                <w:p w14:paraId="21E1451E">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废弃电器电子产品、</w:t>
                  </w:r>
                  <w:r>
                    <w:rPr>
                      <w:rFonts w:hint="default" w:ascii="Times New Roman" w:hAnsi="Times New Roman" w:eastAsia="宋体" w:cs="Times New Roman"/>
                      <w:b/>
                      <w:bCs/>
                      <w:color w:val="auto"/>
                      <w:kern w:val="2"/>
                      <w:sz w:val="21"/>
                      <w:szCs w:val="21"/>
                      <w:highlight w:val="none"/>
                      <w:u w:val="none"/>
                      <w:lang w:val="en-US" w:eastAsia="zh-CN" w:bidi="ar-SA"/>
                    </w:rPr>
                    <w:t>废机动车</w:t>
                  </w:r>
                  <w:r>
                    <w:rPr>
                      <w:rFonts w:hint="default" w:ascii="Times New Roman" w:hAnsi="Times New Roman" w:eastAsia="宋体" w:cs="Times New Roman"/>
                      <w:b w:val="0"/>
                      <w:bCs w:val="0"/>
                      <w:color w:val="auto"/>
                      <w:kern w:val="2"/>
                      <w:sz w:val="21"/>
                      <w:szCs w:val="21"/>
                      <w:highlight w:val="none"/>
                      <w:u w:val="none"/>
                      <w:lang w:val="en-US" w:eastAsia="zh-CN" w:bidi="ar-SA"/>
                    </w:rPr>
                    <w:t>、</w:t>
                  </w:r>
                  <w:r>
                    <w:rPr>
                      <w:rFonts w:hint="default" w:ascii="Times New Roman" w:hAnsi="Times New Roman" w:eastAsia="宋体" w:cs="Times New Roman"/>
                      <w:b/>
                      <w:bCs/>
                      <w:color w:val="auto"/>
                      <w:kern w:val="2"/>
                      <w:sz w:val="21"/>
                      <w:szCs w:val="21"/>
                      <w:highlight w:val="none"/>
                      <w:u w:val="none"/>
                      <w:lang w:val="en-US" w:eastAsia="zh-CN" w:bidi="ar-SA"/>
                    </w:rPr>
                    <w:t>废电机</w:t>
                  </w:r>
                  <w:r>
                    <w:rPr>
                      <w:rFonts w:hint="default" w:ascii="Times New Roman" w:hAnsi="Times New Roman" w:eastAsia="宋体" w:cs="Times New Roman"/>
                      <w:b w:val="0"/>
                      <w:bCs w:val="0"/>
                      <w:color w:val="auto"/>
                      <w:kern w:val="2"/>
                      <w:sz w:val="21"/>
                      <w:szCs w:val="21"/>
                      <w:highlight w:val="none"/>
                      <w:u w:val="none"/>
                      <w:lang w:val="en-US" w:eastAsia="zh-CN" w:bidi="ar-SA"/>
                    </w:rPr>
                    <w:t>、废电线电缆、废塑料、废船、含水洗工艺的其他废料和碎屑加工处理</w:t>
                  </w:r>
                </w:p>
              </w:tc>
              <w:tc>
                <w:tcPr>
                  <w:tcW w:w="866" w:type="pct"/>
                  <w:tcBorders>
                    <w:tl2br w:val="nil"/>
                    <w:tr2bl w:val="nil"/>
                  </w:tcBorders>
                  <w:noWrap w:val="0"/>
                  <w:vAlign w:val="center"/>
                </w:tcPr>
                <w:p w14:paraId="4BF02EAA">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其他</w:t>
                  </w:r>
                </w:p>
              </w:tc>
            </w:tr>
          </w:tbl>
          <w:p w14:paraId="28B391FA">
            <w:pPr>
              <w:keepNext w:val="0"/>
              <w:keepLines w:val="0"/>
              <w:pageBreakBefore w:val="0"/>
              <w:widowControl w:val="0"/>
              <w:numPr>
                <w:ilvl w:val="0"/>
                <w:numId w:val="16"/>
              </w:numPr>
              <w:kinsoku/>
              <w:wordWrap/>
              <w:overflowPunct/>
              <w:topLinePunct w:val="0"/>
              <w:autoSpaceDE/>
              <w:autoSpaceDN/>
              <w:bidi w:val="0"/>
              <w:adjustRightInd w:val="0"/>
              <w:snapToGrid w:val="0"/>
              <w:spacing w:before="157" w:beforeLines="50" w:line="340" w:lineRule="exact"/>
              <w:jc w:val="left"/>
              <w:textAlignment w:val="auto"/>
              <w:rPr>
                <w:rFonts w:hint="eastAsia" w:ascii="Times New Roman" w:hAnsi="Times New Roman"/>
                <w:b/>
                <w:bCs/>
                <w:color w:val="auto"/>
                <w:lang w:val="en-US" w:eastAsia="zh-CN"/>
              </w:rPr>
            </w:pPr>
            <w:r>
              <w:rPr>
                <w:rFonts w:hint="eastAsia" w:ascii="Times New Roman" w:hAnsi="Times New Roman"/>
                <w:b/>
                <w:bCs/>
                <w:color w:val="auto"/>
                <w:lang w:val="en-US" w:eastAsia="zh-CN"/>
              </w:rPr>
              <w:t>排污口规范化管理要求</w:t>
            </w:r>
          </w:p>
          <w:p w14:paraId="546FED6F">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both"/>
              <w:textAlignment w:val="auto"/>
              <w:rPr>
                <w:rFonts w:hint="default" w:ascii="Times New Roman" w:hAnsi="Times New Roman" w:eastAsia="黑体" w:cs="Times New Roman"/>
                <w:color w:val="auto"/>
                <w:sz w:val="21"/>
                <w:szCs w:val="21"/>
                <w:highlight w:val="none"/>
              </w:rPr>
            </w:pPr>
            <w:r>
              <w:rPr>
                <w:rFonts w:hint="eastAsia" w:ascii="Times New Roman" w:hAnsi="Times New Roman"/>
                <w:color w:val="auto"/>
                <w:lang w:eastAsia="zh-CN"/>
              </w:rPr>
              <w:t>项目</w:t>
            </w:r>
            <w:r>
              <w:rPr>
                <w:rFonts w:hint="eastAsia" w:ascii="Times New Roman" w:hAnsi="Times New Roman"/>
                <w:color w:val="auto"/>
                <w:lang w:val="en-US" w:eastAsia="zh-CN"/>
              </w:rPr>
              <w:t>排污口规范化</w:t>
            </w:r>
            <w:r>
              <w:rPr>
                <w:rFonts w:hint="default" w:ascii="Times New Roman" w:hAnsi="Times New Roman"/>
                <w:color w:val="auto"/>
              </w:rPr>
              <w:t>图标</w:t>
            </w:r>
            <w:r>
              <w:rPr>
                <w:rFonts w:hint="eastAsia" w:ascii="Times New Roman" w:hAnsi="Times New Roman"/>
                <w:color w:val="auto"/>
                <w:lang w:eastAsia="zh-CN"/>
              </w:rPr>
              <w:t>按照</w:t>
            </w:r>
            <w:r>
              <w:rPr>
                <w:rFonts w:hint="default" w:ascii="Times New Roman" w:hAnsi="Times New Roman"/>
                <w:color w:val="auto"/>
              </w:rPr>
              <w:t>《环境保护图形标志—排放口(源)》(GB15563.1-1995)</w:t>
            </w:r>
            <w:r>
              <w:rPr>
                <w:rFonts w:hint="eastAsia" w:ascii="Times New Roman" w:hAnsi="Times New Roman"/>
                <w:color w:val="auto"/>
                <w:lang w:val="en-US" w:eastAsia="zh-CN"/>
              </w:rPr>
              <w:t>及其修改单</w:t>
            </w:r>
            <w:r>
              <w:rPr>
                <w:rFonts w:hint="eastAsia" w:ascii="Times New Roman" w:hAnsi="Times New Roman"/>
                <w:color w:val="auto"/>
                <w:lang w:eastAsia="zh-CN"/>
              </w:rPr>
              <w:t>要求进行，具体详见表</w:t>
            </w:r>
            <w:r>
              <w:rPr>
                <w:rFonts w:hint="eastAsia" w:ascii="Times New Roman" w:hAnsi="Times New Roman"/>
                <w:color w:val="auto"/>
                <w:lang w:val="en-US" w:eastAsia="zh-CN"/>
              </w:rPr>
              <w:t>5-2。</w:t>
            </w:r>
            <w:r>
              <w:rPr>
                <w:rFonts w:hint="eastAsia" w:ascii="Times New Roman" w:hAnsi="Times New Roman"/>
                <w:color w:val="auto"/>
                <w:sz w:val="21"/>
                <w:szCs w:val="21"/>
                <w:lang w:val="en-US" w:eastAsia="zh-CN"/>
              </w:rPr>
              <w:t>同时根据</w:t>
            </w:r>
            <w:r>
              <w:rPr>
                <w:rFonts w:hint="eastAsia" w:ascii="Times New Roman" w:hAnsi="Times New Roman" w:eastAsia="宋体" w:cs="Times New Roman"/>
                <w:color w:val="auto"/>
                <w:lang w:val="en-US" w:eastAsia="zh-CN"/>
              </w:rPr>
              <w:t>《排污单位污染物排放口二维码标识技术规范》(HJ 1297-2023)，设置规范的排放口二维码标识。</w:t>
            </w:r>
          </w:p>
          <w:p w14:paraId="52DFE6A8">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表</w:t>
            </w:r>
            <w:r>
              <w:rPr>
                <w:rFonts w:hint="eastAsia" w:ascii="Times New Roman" w:hAnsi="Times New Roman" w:eastAsia="黑体" w:cs="Times New Roman"/>
                <w:color w:val="auto"/>
                <w:sz w:val="21"/>
                <w:szCs w:val="21"/>
                <w:highlight w:val="none"/>
                <w:lang w:val="en-US" w:eastAsia="zh-CN"/>
              </w:rPr>
              <w:t>5-2</w:t>
            </w:r>
            <w:r>
              <w:rPr>
                <w:rFonts w:hint="default" w:ascii="Times New Roman" w:hAnsi="Times New Roman" w:eastAsia="黑体" w:cs="Times New Roman"/>
                <w:color w:val="auto"/>
                <w:sz w:val="21"/>
                <w:szCs w:val="21"/>
                <w:highlight w:val="none"/>
              </w:rPr>
              <w:t xml:space="preserve">  排污口图形符号(提示标志)一览表</w:t>
            </w:r>
          </w:p>
          <w:tbl>
            <w:tblPr>
              <w:tblStyle w:val="20"/>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60"/>
              <w:gridCol w:w="1232"/>
              <w:gridCol w:w="1232"/>
              <w:gridCol w:w="1232"/>
              <w:gridCol w:w="1280"/>
              <w:gridCol w:w="1185"/>
            </w:tblGrid>
            <w:tr w14:paraId="6D6D470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477B4822">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jc w:val="right"/>
                    <w:rPr>
                      <w:rFonts w:ascii="Times New Roman" w:hAnsi="Times New Roman"/>
                      <w:color w:val="auto"/>
                      <w:sz w:val="18"/>
                      <w:szCs w:val="18"/>
                      <w:lang w:val="en-GB"/>
                    </w:rPr>
                  </w:pPr>
                  <w:r>
                    <w:rPr>
                      <w:rFonts w:ascii="Times New Roman" w:hAnsi="Times New Roman"/>
                      <w:color w:val="auto"/>
                      <w:sz w:val="18"/>
                      <w:szCs w:val="18"/>
                      <w:lang w:val="en-GB"/>
                    </w:rPr>
                    <w:t>排放部位</w:t>
                  </w:r>
                </w:p>
                <w:p w14:paraId="64217B8C">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jc w:val="both"/>
                    <w:rPr>
                      <w:rFonts w:ascii="Times New Roman" w:hAnsi="Times New Roman"/>
                      <w:color w:val="auto"/>
                      <w:sz w:val="18"/>
                      <w:szCs w:val="18"/>
                      <w:lang w:val="en-GB"/>
                    </w:rPr>
                  </w:pPr>
                  <w:r>
                    <w:rPr>
                      <w:rFonts w:ascii="Times New Roman" w:hAnsi="Times New Roman"/>
                      <w:color w:val="auto"/>
                      <w:sz w:val="18"/>
                      <w:szCs w:val="18"/>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39F9F2F5">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b w:val="0"/>
                      <w:bCs w:val="0"/>
                      <w:color w:val="auto"/>
                      <w:sz w:val="18"/>
                      <w:szCs w:val="18"/>
                      <w:lang w:val="en-GB"/>
                    </w:rPr>
                  </w:pPr>
                  <w:r>
                    <w:rPr>
                      <w:rFonts w:ascii="Times New Roman" w:hAnsi="Times New Roman"/>
                      <w:b w:val="0"/>
                      <w:bCs w:val="0"/>
                      <w:color w:val="auto"/>
                      <w:sz w:val="18"/>
                      <w:szCs w:val="18"/>
                      <w:lang w:val="en-GB"/>
                    </w:rPr>
                    <w:t>污水排</w:t>
                  </w:r>
                </w:p>
                <w:p w14:paraId="26DB2611">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b w:val="0"/>
                      <w:bCs w:val="0"/>
                      <w:color w:val="auto"/>
                      <w:sz w:val="18"/>
                      <w:szCs w:val="18"/>
                      <w:lang w:val="en-GB"/>
                    </w:rPr>
                  </w:pPr>
                  <w:r>
                    <w:rPr>
                      <w:rFonts w:ascii="Times New Roman" w:hAnsi="Times New Roman"/>
                      <w:b w:val="0"/>
                      <w:bCs w:val="0"/>
                      <w:color w:val="auto"/>
                      <w:sz w:val="18"/>
                      <w:szCs w:val="18"/>
                      <w:lang w:val="en-GB"/>
                    </w:rPr>
                    <w:t>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35BEE4A6">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b w:val="0"/>
                      <w:bCs w:val="0"/>
                      <w:color w:val="auto"/>
                      <w:sz w:val="18"/>
                      <w:szCs w:val="18"/>
                      <w:lang w:val="en-GB"/>
                    </w:rPr>
                  </w:pPr>
                  <w:r>
                    <w:rPr>
                      <w:rFonts w:ascii="Times New Roman" w:hAnsi="Times New Roman"/>
                      <w:b w:val="0"/>
                      <w:bCs w:val="0"/>
                      <w:color w:val="auto"/>
                      <w:sz w:val="18"/>
                      <w:szCs w:val="18"/>
                      <w:lang w:val="en-GB"/>
                    </w:rPr>
                    <w:t>废气排</w:t>
                  </w:r>
                </w:p>
                <w:p w14:paraId="04BA100A">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b w:val="0"/>
                      <w:bCs w:val="0"/>
                      <w:color w:val="auto"/>
                      <w:sz w:val="18"/>
                      <w:szCs w:val="18"/>
                      <w:lang w:val="en-GB"/>
                    </w:rPr>
                  </w:pPr>
                  <w:r>
                    <w:rPr>
                      <w:rFonts w:ascii="Times New Roman" w:hAnsi="Times New Roman"/>
                      <w:b w:val="0"/>
                      <w:bCs w:val="0"/>
                      <w:color w:val="auto"/>
                      <w:sz w:val="18"/>
                      <w:szCs w:val="18"/>
                      <w:lang w:val="en-GB"/>
                    </w:rPr>
                    <w:t>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8F7CF20">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b w:val="0"/>
                      <w:bCs w:val="0"/>
                      <w:color w:val="auto"/>
                      <w:sz w:val="18"/>
                      <w:szCs w:val="18"/>
                      <w:lang w:val="en-GB"/>
                    </w:rPr>
                  </w:pPr>
                  <w:r>
                    <w:rPr>
                      <w:rFonts w:ascii="Times New Roman" w:hAnsi="Times New Roman"/>
                      <w:b w:val="0"/>
                      <w:bCs w:val="0"/>
                      <w:color w:val="auto"/>
                      <w:sz w:val="18"/>
                      <w:szCs w:val="18"/>
                      <w:lang w:val="en-GB"/>
                    </w:rPr>
                    <w:t>噪声排</w:t>
                  </w:r>
                </w:p>
                <w:p w14:paraId="3106C274">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b w:val="0"/>
                      <w:bCs w:val="0"/>
                      <w:color w:val="auto"/>
                      <w:sz w:val="18"/>
                      <w:szCs w:val="18"/>
                      <w:lang w:val="en-GB"/>
                    </w:rPr>
                  </w:pPr>
                  <w:r>
                    <w:rPr>
                      <w:rFonts w:ascii="Times New Roman" w:hAnsi="Times New Roman"/>
                      <w:b w:val="0"/>
                      <w:bCs w:val="0"/>
                      <w:color w:val="auto"/>
                      <w:sz w:val="18"/>
                      <w:szCs w:val="18"/>
                      <w:lang w:val="en-GB"/>
                    </w:rPr>
                    <w:t>放源</w:t>
                  </w:r>
                </w:p>
              </w:tc>
              <w:tc>
                <w:tcPr>
                  <w:tcW w:w="850" w:type="pct"/>
                  <w:tcBorders>
                    <w:top w:val="single" w:color="auto" w:sz="12" w:space="0"/>
                    <w:left w:val="single" w:color="auto" w:sz="6" w:space="0"/>
                    <w:bottom w:val="single" w:color="auto" w:sz="6" w:space="0"/>
                    <w:right w:val="single" w:color="auto" w:sz="6" w:space="0"/>
                  </w:tcBorders>
                  <w:noWrap w:val="0"/>
                  <w:vAlign w:val="center"/>
                </w:tcPr>
                <w:p w14:paraId="0BB708E9">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eastAsia" w:ascii="Times New Roman" w:hAnsi="Times New Roman"/>
                      <w:b w:val="0"/>
                      <w:bCs w:val="0"/>
                      <w:color w:val="auto"/>
                      <w:spacing w:val="-6"/>
                      <w:sz w:val="18"/>
                      <w:szCs w:val="18"/>
                      <w:lang w:val="en-US" w:eastAsia="zh-CN"/>
                    </w:rPr>
                  </w:pPr>
                  <w:r>
                    <w:rPr>
                      <w:rFonts w:ascii="Times New Roman" w:hAnsi="Times New Roman"/>
                      <w:b w:val="0"/>
                      <w:bCs w:val="0"/>
                      <w:color w:val="auto"/>
                      <w:spacing w:val="-6"/>
                      <w:sz w:val="18"/>
                      <w:szCs w:val="18"/>
                      <w:lang w:val="en-GB"/>
                    </w:rPr>
                    <w:t>一般</w:t>
                  </w:r>
                  <w:r>
                    <w:rPr>
                      <w:rFonts w:hint="eastAsia" w:ascii="Times New Roman" w:hAnsi="Times New Roman"/>
                      <w:b w:val="0"/>
                      <w:bCs w:val="0"/>
                      <w:color w:val="auto"/>
                      <w:spacing w:val="-6"/>
                      <w:sz w:val="18"/>
                      <w:szCs w:val="18"/>
                      <w:lang w:val="en-US" w:eastAsia="zh-CN"/>
                    </w:rPr>
                    <w:t>固体</w:t>
                  </w:r>
                </w:p>
                <w:p w14:paraId="001BF598">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b w:val="0"/>
                      <w:bCs w:val="0"/>
                      <w:color w:val="auto"/>
                      <w:sz w:val="18"/>
                      <w:szCs w:val="18"/>
                      <w:lang w:val="en-GB"/>
                    </w:rPr>
                  </w:pPr>
                  <w:r>
                    <w:rPr>
                      <w:rFonts w:hint="eastAsia" w:ascii="Times New Roman" w:hAnsi="Times New Roman"/>
                      <w:b w:val="0"/>
                      <w:bCs w:val="0"/>
                      <w:color w:val="auto"/>
                      <w:spacing w:val="-6"/>
                      <w:sz w:val="18"/>
                      <w:szCs w:val="18"/>
                      <w:lang w:val="en-US" w:eastAsia="zh-CN"/>
                    </w:rPr>
                    <w:t>废物</w:t>
                  </w:r>
                </w:p>
              </w:tc>
              <w:tc>
                <w:tcPr>
                  <w:tcW w:w="787" w:type="pct"/>
                  <w:tcBorders>
                    <w:top w:val="single" w:color="auto" w:sz="12" w:space="0"/>
                    <w:left w:val="single" w:color="auto" w:sz="6" w:space="0"/>
                    <w:bottom w:val="single" w:color="auto" w:sz="6" w:space="0"/>
                    <w:right w:val="nil"/>
                  </w:tcBorders>
                  <w:noWrap w:val="0"/>
                  <w:vAlign w:val="center"/>
                </w:tcPr>
                <w:p w14:paraId="22CE43CC">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b w:val="0"/>
                      <w:bCs w:val="0"/>
                      <w:color w:val="auto"/>
                      <w:sz w:val="18"/>
                      <w:szCs w:val="18"/>
                      <w:lang w:val="en-GB"/>
                    </w:rPr>
                  </w:pPr>
                  <w:r>
                    <w:rPr>
                      <w:rFonts w:ascii="Times New Roman" w:hAnsi="Times New Roman"/>
                      <w:b w:val="0"/>
                      <w:bCs w:val="0"/>
                      <w:color w:val="auto"/>
                      <w:sz w:val="18"/>
                      <w:szCs w:val="18"/>
                      <w:lang w:val="en-GB"/>
                    </w:rPr>
                    <w:t>危险废物</w:t>
                  </w:r>
                </w:p>
              </w:tc>
            </w:tr>
            <w:tr w14:paraId="0414B5E1">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3B1E53CF">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hint="eastAsia" w:ascii="Times New Roman" w:hAnsi="Times New Roman"/>
                      <w:color w:val="auto"/>
                      <w:sz w:val="18"/>
                      <w:szCs w:val="18"/>
                      <w:lang w:val="en-US" w:eastAsia="zh-CN"/>
                    </w:rPr>
                    <w:t>提示</w:t>
                  </w:r>
                  <w:r>
                    <w:rPr>
                      <w:rFonts w:ascii="Times New Roman" w:hAnsi="Times New Roman"/>
                      <w:color w:val="auto"/>
                      <w:sz w:val="18"/>
                      <w:szCs w:val="18"/>
                      <w:lang w:val="en-GB"/>
                    </w:rPr>
                    <w:t>图形</w:t>
                  </w:r>
                </w:p>
                <w:p w14:paraId="4BAC96E7">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lang w:val="en-GB"/>
                    </w:rPr>
                    <w:t>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AA4B03A">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rPr>
                    <w:drawing>
                      <wp:anchor distT="0" distB="0" distL="114300" distR="114300" simplePos="0" relativeHeight="251661312" behindDoc="0" locked="0" layoutInCell="1" allowOverlap="1">
                        <wp:simplePos x="0" y="0"/>
                        <wp:positionH relativeFrom="column">
                          <wp:posOffset>8890</wp:posOffset>
                        </wp:positionH>
                        <wp:positionV relativeFrom="paragraph">
                          <wp:posOffset>27940</wp:posOffset>
                        </wp:positionV>
                        <wp:extent cx="639445" cy="639445"/>
                        <wp:effectExtent l="0" t="0" r="8255" b="8255"/>
                        <wp:wrapNone/>
                        <wp:docPr id="44"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54" descr="1"/>
                                <pic:cNvPicPr>
                                  <a:picLocks noChangeAspect="1"/>
                                </pic:cNvPicPr>
                              </pic:nvPicPr>
                              <pic:blipFill>
                                <a:blip r:embed="rId26"/>
                                <a:stretch>
                                  <a:fillRect/>
                                </a:stretch>
                              </pic:blipFill>
                              <pic:spPr>
                                <a:xfrm>
                                  <a:off x="0" y="0"/>
                                  <a:ext cx="639445" cy="639445"/>
                                </a:xfrm>
                                <a:prstGeom prst="rect">
                                  <a:avLst/>
                                </a:prstGeom>
                                <a:noFill/>
                                <a:ln>
                                  <a:noFill/>
                                </a:ln>
                              </pic:spPr>
                            </pic:pic>
                          </a:graphicData>
                        </a:graphic>
                      </wp:anchor>
                    </w:drawing>
                  </w:r>
                </w:p>
                <w:p w14:paraId="74D8252F">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p>
                <w:p w14:paraId="49AA6D91">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p>
                <w:p w14:paraId="5A75298D">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4902782E">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rPr>
                    <w:drawing>
                      <wp:anchor distT="0" distB="0" distL="114300" distR="114300" simplePos="0" relativeHeight="251662336" behindDoc="0" locked="0" layoutInCell="1" allowOverlap="1">
                        <wp:simplePos x="0" y="0"/>
                        <wp:positionH relativeFrom="column">
                          <wp:posOffset>26035</wp:posOffset>
                        </wp:positionH>
                        <wp:positionV relativeFrom="paragraph">
                          <wp:posOffset>16510</wp:posOffset>
                        </wp:positionV>
                        <wp:extent cx="640715" cy="640715"/>
                        <wp:effectExtent l="0" t="0" r="6985" b="6985"/>
                        <wp:wrapNone/>
                        <wp:docPr id="23" name="图片 75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55" descr="点击看大图及详细资料"/>
                                <pic:cNvPicPr>
                                  <a:picLocks noChangeAspect="1"/>
                                </pic:cNvPicPr>
                              </pic:nvPicPr>
                              <pic:blipFill>
                                <a:blip r:embed="rId27"/>
                                <a:stretch>
                                  <a:fillRect/>
                                </a:stretch>
                              </pic:blipFill>
                              <pic:spPr>
                                <a:xfrm>
                                  <a:off x="0" y="0"/>
                                  <a:ext cx="640715" cy="640715"/>
                                </a:xfrm>
                                <a:prstGeom prst="rect">
                                  <a:avLst/>
                                </a:prstGeom>
                                <a:noFill/>
                                <a:ln>
                                  <a:noFill/>
                                </a:ln>
                              </pic:spPr>
                            </pic:pic>
                          </a:graphicData>
                        </a:graphic>
                      </wp:anchor>
                    </w:drawing>
                  </w:r>
                </w:p>
                <w:p w14:paraId="2620DEA6">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p>
                <w:p w14:paraId="22BA845E">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199F53FA">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rPr>
                    <w:drawing>
                      <wp:anchor distT="0" distB="0" distL="114300" distR="114300" simplePos="0" relativeHeight="251663360" behindDoc="0" locked="0" layoutInCell="1" allowOverlap="1">
                        <wp:simplePos x="0" y="0"/>
                        <wp:positionH relativeFrom="column">
                          <wp:posOffset>19050</wp:posOffset>
                        </wp:positionH>
                        <wp:positionV relativeFrom="paragraph">
                          <wp:posOffset>34925</wp:posOffset>
                        </wp:positionV>
                        <wp:extent cx="640715" cy="640715"/>
                        <wp:effectExtent l="0" t="0" r="6985" b="6985"/>
                        <wp:wrapNone/>
                        <wp:docPr id="34" name="图片 7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56" descr="点击看大图及详细资料"/>
                                <pic:cNvPicPr>
                                  <a:picLocks noChangeAspect="1"/>
                                </pic:cNvPicPr>
                              </pic:nvPicPr>
                              <pic:blipFill>
                                <a:blip r:embed="rId28"/>
                                <a:stretch>
                                  <a:fillRect/>
                                </a:stretch>
                              </pic:blipFill>
                              <pic:spPr>
                                <a:xfrm>
                                  <a:off x="0" y="0"/>
                                  <a:ext cx="640715" cy="640715"/>
                                </a:xfrm>
                                <a:prstGeom prst="rect">
                                  <a:avLst/>
                                </a:prstGeom>
                                <a:noFill/>
                                <a:ln>
                                  <a:noFill/>
                                </a:ln>
                              </pic:spPr>
                            </pic:pic>
                          </a:graphicData>
                        </a:graphic>
                      </wp:anchor>
                    </w:drawing>
                  </w:r>
                </w:p>
                <w:p w14:paraId="5D50044E">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p>
                <w:p w14:paraId="167BE8D6">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p>
              </w:tc>
              <w:tc>
                <w:tcPr>
                  <w:tcW w:w="850" w:type="pct"/>
                  <w:tcBorders>
                    <w:top w:val="single" w:color="auto" w:sz="6" w:space="0"/>
                    <w:left w:val="single" w:color="auto" w:sz="6" w:space="0"/>
                    <w:bottom w:val="single" w:color="auto" w:sz="6" w:space="0"/>
                    <w:right w:val="single" w:color="auto" w:sz="6" w:space="0"/>
                  </w:tcBorders>
                  <w:noWrap w:val="0"/>
                  <w:vAlign w:val="center"/>
                </w:tcPr>
                <w:p w14:paraId="25180193">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rPr>
                    <w:drawing>
                      <wp:anchor distT="0" distB="0" distL="114300" distR="114300" simplePos="0" relativeHeight="251665408" behindDoc="0" locked="0" layoutInCell="1" allowOverlap="1">
                        <wp:simplePos x="0" y="0"/>
                        <wp:positionH relativeFrom="column">
                          <wp:posOffset>6350</wp:posOffset>
                        </wp:positionH>
                        <wp:positionV relativeFrom="paragraph">
                          <wp:posOffset>6985</wp:posOffset>
                        </wp:positionV>
                        <wp:extent cx="684530" cy="667385"/>
                        <wp:effectExtent l="0" t="0" r="1270" b="5715"/>
                        <wp:wrapNone/>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9"/>
                                <a:srcRect t="1997"/>
                                <a:stretch>
                                  <a:fillRect/>
                                </a:stretch>
                              </pic:blipFill>
                              <pic:spPr>
                                <a:xfrm>
                                  <a:off x="0" y="0"/>
                                  <a:ext cx="684530" cy="667385"/>
                                </a:xfrm>
                                <a:prstGeom prst="rect">
                                  <a:avLst/>
                                </a:prstGeom>
                                <a:noFill/>
                                <a:ln>
                                  <a:noFill/>
                                </a:ln>
                              </pic:spPr>
                            </pic:pic>
                          </a:graphicData>
                        </a:graphic>
                      </wp:anchor>
                    </w:drawing>
                  </w:r>
                </w:p>
              </w:tc>
              <w:tc>
                <w:tcPr>
                  <w:tcW w:w="787" w:type="pct"/>
                  <w:tcBorders>
                    <w:top w:val="single" w:color="auto" w:sz="6" w:space="0"/>
                    <w:left w:val="single" w:color="auto" w:sz="6" w:space="0"/>
                    <w:bottom w:val="single" w:color="auto" w:sz="6" w:space="0"/>
                    <w:right w:val="nil"/>
                  </w:tcBorders>
                  <w:noWrap w:val="0"/>
                  <w:vAlign w:val="center"/>
                </w:tcPr>
                <w:p w14:paraId="574F714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firstLine="0"/>
                    <w:jc w:val="center"/>
                    <w:textAlignment w:val="auto"/>
                    <w:rPr>
                      <w:rFonts w:ascii="Times New Roman" w:hAnsi="Times New Roman"/>
                      <w:color w:val="auto"/>
                      <w:sz w:val="18"/>
                      <w:szCs w:val="18"/>
                      <w:lang w:val="en-GB"/>
                    </w:rPr>
                  </w:pPr>
                  <w:r>
                    <w:rPr>
                      <w:rFonts w:hint="eastAsia" w:ascii="Times New Roman" w:hAnsi="Times New Roman"/>
                      <w:color w:val="auto"/>
                      <w:sz w:val="18"/>
                      <w:szCs w:val="18"/>
                      <w:lang w:val="en-US" w:eastAsia="zh-CN"/>
                    </w:rPr>
                    <w:t>/</w:t>
                  </w:r>
                </w:p>
              </w:tc>
            </w:tr>
            <w:tr w14:paraId="66E4943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072" w:hRule="atLeast"/>
                <w:jc w:val="center"/>
              </w:trPr>
              <w:tc>
                <w:tcPr>
                  <w:tcW w:w="904" w:type="pct"/>
                  <w:tcBorders>
                    <w:top w:val="single" w:color="auto" w:sz="6" w:space="0"/>
                    <w:left w:val="nil"/>
                    <w:bottom w:val="single" w:color="auto" w:sz="6" w:space="0"/>
                    <w:right w:val="single" w:color="auto" w:sz="6" w:space="0"/>
                  </w:tcBorders>
                  <w:noWrap w:val="0"/>
                  <w:vAlign w:val="center"/>
                </w:tcPr>
                <w:p w14:paraId="5DD8E95F">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hint="eastAsia" w:ascii="Times New Roman" w:hAnsi="Times New Roman"/>
                      <w:color w:val="auto"/>
                      <w:sz w:val="18"/>
                      <w:szCs w:val="18"/>
                      <w:lang w:val="en-US" w:eastAsia="zh-CN"/>
                    </w:rPr>
                    <w:t>警告</w:t>
                  </w:r>
                  <w:r>
                    <w:rPr>
                      <w:rFonts w:ascii="Times New Roman" w:hAnsi="Times New Roman"/>
                      <w:color w:val="auto"/>
                      <w:sz w:val="18"/>
                      <w:szCs w:val="18"/>
                      <w:lang w:val="en-GB"/>
                    </w:rPr>
                    <w:t>图形</w:t>
                  </w:r>
                </w:p>
                <w:p w14:paraId="478257A3">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7E96369">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rPr>
                    <w:drawing>
                      <wp:anchor distT="0" distB="0" distL="114300" distR="114300" simplePos="0" relativeHeight="251667456" behindDoc="0" locked="0" layoutInCell="1" allowOverlap="1">
                        <wp:simplePos x="0" y="0"/>
                        <wp:positionH relativeFrom="column">
                          <wp:posOffset>1270</wp:posOffset>
                        </wp:positionH>
                        <wp:positionV relativeFrom="paragraph">
                          <wp:posOffset>45085</wp:posOffset>
                        </wp:positionV>
                        <wp:extent cx="643255" cy="572135"/>
                        <wp:effectExtent l="0" t="0" r="4445" b="12065"/>
                        <wp:wrapNone/>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0"/>
                                <a:stretch>
                                  <a:fillRect/>
                                </a:stretch>
                              </pic:blipFill>
                              <pic:spPr>
                                <a:xfrm>
                                  <a:off x="0" y="0"/>
                                  <a:ext cx="643255" cy="572135"/>
                                </a:xfrm>
                                <a:prstGeom prst="rect">
                                  <a:avLst/>
                                </a:prstGeom>
                                <a:noFill/>
                                <a:ln>
                                  <a:noFill/>
                                </a:ln>
                              </pic:spPr>
                            </pic:pic>
                          </a:graphicData>
                        </a:graphic>
                      </wp:anchor>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193488C">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rPr>
                    <w:drawing>
                      <wp:anchor distT="0" distB="0" distL="114300" distR="114300" simplePos="0" relativeHeight="251668480" behindDoc="0" locked="0" layoutInCell="1" allowOverlap="1">
                        <wp:simplePos x="0" y="0"/>
                        <wp:positionH relativeFrom="column">
                          <wp:posOffset>21590</wp:posOffset>
                        </wp:positionH>
                        <wp:positionV relativeFrom="paragraph">
                          <wp:posOffset>51435</wp:posOffset>
                        </wp:positionV>
                        <wp:extent cx="645160" cy="572770"/>
                        <wp:effectExtent l="0" t="0" r="2540" b="11430"/>
                        <wp:wrapNone/>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31"/>
                                <a:stretch>
                                  <a:fillRect/>
                                </a:stretch>
                              </pic:blipFill>
                              <pic:spPr>
                                <a:xfrm>
                                  <a:off x="0" y="0"/>
                                  <a:ext cx="645160" cy="572770"/>
                                </a:xfrm>
                                <a:prstGeom prst="rect">
                                  <a:avLst/>
                                </a:prstGeom>
                                <a:noFill/>
                                <a:ln>
                                  <a:noFill/>
                                </a:ln>
                              </pic:spPr>
                            </pic:pic>
                          </a:graphicData>
                        </a:graphic>
                      </wp:anchor>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017733E4">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rPr>
                    <w:drawing>
                      <wp:anchor distT="0" distB="0" distL="114300" distR="114300" simplePos="0" relativeHeight="251669504" behindDoc="0" locked="0" layoutInCell="1" allowOverlap="1">
                        <wp:simplePos x="0" y="0"/>
                        <wp:positionH relativeFrom="column">
                          <wp:posOffset>34925</wp:posOffset>
                        </wp:positionH>
                        <wp:positionV relativeFrom="paragraph">
                          <wp:posOffset>35560</wp:posOffset>
                        </wp:positionV>
                        <wp:extent cx="642620" cy="601980"/>
                        <wp:effectExtent l="0" t="0" r="5080" b="7620"/>
                        <wp:wrapNone/>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32"/>
                                <a:stretch>
                                  <a:fillRect/>
                                </a:stretch>
                              </pic:blipFill>
                              <pic:spPr>
                                <a:xfrm>
                                  <a:off x="0" y="0"/>
                                  <a:ext cx="642620" cy="601980"/>
                                </a:xfrm>
                                <a:prstGeom prst="rect">
                                  <a:avLst/>
                                </a:prstGeom>
                                <a:noFill/>
                                <a:ln>
                                  <a:noFill/>
                                </a:ln>
                              </pic:spPr>
                            </pic:pic>
                          </a:graphicData>
                        </a:graphic>
                      </wp:anchor>
                    </w:drawing>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4C8DCE5F">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rPr>
                  </w:pPr>
                  <w:r>
                    <w:rPr>
                      <w:rFonts w:ascii="Times New Roman" w:hAnsi="Times New Roman"/>
                      <w:color w:val="auto"/>
                      <w:sz w:val="18"/>
                      <w:szCs w:val="18"/>
                    </w:rPr>
                    <w:drawing>
                      <wp:anchor distT="0" distB="0" distL="114300" distR="114300" simplePos="0" relativeHeight="251666432" behindDoc="0" locked="0" layoutInCell="1" allowOverlap="1">
                        <wp:simplePos x="0" y="0"/>
                        <wp:positionH relativeFrom="column">
                          <wp:posOffset>26035</wp:posOffset>
                        </wp:positionH>
                        <wp:positionV relativeFrom="paragraph">
                          <wp:posOffset>36830</wp:posOffset>
                        </wp:positionV>
                        <wp:extent cx="673735" cy="615950"/>
                        <wp:effectExtent l="0" t="0" r="12065" b="6350"/>
                        <wp:wrapNone/>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3"/>
                                <a:stretch>
                                  <a:fillRect/>
                                </a:stretch>
                              </pic:blipFill>
                              <pic:spPr>
                                <a:xfrm>
                                  <a:off x="0" y="0"/>
                                  <a:ext cx="673735" cy="615950"/>
                                </a:xfrm>
                                <a:prstGeom prst="rect">
                                  <a:avLst/>
                                </a:prstGeom>
                                <a:noFill/>
                                <a:ln>
                                  <a:noFill/>
                                </a:ln>
                              </pic:spPr>
                            </pic:pic>
                          </a:graphicData>
                        </a:graphic>
                      </wp:anchor>
                    </w:drawing>
                  </w:r>
                </w:p>
              </w:tc>
              <w:tc>
                <w:tcPr>
                  <w:tcW w:w="787" w:type="pct"/>
                  <w:tcBorders>
                    <w:top w:val="single" w:color="auto" w:sz="6" w:space="0"/>
                    <w:left w:val="single" w:color="auto" w:sz="6" w:space="0"/>
                    <w:bottom w:val="single" w:color="auto" w:sz="6" w:space="0"/>
                    <w:right w:val="nil"/>
                  </w:tcBorders>
                  <w:noWrap w:val="0"/>
                  <w:vAlign w:val="center"/>
                </w:tcPr>
                <w:p w14:paraId="249B4AA2">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rPr>
                  </w:pPr>
                  <w:r>
                    <w:rPr>
                      <w:rFonts w:ascii="Times New Roman" w:hAnsi="Times New Roman"/>
                      <w:color w:val="auto"/>
                      <w:sz w:val="18"/>
                      <w:szCs w:val="18"/>
                    </w:rPr>
                    <w:drawing>
                      <wp:anchor distT="0" distB="0" distL="114300" distR="114300" simplePos="0" relativeHeight="251664384" behindDoc="0" locked="0" layoutInCell="1" allowOverlap="1">
                        <wp:simplePos x="0" y="0"/>
                        <wp:positionH relativeFrom="column">
                          <wp:posOffset>-15240</wp:posOffset>
                        </wp:positionH>
                        <wp:positionV relativeFrom="paragraph">
                          <wp:posOffset>46355</wp:posOffset>
                        </wp:positionV>
                        <wp:extent cx="664845" cy="616585"/>
                        <wp:effectExtent l="0" t="0" r="8255" b="5715"/>
                        <wp:wrapNone/>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34"/>
                                <a:stretch>
                                  <a:fillRect/>
                                </a:stretch>
                              </pic:blipFill>
                              <pic:spPr>
                                <a:xfrm>
                                  <a:off x="0" y="0"/>
                                  <a:ext cx="664845" cy="616585"/>
                                </a:xfrm>
                                <a:prstGeom prst="rect">
                                  <a:avLst/>
                                </a:prstGeom>
                                <a:noFill/>
                                <a:ln>
                                  <a:noFill/>
                                </a:ln>
                              </pic:spPr>
                            </pic:pic>
                          </a:graphicData>
                        </a:graphic>
                      </wp:anchor>
                    </w:drawing>
                  </w:r>
                </w:p>
                <w:p w14:paraId="5216BC40">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rPr>
                      <w:rFonts w:ascii="Times New Roman" w:hAnsi="Times New Roman"/>
                      <w:color w:val="auto"/>
                      <w:sz w:val="18"/>
                      <w:szCs w:val="18"/>
                      <w:lang w:val="en-GB"/>
                    </w:rPr>
                  </w:pPr>
                </w:p>
              </w:tc>
            </w:tr>
            <w:tr w14:paraId="43815C1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3F0FE182">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功能</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586AAC9A">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表示污水向水体排放</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BC089F2">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eastAsia" w:ascii="Times New Roman" w:hAnsi="Times New Roman" w:eastAsia="宋体" w:cs="Times New Roman"/>
                      <w:color w:val="auto"/>
                      <w:sz w:val="18"/>
                      <w:szCs w:val="18"/>
                      <w:lang w:val="en-GB" w:eastAsia="zh-CN"/>
                    </w:rPr>
                  </w:pPr>
                  <w:r>
                    <w:rPr>
                      <w:rFonts w:hint="eastAsia" w:ascii="Times New Roman" w:hAnsi="Times New Roman" w:eastAsia="宋体" w:cs="Times New Roman"/>
                      <w:color w:val="auto"/>
                      <w:sz w:val="18"/>
                      <w:szCs w:val="18"/>
                      <w:lang w:val="en-US" w:eastAsia="zh-CN"/>
                    </w:rPr>
                    <w:t>表示废气向大气环境排放</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5B66B72">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表示噪声向外环境排放</w:t>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5C2B46BA">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表示一般固体废物贮存、处置场</w:t>
                  </w:r>
                </w:p>
              </w:tc>
              <w:tc>
                <w:tcPr>
                  <w:tcW w:w="787" w:type="pct"/>
                  <w:tcBorders>
                    <w:top w:val="single" w:color="auto" w:sz="6" w:space="0"/>
                    <w:left w:val="single" w:color="auto" w:sz="6" w:space="0"/>
                    <w:bottom w:val="single" w:color="auto" w:sz="6" w:space="0"/>
                    <w:right w:val="nil"/>
                  </w:tcBorders>
                  <w:noWrap w:val="0"/>
                  <w:vAlign w:val="center"/>
                </w:tcPr>
                <w:p w14:paraId="3301FE54">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表示危险废物贮存、处置场</w:t>
                  </w:r>
                </w:p>
              </w:tc>
            </w:tr>
            <w:tr w14:paraId="3FD11122">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0398A42E">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提示标志</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51B00F1">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eastAsia="宋体" w:cs="Times New Roman"/>
                      <w:color w:val="auto"/>
                      <w:sz w:val="18"/>
                      <w:szCs w:val="18"/>
                      <w:lang w:val="en-GB"/>
                    </w:rPr>
                  </w:pPr>
                  <w:r>
                    <w:rPr>
                      <w:rFonts w:ascii="Times New Roman" w:hAnsi="Times New Roman" w:eastAsia="宋体" w:cs="Times New Roman"/>
                      <w:color w:val="auto"/>
                      <w:sz w:val="18"/>
                      <w:szCs w:val="18"/>
                      <w:lang w:val="en-GB"/>
                    </w:rPr>
                    <w:t>正方形</w:t>
                  </w:r>
                </w:p>
                <w:p w14:paraId="3AEAF2AC">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eastAsia="宋体" w:cs="Times New Roman"/>
                      <w:color w:val="auto"/>
                      <w:sz w:val="18"/>
                      <w:szCs w:val="18"/>
                      <w:lang w:val="en-GB"/>
                    </w:rPr>
                  </w:pPr>
                  <w:r>
                    <w:rPr>
                      <w:rFonts w:ascii="Times New Roman" w:hAnsi="Times New Roman" w:eastAsia="宋体" w:cs="Times New Roman"/>
                      <w:color w:val="auto"/>
                      <w:sz w:val="18"/>
                      <w:szCs w:val="18"/>
                      <w:lang w:val="en-GB"/>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F9CD13D">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lang w:val="en-GB"/>
                    </w:rPr>
                    <w:t>正方形</w:t>
                  </w:r>
                </w:p>
                <w:p w14:paraId="10438A93">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lang w:val="en-GB"/>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DCBC608">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lang w:val="en-GB"/>
                    </w:rPr>
                    <w:t>正方形</w:t>
                  </w:r>
                </w:p>
                <w:p w14:paraId="44938B41">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lang w:val="en-GB"/>
                    </w:rPr>
                    <w:t>边框</w:t>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30B6E05A">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lang w:val="en-GB"/>
                    </w:rPr>
                    <w:t>正方形</w:t>
                  </w:r>
                </w:p>
                <w:p w14:paraId="2329A63C">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ascii="Times New Roman" w:hAnsi="Times New Roman"/>
                      <w:color w:val="auto"/>
                      <w:sz w:val="18"/>
                      <w:szCs w:val="18"/>
                      <w:lang w:val="en-GB"/>
                    </w:rPr>
                    <w:t>边框</w:t>
                  </w:r>
                </w:p>
              </w:tc>
              <w:tc>
                <w:tcPr>
                  <w:tcW w:w="787" w:type="pct"/>
                  <w:tcBorders>
                    <w:top w:val="single" w:color="auto" w:sz="6" w:space="0"/>
                    <w:left w:val="single" w:color="auto" w:sz="6" w:space="0"/>
                    <w:bottom w:val="single" w:color="auto" w:sz="6" w:space="0"/>
                    <w:right w:val="nil"/>
                  </w:tcBorders>
                  <w:noWrap w:val="0"/>
                  <w:vAlign w:val="center"/>
                </w:tcPr>
                <w:p w14:paraId="63E8D2BA">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w:t>
                  </w:r>
                </w:p>
              </w:tc>
            </w:tr>
            <w:tr w14:paraId="29EA4F1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00F311BD">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hint="eastAsia" w:ascii="Times New Roman" w:hAnsi="Times New Roman"/>
                      <w:color w:val="auto"/>
                      <w:kern w:val="0"/>
                      <w:sz w:val="18"/>
                      <w:szCs w:val="18"/>
                      <w:lang w:val="en-US" w:eastAsia="zh-CN" w:bidi="he-IL"/>
                    </w:rPr>
                  </w:pPr>
                  <w:r>
                    <w:rPr>
                      <w:rFonts w:ascii="Times New Roman" w:hAnsi="Times New Roman"/>
                      <w:color w:val="auto"/>
                      <w:sz w:val="18"/>
                      <w:szCs w:val="18"/>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D60C9BB">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B99DF1F">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D30CDFA">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绿色</w:t>
                  </w:r>
                </w:p>
              </w:tc>
              <w:tc>
                <w:tcPr>
                  <w:tcW w:w="1280" w:type="dxa"/>
                  <w:tcBorders>
                    <w:top w:val="single" w:color="auto" w:sz="6" w:space="0"/>
                    <w:left w:val="single" w:color="auto" w:sz="6" w:space="0"/>
                    <w:bottom w:val="single" w:color="auto" w:sz="6" w:space="0"/>
                    <w:right w:val="single" w:color="auto" w:sz="6" w:space="0"/>
                  </w:tcBorders>
                  <w:noWrap w:val="0"/>
                  <w:vAlign w:val="center"/>
                </w:tcPr>
                <w:p w14:paraId="5DE2B140">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绿色</w:t>
                  </w:r>
                </w:p>
              </w:tc>
              <w:tc>
                <w:tcPr>
                  <w:tcW w:w="787" w:type="pct"/>
                  <w:tcBorders>
                    <w:top w:val="single" w:color="auto" w:sz="6" w:space="0"/>
                    <w:left w:val="single" w:color="auto" w:sz="6" w:space="0"/>
                    <w:bottom w:val="single" w:color="auto" w:sz="6" w:space="0"/>
                    <w:right w:val="nil"/>
                  </w:tcBorders>
                  <w:noWrap w:val="0"/>
                  <w:vAlign w:val="center"/>
                </w:tcPr>
                <w:p w14:paraId="694C6545">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rPr>
                      <w:rFonts w:hint="eastAsia" w:ascii="Times New Roman" w:hAnsi="Times New Roman"/>
                      <w:color w:val="auto"/>
                      <w:kern w:val="0"/>
                      <w:sz w:val="18"/>
                      <w:szCs w:val="18"/>
                      <w:lang w:val="en-US" w:eastAsia="zh-CN" w:bidi="he-IL"/>
                    </w:rPr>
                  </w:pPr>
                  <w:r>
                    <w:rPr>
                      <w:rFonts w:hint="eastAsia" w:ascii="Times New Roman" w:hAnsi="Times New Roman"/>
                      <w:color w:val="auto"/>
                      <w:sz w:val="18"/>
                      <w:szCs w:val="18"/>
                      <w:lang w:val="en-US" w:eastAsia="zh-CN"/>
                    </w:rPr>
                    <w:t>/</w:t>
                  </w:r>
                </w:p>
              </w:tc>
            </w:tr>
            <w:tr w14:paraId="7C1D35E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671AFEB5">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hint="eastAsia" w:ascii="Times New Roman" w:hAnsi="Times New Roman"/>
                      <w:color w:val="auto"/>
                      <w:kern w:val="0"/>
                      <w:sz w:val="18"/>
                      <w:szCs w:val="18"/>
                      <w:lang w:val="en-US" w:eastAsia="zh-CN" w:bidi="he-IL"/>
                    </w:rPr>
                  </w:pPr>
                  <w:r>
                    <w:rPr>
                      <w:rFonts w:ascii="Times New Roman" w:hAnsi="Times New Roman"/>
                      <w:color w:val="auto"/>
                      <w:sz w:val="18"/>
                      <w:szCs w:val="18"/>
                      <w:lang w:val="en-GB"/>
                    </w:rPr>
                    <w:t>图形颜色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6438DE0">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白色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20F42C4">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白色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A08BD66">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白色</w:t>
                  </w:r>
                </w:p>
              </w:tc>
              <w:tc>
                <w:tcPr>
                  <w:tcW w:w="1280" w:type="dxa"/>
                  <w:tcBorders>
                    <w:top w:val="single" w:color="auto" w:sz="6" w:space="0"/>
                    <w:left w:val="single" w:color="auto" w:sz="6" w:space="0"/>
                    <w:bottom w:val="single" w:color="auto" w:sz="6" w:space="0"/>
                    <w:right w:val="single" w:color="auto" w:sz="6" w:space="0"/>
                  </w:tcBorders>
                  <w:noWrap w:val="0"/>
                  <w:vAlign w:val="center"/>
                </w:tcPr>
                <w:p w14:paraId="38E9A91D">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白色</w:t>
                  </w:r>
                </w:p>
              </w:tc>
              <w:tc>
                <w:tcPr>
                  <w:tcW w:w="787" w:type="pct"/>
                  <w:tcBorders>
                    <w:top w:val="single" w:color="auto" w:sz="6" w:space="0"/>
                    <w:left w:val="single" w:color="auto" w:sz="6" w:space="0"/>
                    <w:bottom w:val="single" w:color="auto" w:sz="6" w:space="0"/>
                    <w:right w:val="nil"/>
                  </w:tcBorders>
                  <w:noWrap w:val="0"/>
                  <w:vAlign w:val="center"/>
                </w:tcPr>
                <w:p w14:paraId="50028D37">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rPr>
                      <w:rFonts w:hint="eastAsia" w:ascii="Times New Roman" w:hAnsi="Times New Roman"/>
                      <w:color w:val="auto"/>
                      <w:kern w:val="0"/>
                      <w:sz w:val="18"/>
                      <w:szCs w:val="18"/>
                      <w:lang w:val="en-US" w:eastAsia="zh-CN" w:bidi="he-IL"/>
                    </w:rPr>
                  </w:pPr>
                  <w:r>
                    <w:rPr>
                      <w:rFonts w:hint="eastAsia" w:ascii="Times New Roman" w:hAnsi="Times New Roman"/>
                      <w:color w:val="auto"/>
                      <w:sz w:val="18"/>
                      <w:szCs w:val="18"/>
                      <w:lang w:val="en-US" w:eastAsia="zh-CN"/>
                    </w:rPr>
                    <w:t>/</w:t>
                  </w:r>
                </w:p>
              </w:tc>
            </w:tr>
            <w:tr w14:paraId="25DE36B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0489F764">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警告标志</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E0D1259">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三角形</w:t>
                  </w:r>
                </w:p>
                <w:p w14:paraId="55232583">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A2BFF6B">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三角形</w:t>
                  </w:r>
                </w:p>
                <w:p w14:paraId="6484B0B9">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hint="eastAsia" w:ascii="Times New Roman" w:hAnsi="Times New Roman" w:eastAsia="宋体" w:cs="Times New Roman"/>
                      <w:color w:val="auto"/>
                      <w:sz w:val="18"/>
                      <w:szCs w:val="18"/>
                      <w:lang w:val="en-US" w:eastAsia="zh-CN"/>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680BBC0">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三角形</w:t>
                  </w:r>
                </w:p>
                <w:p w14:paraId="2878E27A">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hint="eastAsia" w:ascii="Times New Roman" w:hAnsi="Times New Roman" w:eastAsia="宋体" w:cs="Times New Roman"/>
                      <w:color w:val="auto"/>
                      <w:sz w:val="18"/>
                      <w:szCs w:val="18"/>
                      <w:lang w:val="en-US" w:eastAsia="zh-CN"/>
                    </w:rPr>
                    <w:t>边框</w:t>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011303B1">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三角形</w:t>
                  </w:r>
                </w:p>
                <w:p w14:paraId="771FAAE3">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ascii="Times New Roman" w:hAnsi="Times New Roman"/>
                      <w:color w:val="auto"/>
                      <w:sz w:val="18"/>
                      <w:szCs w:val="18"/>
                      <w:lang w:val="en-GB"/>
                    </w:rPr>
                  </w:pPr>
                  <w:r>
                    <w:rPr>
                      <w:rFonts w:hint="eastAsia" w:ascii="Times New Roman" w:hAnsi="Times New Roman" w:eastAsia="宋体" w:cs="Times New Roman"/>
                      <w:color w:val="auto"/>
                      <w:sz w:val="18"/>
                      <w:szCs w:val="18"/>
                      <w:lang w:val="en-US" w:eastAsia="zh-CN"/>
                    </w:rPr>
                    <w:t>边框</w:t>
                  </w:r>
                </w:p>
              </w:tc>
              <w:tc>
                <w:tcPr>
                  <w:tcW w:w="787" w:type="pct"/>
                  <w:tcBorders>
                    <w:top w:val="single" w:color="auto" w:sz="6" w:space="0"/>
                    <w:left w:val="single" w:color="auto" w:sz="6" w:space="0"/>
                    <w:bottom w:val="single" w:color="auto" w:sz="6" w:space="0"/>
                    <w:right w:val="nil"/>
                  </w:tcBorders>
                  <w:noWrap w:val="0"/>
                  <w:vAlign w:val="center"/>
                </w:tcPr>
                <w:p w14:paraId="79E046D4">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三角形</w:t>
                  </w:r>
                </w:p>
                <w:p w14:paraId="30698D73">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rPr>
                      <w:rFonts w:hint="eastAsia" w:ascii="Times New Roman" w:hAnsi="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边框</w:t>
                  </w:r>
                </w:p>
              </w:tc>
            </w:tr>
            <w:tr w14:paraId="4DBCD89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765EC4D8">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hint="eastAsia" w:ascii="Times New Roman" w:hAnsi="Times New Roman"/>
                      <w:color w:val="auto"/>
                      <w:kern w:val="0"/>
                      <w:sz w:val="18"/>
                      <w:szCs w:val="18"/>
                      <w:lang w:val="en-GB" w:eastAsia="zh-CN" w:bidi="he-IL"/>
                    </w:rPr>
                  </w:pPr>
                  <w:r>
                    <w:rPr>
                      <w:rFonts w:ascii="Times New Roman" w:hAnsi="Times New Roman"/>
                      <w:color w:val="auto"/>
                      <w:sz w:val="18"/>
                      <w:szCs w:val="18"/>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5739DE53">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jc w:val="center"/>
                    <w:rPr>
                      <w:rFonts w:hint="eastAsia" w:ascii="Times New Roman" w:hAnsi="Times New Roman" w:eastAsia="宋体"/>
                      <w:color w:val="auto"/>
                      <w:kern w:val="0"/>
                      <w:sz w:val="18"/>
                      <w:szCs w:val="18"/>
                      <w:lang w:val="en-GB" w:eastAsia="zh-CN" w:bidi="he-IL"/>
                    </w:rPr>
                  </w:pPr>
                  <w:r>
                    <w:rPr>
                      <w:rFonts w:hint="eastAsia" w:ascii="Times New Roman" w:hAnsi="Times New Roman"/>
                      <w:color w:val="auto"/>
                      <w:sz w:val="18"/>
                      <w:szCs w:val="18"/>
                      <w:lang w:val="en-US" w:eastAsia="zh-CN"/>
                    </w:rPr>
                    <w:t>黄色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1F97CF3">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rPr>
                      <w:rFonts w:ascii="Times New Roman" w:hAnsi="Times New Roman"/>
                      <w:color w:val="auto"/>
                      <w:kern w:val="0"/>
                      <w:sz w:val="18"/>
                      <w:szCs w:val="18"/>
                      <w:lang w:val="en-GB" w:eastAsia="zh-CN" w:bidi="he-IL"/>
                    </w:rPr>
                  </w:pPr>
                  <w:r>
                    <w:rPr>
                      <w:rFonts w:hint="eastAsia" w:ascii="Times New Roman" w:hAnsi="Times New Roman"/>
                      <w:color w:val="auto"/>
                      <w:sz w:val="18"/>
                      <w:szCs w:val="18"/>
                      <w:lang w:val="en-US" w:eastAsia="zh-CN"/>
                    </w:rPr>
                    <w:t>黄色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84F4E2F">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rPr>
                      <w:rFonts w:ascii="Times New Roman" w:hAnsi="Times New Roman"/>
                      <w:color w:val="auto"/>
                      <w:kern w:val="0"/>
                      <w:sz w:val="18"/>
                      <w:szCs w:val="18"/>
                      <w:lang w:val="en-GB" w:eastAsia="zh-CN" w:bidi="he-IL"/>
                    </w:rPr>
                  </w:pPr>
                  <w:r>
                    <w:rPr>
                      <w:rFonts w:hint="eastAsia" w:ascii="Times New Roman" w:hAnsi="Times New Roman"/>
                      <w:color w:val="auto"/>
                      <w:sz w:val="18"/>
                      <w:szCs w:val="18"/>
                      <w:lang w:val="en-US" w:eastAsia="zh-CN"/>
                    </w:rPr>
                    <w:t>黄色</w:t>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2F9E8266">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rPr>
                      <w:rFonts w:ascii="Times New Roman" w:hAnsi="Times New Roman"/>
                      <w:color w:val="auto"/>
                      <w:kern w:val="0"/>
                      <w:sz w:val="18"/>
                      <w:szCs w:val="18"/>
                      <w:lang w:val="en-GB" w:eastAsia="zh-CN" w:bidi="he-IL"/>
                    </w:rPr>
                  </w:pPr>
                  <w:r>
                    <w:rPr>
                      <w:rFonts w:hint="eastAsia" w:ascii="Times New Roman" w:hAnsi="Times New Roman"/>
                      <w:color w:val="auto"/>
                      <w:sz w:val="18"/>
                      <w:szCs w:val="18"/>
                      <w:lang w:val="en-US" w:eastAsia="zh-CN"/>
                    </w:rPr>
                    <w:t>黄色</w:t>
                  </w:r>
                </w:p>
              </w:tc>
              <w:tc>
                <w:tcPr>
                  <w:tcW w:w="787" w:type="pct"/>
                  <w:tcBorders>
                    <w:top w:val="single" w:color="auto" w:sz="6" w:space="0"/>
                    <w:left w:val="single" w:color="auto" w:sz="6" w:space="0"/>
                    <w:bottom w:val="single" w:color="auto" w:sz="6" w:space="0"/>
                    <w:right w:val="nil"/>
                  </w:tcBorders>
                  <w:noWrap w:val="0"/>
                  <w:vAlign w:val="center"/>
                </w:tcPr>
                <w:p w14:paraId="6C92B979">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rPr>
                      <w:rFonts w:hint="eastAsia" w:ascii="Times New Roman" w:hAnsi="Times New Roman"/>
                      <w:color w:val="auto"/>
                      <w:kern w:val="0"/>
                      <w:sz w:val="18"/>
                      <w:szCs w:val="18"/>
                      <w:lang w:val="en-GB" w:eastAsia="zh-CN" w:bidi="he-IL"/>
                    </w:rPr>
                  </w:pPr>
                  <w:r>
                    <w:rPr>
                      <w:rFonts w:hint="eastAsia" w:ascii="Times New Roman" w:hAnsi="Times New Roman"/>
                      <w:color w:val="auto"/>
                      <w:sz w:val="18"/>
                      <w:szCs w:val="18"/>
                      <w:lang w:val="en-US" w:eastAsia="zh-CN"/>
                    </w:rPr>
                    <w:t>黄色</w:t>
                  </w:r>
                </w:p>
              </w:tc>
            </w:tr>
            <w:tr w14:paraId="1A5CB429">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12" w:space="0"/>
                    <w:right w:val="single" w:color="auto" w:sz="6" w:space="0"/>
                  </w:tcBorders>
                  <w:noWrap w:val="0"/>
                  <w:vAlign w:val="center"/>
                </w:tcPr>
                <w:p w14:paraId="116CC83F">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hint="eastAsia" w:ascii="Times New Roman" w:hAnsi="Times New Roman"/>
                      <w:color w:val="auto"/>
                      <w:kern w:val="0"/>
                      <w:sz w:val="18"/>
                      <w:szCs w:val="18"/>
                      <w:lang w:val="en-GB" w:eastAsia="zh-CN" w:bidi="he-IL"/>
                    </w:rPr>
                  </w:pPr>
                  <w:r>
                    <w:rPr>
                      <w:rFonts w:ascii="Times New Roman" w:hAnsi="Times New Roman"/>
                      <w:color w:val="auto"/>
                      <w:sz w:val="18"/>
                      <w:szCs w:val="18"/>
                      <w:lang w:val="en-GB"/>
                    </w:rPr>
                    <w:t>图形颜色</w:t>
                  </w:r>
                </w:p>
              </w:tc>
              <w:tc>
                <w:tcPr>
                  <w:tcW w:w="1232" w:type="dxa"/>
                  <w:tcBorders>
                    <w:top w:val="single" w:color="auto" w:sz="6" w:space="0"/>
                    <w:left w:val="single" w:color="auto" w:sz="6" w:space="0"/>
                    <w:bottom w:val="single" w:color="auto" w:sz="12" w:space="0"/>
                    <w:right w:val="single" w:color="auto" w:sz="6" w:space="0"/>
                  </w:tcBorders>
                  <w:noWrap w:val="0"/>
                  <w:vAlign w:val="center"/>
                </w:tcPr>
                <w:p w14:paraId="3F9E623D">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黑色</w:t>
                  </w:r>
                </w:p>
              </w:tc>
              <w:tc>
                <w:tcPr>
                  <w:tcW w:w="1232" w:type="dxa"/>
                  <w:tcBorders>
                    <w:top w:val="single" w:color="auto" w:sz="6" w:space="0"/>
                    <w:left w:val="single" w:color="auto" w:sz="6" w:space="0"/>
                    <w:bottom w:val="single" w:color="auto" w:sz="12" w:space="0"/>
                    <w:right w:val="single" w:color="auto" w:sz="6" w:space="0"/>
                  </w:tcBorders>
                  <w:noWrap w:val="0"/>
                  <w:vAlign w:val="center"/>
                </w:tcPr>
                <w:p w14:paraId="58E8753F">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黑色</w:t>
                  </w:r>
                </w:p>
              </w:tc>
              <w:tc>
                <w:tcPr>
                  <w:tcW w:w="1232" w:type="dxa"/>
                  <w:tcBorders>
                    <w:top w:val="single" w:color="auto" w:sz="6" w:space="0"/>
                    <w:left w:val="single" w:color="auto" w:sz="6" w:space="0"/>
                    <w:bottom w:val="single" w:color="auto" w:sz="12" w:space="0"/>
                    <w:right w:val="single" w:color="auto" w:sz="6" w:space="0"/>
                  </w:tcBorders>
                  <w:noWrap w:val="0"/>
                  <w:vAlign w:val="center"/>
                </w:tcPr>
                <w:p w14:paraId="1550FA00">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黑色</w:t>
                  </w:r>
                </w:p>
              </w:tc>
              <w:tc>
                <w:tcPr>
                  <w:tcW w:w="850" w:type="pct"/>
                  <w:tcBorders>
                    <w:top w:val="single" w:color="auto" w:sz="6" w:space="0"/>
                    <w:left w:val="single" w:color="auto" w:sz="6" w:space="0"/>
                    <w:bottom w:val="single" w:color="auto" w:sz="12" w:space="0"/>
                    <w:right w:val="single" w:color="auto" w:sz="6" w:space="0"/>
                  </w:tcBorders>
                  <w:noWrap w:val="0"/>
                  <w:vAlign w:val="center"/>
                </w:tcPr>
                <w:p w14:paraId="784F8ED1">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ascii="Times New Roman" w:hAnsi="Times New Roman"/>
                      <w:color w:val="auto"/>
                      <w:kern w:val="0"/>
                      <w:sz w:val="18"/>
                      <w:szCs w:val="18"/>
                      <w:lang w:val="en-GB" w:eastAsia="zh-CN" w:bidi="he-IL"/>
                    </w:rPr>
                  </w:pPr>
                  <w:r>
                    <w:rPr>
                      <w:rFonts w:ascii="Times New Roman" w:hAnsi="Times New Roman"/>
                      <w:color w:val="auto"/>
                      <w:sz w:val="18"/>
                      <w:szCs w:val="18"/>
                      <w:lang w:val="en-GB"/>
                    </w:rPr>
                    <w:t>黑色</w:t>
                  </w:r>
                </w:p>
              </w:tc>
              <w:tc>
                <w:tcPr>
                  <w:tcW w:w="787" w:type="pct"/>
                  <w:tcBorders>
                    <w:top w:val="single" w:color="auto" w:sz="6" w:space="0"/>
                    <w:left w:val="single" w:color="auto" w:sz="6" w:space="0"/>
                    <w:bottom w:val="single" w:color="auto" w:sz="12" w:space="0"/>
                    <w:right w:val="nil"/>
                  </w:tcBorders>
                  <w:noWrap w:val="0"/>
                  <w:vAlign w:val="center"/>
                </w:tcPr>
                <w:p w14:paraId="595B2198">
                  <w:pPr>
                    <w:pStyle w:val="25"/>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240" w:lineRule="auto"/>
                    <w:ind w:left="0" w:firstLine="0" w:firstLineChars="0"/>
                    <w:rPr>
                      <w:rFonts w:hint="eastAsia" w:ascii="Times New Roman" w:hAnsi="Times New Roman"/>
                      <w:color w:val="auto"/>
                      <w:kern w:val="0"/>
                      <w:sz w:val="18"/>
                      <w:szCs w:val="18"/>
                      <w:lang w:val="en-GB" w:eastAsia="zh-CN" w:bidi="he-IL"/>
                    </w:rPr>
                  </w:pPr>
                  <w:r>
                    <w:rPr>
                      <w:rFonts w:ascii="Times New Roman" w:hAnsi="Times New Roman"/>
                      <w:color w:val="auto"/>
                      <w:sz w:val="18"/>
                      <w:szCs w:val="18"/>
                      <w:lang w:val="en-GB"/>
                    </w:rPr>
                    <w:t>黑色</w:t>
                  </w:r>
                </w:p>
              </w:tc>
            </w:tr>
          </w:tbl>
          <w:p w14:paraId="7A66A9D8">
            <w:pPr>
              <w:keepNext w:val="0"/>
              <w:keepLines w:val="0"/>
              <w:pageBreakBefore w:val="0"/>
              <w:widowControl w:val="0"/>
              <w:numPr>
                <w:ilvl w:val="0"/>
                <w:numId w:val="16"/>
              </w:numPr>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bCs/>
                <w:color w:val="auto"/>
                <w:lang w:val="en-US" w:eastAsia="zh-CN"/>
              </w:rPr>
            </w:pPr>
            <w:bookmarkStart w:id="40" w:name="_Toc492278677"/>
            <w:bookmarkStart w:id="41" w:name="_Toc490031280"/>
            <w:r>
              <w:rPr>
                <w:rFonts w:hint="default" w:ascii="Times New Roman" w:hAnsi="Times New Roman" w:eastAsia="宋体" w:cs="Times New Roman"/>
                <w:b/>
                <w:bCs/>
                <w:color w:val="auto"/>
                <w:lang w:val="en-US" w:eastAsia="zh-CN"/>
              </w:rPr>
              <w:t>环保信息公开要求</w:t>
            </w:r>
            <w:bookmarkEnd w:id="40"/>
            <w:bookmarkEnd w:id="41"/>
          </w:p>
          <w:p w14:paraId="2FC94C4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参照</w:t>
            </w:r>
            <w:r>
              <w:rPr>
                <w:rFonts w:hint="default" w:ascii="Times New Roman" w:hAnsi="Times New Roman" w:eastAsia="宋体" w:cs="Times New Roman"/>
                <w:color w:val="auto"/>
                <w:lang w:val="en-US" w:eastAsia="zh-CN"/>
              </w:rPr>
              <w:t>2021年11月26日生态环境部</w:t>
            </w:r>
            <w:r>
              <w:rPr>
                <w:rFonts w:hint="eastAsia" w:ascii="Times New Roman" w:hAnsi="Times New Roman" w:eastAsia="宋体" w:cs="Times New Roman"/>
                <w:color w:val="auto"/>
                <w:lang w:val="en-US" w:eastAsia="zh-CN"/>
              </w:rPr>
              <w:t>发布的</w:t>
            </w:r>
            <w:r>
              <w:rPr>
                <w:rFonts w:hint="default" w:ascii="Times New Roman" w:hAnsi="Times New Roman" w:eastAsia="宋体" w:cs="Times New Roman"/>
                <w:color w:val="auto"/>
                <w:lang w:val="en-US" w:eastAsia="zh-CN"/>
              </w:rPr>
              <w:t>《企业环境信息依法披露管理办法》</w:t>
            </w:r>
            <w:r>
              <w:rPr>
                <w:rFonts w:hint="eastAsia" w:ascii="Times New Roman" w:hAnsi="Times New Roman" w:eastAsia="宋体" w:cs="Times New Roman"/>
                <w:color w:val="auto"/>
                <w:lang w:val="en-US" w:eastAsia="zh-CN"/>
              </w:rPr>
              <w:t>(生态环境部令第24号)要求可知，企业应当建立健全环境信息依法披露管理制度，规范工作规程，明确工作职责，建立准确的环境信息管理台账，妥善保存相关原始记录，科学统计归集相关环境信息。</w:t>
            </w:r>
            <w:r>
              <w:rPr>
                <w:rFonts w:hint="default" w:ascii="Times New Roman" w:hAnsi="Times New Roman" w:eastAsia="宋体" w:cs="Times New Roman"/>
                <w:color w:val="auto"/>
                <w:lang w:val="en-US" w:eastAsia="zh-CN"/>
              </w:rPr>
              <w:t>企业年度环境信息依法披露报告应当包括以下内容</w:t>
            </w:r>
            <w:r>
              <w:rPr>
                <w:rFonts w:hint="eastAsia" w:ascii="Times New Roman" w:hAnsi="Times New Roman" w:eastAsia="宋体" w:cs="Times New Roman"/>
                <w:color w:val="auto"/>
                <w:lang w:val="en-US" w:eastAsia="zh-CN"/>
              </w:rPr>
              <w:t>：</w:t>
            </w:r>
          </w:p>
          <w:p w14:paraId="5EB45B9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（1）企业基本信息，包括企业生产和生态环境保护等方面的基础信息；</w:t>
            </w:r>
          </w:p>
          <w:p w14:paraId="794FFB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（2）企业环境管理信息，包括生态环境行政许可、环境保护税、环境污染责任保险、环保信用评价等方面的信息；</w:t>
            </w:r>
          </w:p>
          <w:p w14:paraId="1878C0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（3）污染物产生、治理与排放信息，包括污染防治设施，污染物排放，有毒有害物质排放，工业固体废物和危险废物产生、贮存、流向、利用、处置，自行监测等方面的信息；</w:t>
            </w:r>
          </w:p>
          <w:p w14:paraId="174A148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（4）碳排放信息，包括排放量、排放设施等方面的信息；</w:t>
            </w:r>
          </w:p>
          <w:p w14:paraId="4D3C37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（5）生态环境应急信息，包括突发环境事件应急预案、重污染天气应急响应等方面的信息；</w:t>
            </w:r>
          </w:p>
          <w:p w14:paraId="37BCB84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（6）生态环境违法信息；</w:t>
            </w:r>
          </w:p>
          <w:p w14:paraId="4B6501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（7）本年度临时环境信息依法披露情况；</w:t>
            </w:r>
          </w:p>
          <w:p w14:paraId="7DAB00E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（8）法律法规规定的其他环境信息。</w:t>
            </w:r>
          </w:p>
          <w:p w14:paraId="7AA64B7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olor w:val="auto"/>
              </w:rPr>
            </w:pPr>
            <w:r>
              <w:rPr>
                <w:rFonts w:hint="eastAsia" w:ascii="Times New Roman" w:hAnsi="Times New Roman" w:eastAsia="宋体" w:cs="Times New Roman"/>
                <w:color w:val="auto"/>
                <w:lang w:val="en-US" w:eastAsia="zh-CN"/>
              </w:rPr>
              <w:t>企业可以根据实际情况对已披露的环境信息进行变更；进行变更的，应当以临时环境信息依法披露报告的形式变更，并说明变更事项和理由。企业应当于每年3月15日前披露上一年度1月1日至12月31日的环境信息。</w:t>
            </w:r>
          </w:p>
          <w:p w14:paraId="04C21729">
            <w:pPr>
              <w:rPr>
                <w:rFonts w:hint="default" w:ascii="Times New Roman" w:hAnsi="Times New Roman"/>
                <w:color w:val="auto"/>
              </w:rPr>
            </w:pPr>
          </w:p>
          <w:p w14:paraId="66FD61A6">
            <w:pPr>
              <w:rPr>
                <w:rFonts w:hint="default" w:ascii="Times New Roman" w:hAnsi="Times New Roman"/>
                <w:color w:val="auto"/>
              </w:rPr>
            </w:pPr>
          </w:p>
          <w:p w14:paraId="426D3F23">
            <w:pPr>
              <w:rPr>
                <w:rFonts w:hint="default" w:ascii="Times New Roman" w:hAnsi="Times New Roman"/>
                <w:color w:val="auto"/>
              </w:rPr>
            </w:pPr>
          </w:p>
          <w:p w14:paraId="3EAE5562">
            <w:pPr>
              <w:rPr>
                <w:rFonts w:hint="default" w:ascii="Times New Roman" w:hAnsi="Times New Roman"/>
                <w:color w:val="auto"/>
              </w:rPr>
            </w:pPr>
          </w:p>
          <w:p w14:paraId="0D0DB150">
            <w:pPr>
              <w:rPr>
                <w:rFonts w:hint="default" w:ascii="Times New Roman" w:hAnsi="Times New Roman"/>
                <w:color w:val="auto"/>
              </w:rPr>
            </w:pPr>
          </w:p>
          <w:p w14:paraId="32EEAF57">
            <w:pPr>
              <w:rPr>
                <w:rFonts w:hint="default" w:ascii="Times New Roman" w:hAnsi="Times New Roman"/>
                <w:color w:val="auto"/>
              </w:rPr>
            </w:pPr>
          </w:p>
        </w:tc>
      </w:tr>
    </w:tbl>
    <w:p w14:paraId="208357B4">
      <w:pPr>
        <w:pStyle w:val="17"/>
        <w:jc w:val="center"/>
        <w:outlineLvl w:val="0"/>
        <w:rPr>
          <w:rFonts w:hint="default" w:ascii="Times New Roman" w:hAnsi="Times New Roman" w:eastAsia="黑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2550FD6">
      <w:pPr>
        <w:pStyle w:val="17"/>
        <w:jc w:val="center"/>
        <w:outlineLvl w:val="0"/>
        <w:rPr>
          <w:rFonts w:hint="eastAsia" w:ascii="Times New Roman" w:hAnsi="Times New Roman" w:eastAsia="黑体" w:cs="Times New Roman"/>
          <w:snapToGrid w:val="0"/>
          <w:color w:val="auto"/>
          <w:sz w:val="30"/>
          <w:szCs w:val="30"/>
          <w:lang w:eastAsia="zh-CN"/>
        </w:rPr>
      </w:pPr>
      <w:bookmarkStart w:id="42" w:name="_Toc10122"/>
      <w:r>
        <w:rPr>
          <w:rFonts w:hint="eastAsia" w:ascii="Times New Roman" w:hAnsi="Times New Roman" w:eastAsia="黑体" w:cs="Times New Roman"/>
          <w:snapToGrid w:val="0"/>
          <w:color w:val="auto"/>
          <w:sz w:val="30"/>
          <w:szCs w:val="30"/>
          <w:lang w:eastAsia="zh-CN"/>
        </w:rPr>
        <w:drawing>
          <wp:anchor distT="0" distB="0" distL="114300" distR="114300" simplePos="0" relativeHeight="251671552" behindDoc="0" locked="0" layoutInCell="1" allowOverlap="1">
            <wp:simplePos x="0" y="0"/>
            <wp:positionH relativeFrom="column">
              <wp:posOffset>-83820</wp:posOffset>
            </wp:positionH>
            <wp:positionV relativeFrom="paragraph">
              <wp:posOffset>-73025</wp:posOffset>
            </wp:positionV>
            <wp:extent cx="5782945" cy="8429625"/>
            <wp:effectExtent l="0" t="0" r="8255" b="3175"/>
            <wp:wrapNone/>
            <wp:docPr id="25" name="图片 13" descr="资质页资料-中福鑫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资质页资料-中福鑫_08"/>
                    <pic:cNvPicPr>
                      <a:picLocks noChangeAspect="1"/>
                    </pic:cNvPicPr>
                  </pic:nvPicPr>
                  <pic:blipFill>
                    <a:blip r:embed="rId35"/>
                    <a:srcRect l="2386" t="1631" r="1425"/>
                    <a:stretch>
                      <a:fillRect/>
                    </a:stretch>
                  </pic:blipFill>
                  <pic:spPr>
                    <a:xfrm>
                      <a:off x="0" y="0"/>
                      <a:ext cx="5782945" cy="8429625"/>
                    </a:xfrm>
                    <a:prstGeom prst="rect">
                      <a:avLst/>
                    </a:prstGeom>
                    <a:noFill/>
                    <a:ln>
                      <a:noFill/>
                    </a:ln>
                  </pic:spPr>
                </pic:pic>
              </a:graphicData>
            </a:graphic>
          </wp:anchor>
        </w:drawing>
      </w:r>
      <w:r>
        <w:rPr>
          <w:rFonts w:hint="default" w:ascii="Times New Roman" w:hAnsi="Times New Roman" w:eastAsia="黑体" w:cs="Times New Roman"/>
          <w:snapToGrid w:val="0"/>
          <w:color w:val="auto"/>
          <w:sz w:val="30"/>
          <w:szCs w:val="30"/>
        </w:rPr>
        <w:t>六、结论</w:t>
      </w:r>
      <w:bookmarkEnd w:id="42"/>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8E58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10DCD3C5">
            <w:pPr>
              <w:pStyle w:val="34"/>
              <w:keepNext w:val="0"/>
              <w:keepLines w:val="0"/>
              <w:pageBreakBefore w:val="0"/>
              <w:widowControl w:val="0"/>
              <w:kinsoku/>
              <w:wordWrap/>
              <w:overflowPunct/>
              <w:topLinePunct w:val="0"/>
              <w:autoSpaceDE w:val="0"/>
              <w:autoSpaceDN w:val="0"/>
              <w:bidi w:val="0"/>
              <w:adjustRightInd w:val="0"/>
              <w:snapToGrid w:val="0"/>
              <w:spacing w:before="313" w:beforeLines="100" w:after="157" w:afterLines="50" w:line="360" w:lineRule="auto"/>
              <w:ind w:left="0" w:leftChars="0" w:firstLine="0" w:firstLineChars="0"/>
              <w:jc w:val="left"/>
              <w:textAlignment w:val="baseline"/>
              <w:outlineLvl w:val="1"/>
              <w:rPr>
                <w:rFonts w:hint="default" w:ascii="Times New Roman" w:hAnsi="Times New Roman" w:eastAsia="宋体" w:cs="Times New Roman"/>
                <w:color w:val="auto"/>
                <w:sz w:val="28"/>
                <w:szCs w:val="28"/>
                <w:highlight w:val="none"/>
              </w:rPr>
            </w:pPr>
            <w:bookmarkStart w:id="43" w:name="_Toc8175"/>
            <w:r>
              <w:rPr>
                <w:rFonts w:hint="default" w:ascii="Times New Roman" w:hAnsi="Times New Roman" w:eastAsia="宋体" w:cs="Times New Roman"/>
                <w:b/>
                <w:color w:val="auto"/>
                <w:sz w:val="28"/>
                <w:szCs w:val="28"/>
                <w:highlight w:val="none"/>
                <w:lang w:val="en-US" w:eastAsia="zh-CN"/>
              </w:rPr>
              <w:t>6.1</w:t>
            </w:r>
            <w:r>
              <w:rPr>
                <w:rFonts w:hint="default" w:ascii="Times New Roman" w:hAnsi="Times New Roman" w:eastAsia="宋体" w:cs="Times New Roman"/>
                <w:b/>
                <w:color w:val="auto"/>
                <w:sz w:val="28"/>
                <w:szCs w:val="28"/>
                <w:highlight w:val="none"/>
              </w:rPr>
              <w:t xml:space="preserve"> 总结论</w:t>
            </w:r>
            <w:bookmarkEnd w:id="43"/>
          </w:p>
          <w:p w14:paraId="334CC2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本项目符合国家产业政策，</w:t>
            </w:r>
            <w:r>
              <w:rPr>
                <w:rFonts w:hint="eastAsia" w:ascii="Times New Roman" w:hAnsi="Times New Roman" w:eastAsia="宋体" w:cs="Times New Roman"/>
                <w:color w:val="auto"/>
                <w:sz w:val="24"/>
                <w:lang w:val="en-US" w:eastAsia="zh-CN"/>
              </w:rPr>
              <w:t>符合规划环评及审查意见要求，</w:t>
            </w:r>
            <w:r>
              <w:rPr>
                <w:rFonts w:hint="default" w:ascii="Times New Roman" w:hAnsi="Times New Roman" w:eastAsia="宋体" w:cs="Times New Roman"/>
                <w:color w:val="auto"/>
                <w:sz w:val="24"/>
                <w:lang w:val="en-US" w:eastAsia="zh-CN"/>
              </w:rPr>
              <w:t>符合生态环境分区管控要求</w:t>
            </w:r>
            <w:r>
              <w:rPr>
                <w:rFonts w:hint="eastAsia" w:ascii="Times New Roman" w:hAnsi="Times New Roman" w:eastAsia="宋体" w:cs="Times New Roman"/>
                <w:color w:val="auto"/>
                <w:sz w:val="24"/>
                <w:lang w:val="en-US" w:eastAsia="zh-CN"/>
              </w:rPr>
              <w:t>，</w:t>
            </w:r>
            <w:r>
              <w:rPr>
                <w:rFonts w:hint="eastAsia" w:ascii="Times New Roman" w:hAnsi="Times New Roman"/>
                <w:color w:val="auto"/>
                <w:sz w:val="24"/>
                <w:lang w:val="en-US" w:eastAsia="zh-CN"/>
              </w:rPr>
              <w:t>选址基本合理</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通过对本项目的环境影响分析，项目运营过程中</w:t>
            </w:r>
            <w:r>
              <w:rPr>
                <w:rFonts w:hint="eastAsia" w:ascii="Times New Roman" w:hAnsi="Times New Roman" w:eastAsia="宋体" w:cs="Times New Roman"/>
                <w:color w:val="auto"/>
                <w:sz w:val="24"/>
                <w:lang w:val="en-US" w:eastAsia="zh-CN"/>
              </w:rPr>
              <w:t>废水</w:t>
            </w:r>
            <w:r>
              <w:rPr>
                <w:rFonts w:hint="default" w:ascii="Times New Roman" w:hAnsi="Times New Roman" w:eastAsia="宋体" w:cs="Times New Roman"/>
                <w:color w:val="auto"/>
                <w:sz w:val="24"/>
                <w:lang w:eastAsia="zh-CN"/>
              </w:rPr>
              <w:t>、废气、噪声、固废等污染物对周围环境空气质量、水环境、声环境</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地下水和土壤环境</w:t>
            </w:r>
            <w:r>
              <w:rPr>
                <w:rFonts w:hint="default" w:ascii="Times New Roman" w:hAnsi="Times New Roman" w:eastAsia="宋体" w:cs="Times New Roman"/>
                <w:color w:val="auto"/>
                <w:sz w:val="24"/>
                <w:lang w:eastAsia="zh-CN"/>
              </w:rPr>
              <w:t>等</w:t>
            </w:r>
            <w:r>
              <w:rPr>
                <w:rFonts w:hint="eastAsia" w:ascii="Times New Roman" w:hAnsi="Times New Roman" w:eastAsia="宋体" w:cs="Times New Roman"/>
                <w:color w:val="auto"/>
                <w:sz w:val="24"/>
                <w:lang w:val="en-US" w:eastAsia="zh-CN"/>
              </w:rPr>
              <w:t>会</w:t>
            </w:r>
            <w:r>
              <w:rPr>
                <w:rFonts w:hint="default" w:ascii="Times New Roman" w:hAnsi="Times New Roman" w:eastAsia="宋体" w:cs="Times New Roman"/>
                <w:color w:val="auto"/>
                <w:sz w:val="24"/>
                <w:lang w:eastAsia="zh-CN"/>
              </w:rPr>
              <w:t>造成一定不利影响，经采取综合性、积极有效的防治措施并确保污染物达标排放后，可避免或减少这些不利影响，影响均在环境可接受的范围内。</w:t>
            </w:r>
          </w:p>
          <w:p w14:paraId="26201E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综上所述，在严格执行环保“三同时”制度，全面落实环境影响报告表提出的各项污染防治措施、加强环境风险管理并确保各类污染物达标排放的前提下，从环境影响的角度分析，项目建设可行。</w:t>
            </w:r>
          </w:p>
          <w:p w14:paraId="6A99EAE8">
            <w:pPr>
              <w:spacing w:line="360" w:lineRule="auto"/>
              <w:ind w:firstLine="480" w:firstLineChars="200"/>
              <w:jc w:val="both"/>
              <w:rPr>
                <w:rFonts w:hint="eastAsia" w:ascii="Times New Roman" w:hAnsi="Times New Roman" w:cs="Times New Roman"/>
                <w:color w:val="auto"/>
                <w:sz w:val="24"/>
                <w:lang w:eastAsia="zh-CN"/>
              </w:rPr>
            </w:pPr>
          </w:p>
          <w:p w14:paraId="35C36A5C">
            <w:pPr>
              <w:pStyle w:val="2"/>
              <w:rPr>
                <w:rFonts w:hint="eastAsia" w:ascii="Times New Roman" w:hAnsi="Times New Roman" w:cs="Times New Roman"/>
                <w:color w:val="auto"/>
                <w:sz w:val="24"/>
                <w:lang w:eastAsia="zh-CN"/>
              </w:rPr>
            </w:pPr>
          </w:p>
          <w:p w14:paraId="12A82E6B">
            <w:pPr>
              <w:pStyle w:val="4"/>
              <w:rPr>
                <w:rFonts w:hint="eastAsia" w:ascii="Times New Roman" w:hAnsi="Times New Roman"/>
                <w:color w:val="auto"/>
                <w:lang w:eastAsia="zh-CN"/>
              </w:rPr>
            </w:pPr>
          </w:p>
          <w:p w14:paraId="6AEC40A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jc w:val="right"/>
              <w:textAlignment w:val="auto"/>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 xml:space="preserve">                </w:t>
            </w:r>
          </w:p>
          <w:p w14:paraId="60195415">
            <w:pPr>
              <w:keepNext w:val="0"/>
              <w:keepLines w:val="0"/>
              <w:pageBreakBefore w:val="0"/>
              <w:widowControl w:val="0"/>
              <w:kinsoku/>
              <w:wordWrap/>
              <w:overflowPunct/>
              <w:topLinePunct w:val="0"/>
              <w:autoSpaceDE w:val="0"/>
              <w:autoSpaceDN w:val="0"/>
              <w:bidi w:val="0"/>
              <w:adjustRightInd w:val="0"/>
              <w:snapToGrid w:val="0"/>
              <w:spacing w:line="360" w:lineRule="auto"/>
              <w:ind w:right="0"/>
              <w:jc w:val="right"/>
              <w:textAlignment w:val="auto"/>
              <w:rPr>
                <w:rFonts w:hint="eastAsia" w:ascii="Times New Roman" w:hAnsi="Times New Roman" w:cs="Times New Roman"/>
                <w:b/>
                <w:bCs/>
                <w:color w:val="auto"/>
                <w:sz w:val="24"/>
                <w:lang w:eastAsia="zh-CN"/>
              </w:rPr>
            </w:pPr>
            <w:r>
              <w:rPr>
                <w:rFonts w:hint="eastAsia" w:ascii="Times New Roman" w:hAnsi="Times New Roman" w:cs="Times New Roman"/>
                <w:b/>
                <w:bCs/>
                <w:color w:val="auto"/>
                <w:sz w:val="24"/>
                <w:lang w:eastAsia="zh-CN"/>
              </w:rPr>
              <w:t>编制单位：福建绿川环保科技有限公司</w:t>
            </w:r>
          </w:p>
          <w:p w14:paraId="7241895D">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b/>
                <w:bCs/>
                <w:color w:val="auto"/>
                <w:sz w:val="24"/>
                <w:lang w:val="en-US" w:eastAsia="zh-CN"/>
              </w:rPr>
              <w:t xml:space="preserve">                    </w:t>
            </w:r>
            <w:r>
              <w:rPr>
                <w:rFonts w:hint="eastAsia" w:ascii="Times New Roman" w:hAnsi="Times New Roman" w:cs="Times New Roman"/>
                <w:b/>
                <w:bCs/>
                <w:color w:val="auto"/>
                <w:sz w:val="24"/>
                <w:lang w:eastAsia="zh-CN"/>
              </w:rPr>
              <w:t>编制时间：</w:t>
            </w:r>
            <w:r>
              <w:rPr>
                <w:rFonts w:hint="eastAsia" w:ascii="Times New Roman" w:hAnsi="Times New Roman" w:cs="Times New Roman"/>
                <w:b/>
                <w:bCs/>
                <w:color w:val="auto"/>
                <w:sz w:val="24"/>
                <w:lang w:val="en-US" w:eastAsia="zh-CN"/>
              </w:rPr>
              <w:t>2025年03月</w:t>
            </w:r>
          </w:p>
        </w:tc>
      </w:tr>
    </w:tbl>
    <w:p w14:paraId="7C65F3AA">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EFF2BD2"/>
    <w:sectPr>
      <w:headerReference r:id="rId6" w:type="default"/>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script"/>
    <w:pitch w:val="default"/>
    <w:sig w:usb0="00000000" w:usb1="00000000" w:usb2="00082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FZFSK--GBK1-0">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59254">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225FC">
    <w:pPr>
      <w:pStyle w:val="13"/>
      <w:framePr w:wrap="around" w:vAnchor="text" w:hAnchor="margin" w:xAlign="center" w:y="1"/>
      <w:rPr>
        <w:rStyle w:val="23"/>
      </w:rPr>
    </w:pPr>
    <w:r>
      <w:fldChar w:fldCharType="begin"/>
    </w:r>
    <w:r>
      <w:rPr>
        <w:rStyle w:val="23"/>
      </w:rPr>
      <w:instrText xml:space="preserve">PAGE  </w:instrText>
    </w:r>
    <w:r>
      <w:fldChar w:fldCharType="end"/>
    </w:r>
  </w:p>
  <w:p w14:paraId="006156E3">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A95B2">
    <w:pPr>
      <w:pStyle w:val="1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08F6E0">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14:paraId="5D08F6E0">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8FA02">
    <w:pPr>
      <w:pStyle w:val="1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EDD25">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98ADA"/>
    <w:multiLevelType w:val="singleLevel"/>
    <w:tmpl w:val="8B298ADA"/>
    <w:lvl w:ilvl="0" w:tentative="0">
      <w:start w:val="4"/>
      <w:numFmt w:val="chineseCounting"/>
      <w:suff w:val="nothing"/>
      <w:lvlText w:val="%1、"/>
      <w:lvlJc w:val="left"/>
      <w:rPr>
        <w:rFonts w:hint="eastAsia"/>
      </w:rPr>
    </w:lvl>
  </w:abstractNum>
  <w:abstractNum w:abstractNumId="1">
    <w:nsid w:val="A2472E86"/>
    <w:multiLevelType w:val="singleLevel"/>
    <w:tmpl w:val="A2472E86"/>
    <w:lvl w:ilvl="0" w:tentative="0">
      <w:start w:val="1"/>
      <w:numFmt w:val="lowerLetter"/>
      <w:lvlText w:val="%1)"/>
      <w:lvlJc w:val="left"/>
      <w:pPr>
        <w:tabs>
          <w:tab w:val="left" w:pos="312"/>
        </w:tabs>
      </w:pPr>
    </w:lvl>
  </w:abstractNum>
  <w:abstractNum w:abstractNumId="2">
    <w:nsid w:val="A716505F"/>
    <w:multiLevelType w:val="singleLevel"/>
    <w:tmpl w:val="A716505F"/>
    <w:lvl w:ilvl="0" w:tentative="0">
      <w:start w:val="5"/>
      <w:numFmt w:val="decimal"/>
      <w:suff w:val="nothing"/>
      <w:lvlText w:val="（%1）"/>
      <w:lvlJc w:val="left"/>
    </w:lvl>
  </w:abstractNum>
  <w:abstractNum w:abstractNumId="3">
    <w:nsid w:val="B2F5FBE8"/>
    <w:multiLevelType w:val="singleLevel"/>
    <w:tmpl w:val="B2F5FBE8"/>
    <w:lvl w:ilvl="0" w:tentative="0">
      <w:start w:val="2"/>
      <w:numFmt w:val="decimal"/>
      <w:suff w:val="nothing"/>
      <w:lvlText w:val="（%1）"/>
      <w:lvlJc w:val="left"/>
    </w:lvl>
  </w:abstractNum>
  <w:abstractNum w:abstractNumId="4">
    <w:nsid w:val="14AC69CA"/>
    <w:multiLevelType w:val="singleLevel"/>
    <w:tmpl w:val="14AC69CA"/>
    <w:lvl w:ilvl="0" w:tentative="0">
      <w:start w:val="1"/>
      <w:numFmt w:val="chineseCounting"/>
      <w:suff w:val="nothing"/>
      <w:lvlText w:val="%1、"/>
      <w:lvlJc w:val="left"/>
      <w:rPr>
        <w:rFonts w:hint="eastAsia"/>
      </w:rPr>
    </w:lvl>
  </w:abstractNum>
  <w:abstractNum w:abstractNumId="5">
    <w:nsid w:val="14EDE849"/>
    <w:multiLevelType w:val="singleLevel"/>
    <w:tmpl w:val="14EDE849"/>
    <w:lvl w:ilvl="0" w:tentative="0">
      <w:start w:val="1"/>
      <w:numFmt w:val="decimal"/>
      <w:suff w:val="nothing"/>
      <w:lvlText w:val="（%1）"/>
      <w:lvlJc w:val="left"/>
    </w:lvl>
  </w:abstractNum>
  <w:abstractNum w:abstractNumId="6">
    <w:nsid w:val="1CCCB413"/>
    <w:multiLevelType w:val="singleLevel"/>
    <w:tmpl w:val="1CCCB413"/>
    <w:lvl w:ilvl="0" w:tentative="0">
      <w:start w:val="1"/>
      <w:numFmt w:val="decimal"/>
      <w:suff w:val="nothing"/>
      <w:lvlText w:val="（%1）"/>
      <w:lvlJc w:val="left"/>
    </w:lvl>
  </w:abstractNum>
  <w:abstractNum w:abstractNumId="7">
    <w:nsid w:val="320F13A2"/>
    <w:multiLevelType w:val="multilevel"/>
    <w:tmpl w:val="320F13A2"/>
    <w:lvl w:ilvl="0" w:tentative="0">
      <w:start w:val="1"/>
      <w:numFmt w:val="decimal"/>
      <w:pStyle w:val="40"/>
      <w:lvlText w:val="(%1)"/>
      <w:lvlJc w:val="left"/>
      <w:pPr>
        <w:ind w:left="114" w:firstLine="426"/>
      </w:pPr>
      <w:rPr>
        <w:rFonts w:hint="eastAsia"/>
        <w:color w:val="000000"/>
      </w:rPr>
    </w:lvl>
    <w:lvl w:ilvl="1" w:tentative="0">
      <w:start w:val="1"/>
      <w:numFmt w:val="lowerLetter"/>
      <w:lvlText w:val="%2)"/>
      <w:lvlJc w:val="left"/>
      <w:pPr>
        <w:ind w:left="1402" w:hanging="420"/>
      </w:pPr>
      <w:rPr>
        <w:rFonts w:hint="eastAsia"/>
      </w:rPr>
    </w:lvl>
    <w:lvl w:ilvl="2" w:tentative="0">
      <w:start w:val="1"/>
      <w:numFmt w:val="lowerRoman"/>
      <w:lvlText w:val="%3."/>
      <w:lvlJc w:val="right"/>
      <w:pPr>
        <w:ind w:left="1822" w:hanging="420"/>
      </w:pPr>
      <w:rPr>
        <w:rFonts w:hint="eastAsia"/>
      </w:rPr>
    </w:lvl>
    <w:lvl w:ilvl="3" w:tentative="0">
      <w:start w:val="1"/>
      <w:numFmt w:val="decimal"/>
      <w:lvlText w:val="%4."/>
      <w:lvlJc w:val="left"/>
      <w:pPr>
        <w:ind w:left="2242" w:hanging="420"/>
      </w:pPr>
      <w:rPr>
        <w:rFonts w:hint="eastAsia"/>
      </w:rPr>
    </w:lvl>
    <w:lvl w:ilvl="4" w:tentative="0">
      <w:start w:val="1"/>
      <w:numFmt w:val="lowerLetter"/>
      <w:lvlText w:val="%5)"/>
      <w:lvlJc w:val="left"/>
      <w:pPr>
        <w:ind w:left="2662" w:hanging="420"/>
      </w:pPr>
      <w:rPr>
        <w:rFonts w:hint="eastAsia"/>
      </w:rPr>
    </w:lvl>
    <w:lvl w:ilvl="5" w:tentative="0">
      <w:start w:val="1"/>
      <w:numFmt w:val="lowerRoman"/>
      <w:lvlText w:val="%6."/>
      <w:lvlJc w:val="right"/>
      <w:pPr>
        <w:ind w:left="3082" w:hanging="420"/>
      </w:pPr>
      <w:rPr>
        <w:rFonts w:hint="eastAsia"/>
      </w:rPr>
    </w:lvl>
    <w:lvl w:ilvl="6" w:tentative="0">
      <w:start w:val="1"/>
      <w:numFmt w:val="decimal"/>
      <w:lvlText w:val="%7."/>
      <w:lvlJc w:val="left"/>
      <w:pPr>
        <w:ind w:left="3502" w:hanging="420"/>
      </w:pPr>
      <w:rPr>
        <w:rFonts w:hint="eastAsia"/>
      </w:rPr>
    </w:lvl>
    <w:lvl w:ilvl="7" w:tentative="0">
      <w:start w:val="1"/>
      <w:numFmt w:val="lowerLetter"/>
      <w:lvlText w:val="%8)"/>
      <w:lvlJc w:val="left"/>
      <w:pPr>
        <w:ind w:left="3922" w:hanging="420"/>
      </w:pPr>
      <w:rPr>
        <w:rFonts w:hint="eastAsia"/>
      </w:rPr>
    </w:lvl>
    <w:lvl w:ilvl="8" w:tentative="0">
      <w:start w:val="1"/>
      <w:numFmt w:val="lowerRoman"/>
      <w:lvlText w:val="%9."/>
      <w:lvlJc w:val="right"/>
      <w:pPr>
        <w:ind w:left="4342" w:hanging="420"/>
      </w:pPr>
      <w:rPr>
        <w:rFonts w:hint="eastAsia"/>
      </w:rPr>
    </w:lvl>
  </w:abstractNum>
  <w:abstractNum w:abstractNumId="8">
    <w:nsid w:val="378E8916"/>
    <w:multiLevelType w:val="singleLevel"/>
    <w:tmpl w:val="378E8916"/>
    <w:lvl w:ilvl="0" w:tentative="0">
      <w:start w:val="1"/>
      <w:numFmt w:val="lowerLetter"/>
      <w:lvlText w:val="%1)"/>
      <w:lvlJc w:val="left"/>
      <w:pPr>
        <w:tabs>
          <w:tab w:val="left" w:pos="312"/>
        </w:tabs>
      </w:pPr>
    </w:lvl>
  </w:abstractNum>
  <w:abstractNum w:abstractNumId="9">
    <w:nsid w:val="3BC639A5"/>
    <w:multiLevelType w:val="singleLevel"/>
    <w:tmpl w:val="3BC639A5"/>
    <w:lvl w:ilvl="0" w:tentative="0">
      <w:start w:val="1"/>
      <w:numFmt w:val="decimal"/>
      <w:suff w:val="nothing"/>
      <w:lvlText w:val="（%1）"/>
      <w:lvlJc w:val="left"/>
    </w:lvl>
  </w:abstractNum>
  <w:abstractNum w:abstractNumId="10">
    <w:nsid w:val="56AF4760"/>
    <w:multiLevelType w:val="multilevel"/>
    <w:tmpl w:val="56AF4760"/>
    <w:lvl w:ilvl="0" w:tentative="0">
      <w:start w:val="1"/>
      <w:numFmt w:val="chineseCountingThousand"/>
      <w:suff w:val="nothing"/>
      <w:lvlText w:val="%1、"/>
      <w:lvlJc w:val="left"/>
      <w:pPr>
        <w:ind w:left="993" w:firstLine="0"/>
      </w:pPr>
      <w:rPr>
        <w:rFonts w:hint="eastAsia"/>
      </w:rPr>
    </w:lvl>
    <w:lvl w:ilvl="1" w:tentative="0">
      <w:start w:val="1"/>
      <w:numFmt w:val="decimal"/>
      <w:pStyle w:val="6"/>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b/>
        <w:bCs w:val="0"/>
        <w:i w:val="0"/>
        <w:iCs w:val="0"/>
        <w:caps w:val="0"/>
        <w:smallCaps w:val="0"/>
        <w:strike w:val="0"/>
        <w:dstrike w:val="0"/>
        <w:vanish w:val="0"/>
        <w:spacing w:val="0"/>
        <w:position w:val="0"/>
        <w:u w:val="none"/>
        <w:vertAlign w:val="baseline"/>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
    <w:nsid w:val="5F6E9794"/>
    <w:multiLevelType w:val="singleLevel"/>
    <w:tmpl w:val="5F6E9794"/>
    <w:lvl w:ilvl="0" w:tentative="0">
      <w:start w:val="1"/>
      <w:numFmt w:val="upperLetter"/>
      <w:lvlText w:val="%1."/>
      <w:lvlJc w:val="left"/>
      <w:pPr>
        <w:tabs>
          <w:tab w:val="left" w:pos="312"/>
        </w:tabs>
      </w:pPr>
    </w:lvl>
  </w:abstractNum>
  <w:abstractNum w:abstractNumId="12">
    <w:nsid w:val="6833FA05"/>
    <w:multiLevelType w:val="singleLevel"/>
    <w:tmpl w:val="6833FA05"/>
    <w:lvl w:ilvl="0" w:tentative="0">
      <w:start w:val="1"/>
      <w:numFmt w:val="decimal"/>
      <w:suff w:val="nothing"/>
      <w:lvlText w:val="%1、"/>
      <w:lvlJc w:val="left"/>
    </w:lvl>
  </w:abstractNum>
  <w:abstractNum w:abstractNumId="13">
    <w:nsid w:val="6B873479"/>
    <w:multiLevelType w:val="singleLevel"/>
    <w:tmpl w:val="6B873479"/>
    <w:lvl w:ilvl="0" w:tentative="0">
      <w:start w:val="3"/>
      <w:numFmt w:val="decimal"/>
      <w:suff w:val="nothing"/>
      <w:lvlText w:val="%1、"/>
      <w:lvlJc w:val="left"/>
    </w:lvl>
  </w:abstractNum>
  <w:abstractNum w:abstractNumId="14">
    <w:nsid w:val="70EA7E00"/>
    <w:multiLevelType w:val="multilevel"/>
    <w:tmpl w:val="70EA7E00"/>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762" w:hanging="420"/>
      </w:pPr>
    </w:lvl>
    <w:lvl w:ilvl="2" w:tentative="0">
      <w:start w:val="1"/>
      <w:numFmt w:val="lowerRoman"/>
      <w:lvlText w:val="%3."/>
      <w:lvlJc w:val="right"/>
      <w:pPr>
        <w:ind w:left="1182" w:hanging="420"/>
      </w:pPr>
    </w:lvl>
    <w:lvl w:ilvl="3" w:tentative="0">
      <w:start w:val="1"/>
      <w:numFmt w:val="decimal"/>
      <w:lvlText w:val="%4."/>
      <w:lvlJc w:val="left"/>
      <w:pPr>
        <w:ind w:left="1602" w:hanging="420"/>
      </w:pPr>
    </w:lvl>
    <w:lvl w:ilvl="4" w:tentative="0">
      <w:start w:val="1"/>
      <w:numFmt w:val="lowerLetter"/>
      <w:lvlText w:val="%5)"/>
      <w:lvlJc w:val="left"/>
      <w:pPr>
        <w:ind w:left="2022" w:hanging="420"/>
      </w:pPr>
    </w:lvl>
    <w:lvl w:ilvl="5" w:tentative="0">
      <w:start w:val="1"/>
      <w:numFmt w:val="lowerRoman"/>
      <w:lvlText w:val="%6."/>
      <w:lvlJc w:val="right"/>
      <w:pPr>
        <w:ind w:left="2442" w:hanging="420"/>
      </w:pPr>
    </w:lvl>
    <w:lvl w:ilvl="6" w:tentative="0">
      <w:start w:val="1"/>
      <w:numFmt w:val="decimal"/>
      <w:lvlText w:val="%7."/>
      <w:lvlJc w:val="left"/>
      <w:pPr>
        <w:ind w:left="2862" w:hanging="420"/>
      </w:pPr>
    </w:lvl>
    <w:lvl w:ilvl="7" w:tentative="0">
      <w:start w:val="1"/>
      <w:numFmt w:val="lowerLetter"/>
      <w:lvlText w:val="%8)"/>
      <w:lvlJc w:val="left"/>
      <w:pPr>
        <w:ind w:left="3282" w:hanging="420"/>
      </w:pPr>
    </w:lvl>
    <w:lvl w:ilvl="8" w:tentative="0">
      <w:start w:val="1"/>
      <w:numFmt w:val="lowerRoman"/>
      <w:lvlText w:val="%9."/>
      <w:lvlJc w:val="right"/>
      <w:pPr>
        <w:ind w:left="3702" w:hanging="420"/>
      </w:pPr>
    </w:lvl>
  </w:abstractNum>
  <w:abstractNum w:abstractNumId="15">
    <w:nsid w:val="7F0C3E49"/>
    <w:multiLevelType w:val="multilevel"/>
    <w:tmpl w:val="7F0C3E49"/>
    <w:lvl w:ilvl="0" w:tentative="0">
      <w:start w:val="1"/>
      <w:numFmt w:val="decimal"/>
      <w:pStyle w:val="54"/>
      <w:lvlText w:val="表%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7"/>
  </w:num>
  <w:num w:numId="3">
    <w:abstractNumId w:val="15"/>
  </w:num>
  <w:num w:numId="4">
    <w:abstractNumId w:val="12"/>
  </w:num>
  <w:num w:numId="5">
    <w:abstractNumId w:val="4"/>
  </w:num>
  <w:num w:numId="6">
    <w:abstractNumId w:val="6"/>
  </w:num>
  <w:num w:numId="7">
    <w:abstractNumId w:val="8"/>
  </w:num>
  <w:num w:numId="8">
    <w:abstractNumId w:val="1"/>
  </w:num>
  <w:num w:numId="9">
    <w:abstractNumId w:val="3"/>
  </w:num>
  <w:num w:numId="10">
    <w:abstractNumId w:val="0"/>
  </w:num>
  <w:num w:numId="11">
    <w:abstractNumId w:val="5"/>
  </w:num>
  <w:num w:numId="12">
    <w:abstractNumId w:val="2"/>
  </w:num>
  <w:num w:numId="13">
    <w:abstractNumId w:val="11"/>
  </w:num>
  <w:num w:numId="14">
    <w:abstractNumId w:val="14"/>
  </w:num>
  <w:num w:numId="15">
    <w:abstractNumId w:val="9"/>
  </w:num>
  <w:num w:numId="16">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EB70A5"/>
    <w:rsid w:val="5DEB70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5"/>
    <w:next w:val="1"/>
    <w:qFormat/>
    <w:uiPriority w:val="0"/>
    <w:pPr>
      <w:numPr>
        <w:ilvl w:val="1"/>
        <w:numId w:val="1"/>
      </w:numPr>
      <w:spacing w:line="360" w:lineRule="auto"/>
      <w:outlineLvl w:val="1"/>
    </w:pPr>
    <w:rPr>
      <w:kern w:val="0"/>
      <w:sz w:val="28"/>
      <w:szCs w:val="28"/>
    </w:rPr>
  </w:style>
  <w:style w:type="paragraph" w:styleId="7">
    <w:name w:val="heading 3"/>
    <w:basedOn w:val="1"/>
    <w:next w:val="1"/>
    <w:qFormat/>
    <w:uiPriority w:val="0"/>
    <w:pPr>
      <w:keepNext/>
      <w:keepLines/>
      <w:ind w:firstLine="0"/>
      <w:outlineLvl w:val="2"/>
    </w:pPr>
  </w:style>
  <w:style w:type="character" w:default="1" w:styleId="22">
    <w:name w:val="Default Paragraph Font"/>
    <w:semiHidden/>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Default"/>
    <w:basedOn w:val="3"/>
    <w:next w:val="4"/>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3">
    <w:name w:val="纯文本1"/>
    <w:basedOn w:val="1"/>
    <w:qFormat/>
    <w:uiPriority w:val="0"/>
    <w:pPr>
      <w:adjustRightInd w:val="0"/>
    </w:pPr>
    <w:rPr>
      <w:rFonts w:ascii="宋体" w:hAnsi="Courier New"/>
      <w:szCs w:val="20"/>
    </w:rPr>
  </w:style>
  <w:style w:type="paragraph" w:customStyle="1" w:styleId="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8">
    <w:name w:val="Normal Indent"/>
    <w:basedOn w:val="1"/>
    <w:next w:val="1"/>
    <w:qFormat/>
    <w:uiPriority w:val="0"/>
    <w:pPr>
      <w:ind w:firstLine="420"/>
    </w:pPr>
  </w:style>
  <w:style w:type="paragraph" w:styleId="9">
    <w:name w:val="Body Text"/>
    <w:basedOn w:val="1"/>
    <w:next w:val="1"/>
    <w:qFormat/>
    <w:uiPriority w:val="0"/>
    <w:pPr>
      <w:widowControl/>
      <w:snapToGrid w:val="0"/>
      <w:spacing w:before="60" w:after="160" w:line="259" w:lineRule="auto"/>
      <w:ind w:right="113"/>
    </w:pPr>
    <w:rPr>
      <w:kern w:val="0"/>
      <w:sz w:val="18"/>
      <w:szCs w:val="20"/>
    </w:rPr>
  </w:style>
  <w:style w:type="paragraph" w:styleId="10">
    <w:name w:val="Body Text Indent"/>
    <w:basedOn w:val="1"/>
    <w:next w:val="11"/>
    <w:link w:val="70"/>
    <w:qFormat/>
    <w:uiPriority w:val="0"/>
    <w:pPr>
      <w:spacing w:after="120"/>
      <w:ind w:left="420" w:leftChars="200"/>
    </w:pPr>
    <w:rPr>
      <w:kern w:val="0"/>
      <w:sz w:val="24"/>
      <w:szCs w:val="20"/>
    </w:rPr>
  </w:style>
  <w:style w:type="paragraph" w:styleId="11">
    <w:name w:val="Balloon Text"/>
    <w:basedOn w:val="1"/>
    <w:next w:val="9"/>
    <w:semiHidden/>
    <w:qFormat/>
    <w:uiPriority w:val="0"/>
    <w:rPr>
      <w:kern w:val="0"/>
      <w:sz w:val="18"/>
      <w:szCs w:val="20"/>
    </w:rPr>
  </w:style>
  <w:style w:type="paragraph" w:styleId="12">
    <w:name w:val="Plain Text"/>
    <w:basedOn w:val="1"/>
    <w:next w:val="9"/>
    <w:qFormat/>
    <w:uiPriority w:val="0"/>
    <w:pPr>
      <w:ind w:firstLine="0"/>
    </w:pPr>
    <w:rPr>
      <w:rFonts w:ascii="宋体" w:hAnsi="Courier New"/>
      <w:sz w:val="24"/>
    </w:r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header"/>
    <w:basedOn w:val="1"/>
    <w:next w:val="1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5">
    <w:name w:val="样式5"/>
    <w:basedOn w:val="8"/>
    <w:qFormat/>
    <w:uiPriority w:val="99"/>
    <w:pPr>
      <w:spacing w:line="440" w:lineRule="exact"/>
      <w:ind w:right="-105" w:rightChars="-50"/>
      <w:jc w:val="center"/>
    </w:pPr>
    <w:rPr>
      <w:rFonts w:ascii="宋体" w:hAnsi="宋体"/>
    </w:rPr>
  </w:style>
  <w:style w:type="paragraph" w:styleId="16">
    <w:name w:val="toc 1"/>
    <w:basedOn w:val="1"/>
    <w:next w:val="1"/>
    <w:qFormat/>
    <w:uiPriority w:val="0"/>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8">
    <w:name w:val="Body Text First Indent"/>
    <w:basedOn w:val="9"/>
    <w:next w:val="1"/>
    <w:qFormat/>
    <w:uiPriority w:val="0"/>
    <w:pPr>
      <w:ind w:firstLine="420" w:firstLineChars="100"/>
    </w:pPr>
  </w:style>
  <w:style w:type="paragraph" w:styleId="19">
    <w:name w:val="Body Text First Indent 2"/>
    <w:basedOn w:val="1"/>
    <w:next w:val="18"/>
    <w:qFormat/>
    <w:uiPriority w:val="0"/>
    <w:pPr>
      <w:keepNext w:val="0"/>
      <w:keepLines w:val="0"/>
      <w:widowControl/>
      <w:suppressLineNumbers w:val="0"/>
      <w:spacing w:before="0" w:beforeAutospacing="0" w:after="120" w:afterAutospacing="0"/>
      <w:ind w:left="420" w:leftChars="200" w:right="0" w:firstLine="420" w:firstLineChars="200"/>
      <w:jc w:val="left"/>
    </w:pPr>
    <w:rPr>
      <w:sz w:val="28"/>
      <w:szCs w:val="28"/>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annotation reference"/>
    <w:basedOn w:val="22"/>
    <w:semiHidden/>
    <w:qFormat/>
    <w:uiPriority w:val="0"/>
    <w:rPr>
      <w:sz w:val="21"/>
    </w:rPr>
  </w:style>
  <w:style w:type="paragraph" w:customStyle="1" w:styleId="25">
    <w:name w:val="表格内容"/>
    <w:basedOn w:val="26"/>
    <w:qFormat/>
    <w:uiPriority w:val="0"/>
    <w:pPr>
      <w:autoSpaceDE w:val="0"/>
      <w:autoSpaceDN w:val="0"/>
      <w:ind w:firstLine="0"/>
      <w:jc w:val="center"/>
    </w:pPr>
    <w:rPr>
      <w:kern w:val="0"/>
      <w:sz w:val="24"/>
      <w:lang w:bidi="he-IL"/>
    </w:rPr>
  </w:style>
  <w:style w:type="paragraph" w:customStyle="1" w:styleId="26">
    <w:name w:val="内容"/>
    <w:basedOn w:val="1"/>
    <w:qFormat/>
    <w:uiPriority w:val="0"/>
    <w:pPr>
      <w:adjustRightInd w:val="0"/>
      <w:spacing w:before="100" w:beforeLines="50" w:beforeAutospacing="1" w:after="100" w:afterLines="50" w:afterAutospacing="1" w:line="400" w:lineRule="atLeast"/>
      <w:ind w:left="851"/>
      <w:textAlignment w:val="baseline"/>
    </w:pPr>
    <w:rPr>
      <w:kern w:val="0"/>
      <w:sz w:val="24"/>
    </w:rPr>
  </w:style>
  <w:style w:type="paragraph" w:customStyle="1" w:styleId="27">
    <w:name w:val="表头111"/>
    <w:basedOn w:val="28"/>
    <w:qFormat/>
    <w:uiPriority w:val="0"/>
    <w:pPr>
      <w:autoSpaceDE w:val="0"/>
      <w:autoSpaceDN w:val="0"/>
      <w:adjustRightInd w:val="0"/>
      <w:ind w:firstLine="0" w:firstLineChars="0"/>
      <w:jc w:val="center"/>
      <w:textAlignment w:val="baseline"/>
    </w:pPr>
    <w:rPr>
      <w:rFonts w:eastAsia="黑体"/>
      <w:szCs w:val="20"/>
    </w:rPr>
  </w:style>
  <w:style w:type="paragraph" w:customStyle="1" w:styleId="28">
    <w:name w:val="正文格式"/>
    <w:basedOn w:val="29"/>
    <w:qFormat/>
    <w:uiPriority w:val="0"/>
  </w:style>
  <w:style w:type="paragraph" w:customStyle="1" w:styleId="29">
    <w:name w:val="lin正文"/>
    <w:basedOn w:val="9"/>
    <w:qFormat/>
    <w:uiPriority w:val="0"/>
    <w:pPr>
      <w:widowControl w:val="0"/>
      <w:spacing w:line="560" w:lineRule="exact"/>
      <w:ind w:firstLine="200" w:firstLineChars="200"/>
      <w:jc w:val="both"/>
    </w:pPr>
    <w:rPr>
      <w:rFonts w:ascii="Tahoma" w:hAnsi="Tahoma" w:eastAsia="宋体"/>
      <w:color w:val="000000"/>
      <w:spacing w:val="0"/>
      <w:szCs w:val="24"/>
    </w:rPr>
  </w:style>
  <w:style w:type="paragraph" w:customStyle="1" w:styleId="30">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31">
    <w:name w:val="6表格"/>
    <w:basedOn w:val="1"/>
    <w:qFormat/>
    <w:uiPriority w:val="0"/>
    <w:pPr>
      <w:jc w:val="center"/>
    </w:pPr>
  </w:style>
  <w:style w:type="paragraph" w:customStyle="1" w:styleId="32">
    <w:name w:val="表格固定文字"/>
    <w:basedOn w:val="1"/>
    <w:qFormat/>
    <w:uiPriority w:val="0"/>
    <w:pPr>
      <w:ind w:firstLine="0"/>
    </w:pPr>
    <w:rPr>
      <w:rFonts w:eastAsia="宋体"/>
      <w:sz w:val="21"/>
      <w:szCs w:val="24"/>
    </w:rPr>
  </w:style>
  <w:style w:type="paragraph" w:customStyle="1" w:styleId="33">
    <w:name w:val="样式 样式 样式 首行缩进:  2 字符 + 居中 + 行距: 固定值 17 磅"/>
    <w:basedOn w:val="1"/>
    <w:qFormat/>
    <w:uiPriority w:val="0"/>
    <w:pPr>
      <w:adjustRightInd w:val="0"/>
      <w:snapToGrid w:val="0"/>
      <w:spacing w:line="340" w:lineRule="exact"/>
      <w:ind w:firstLine="0"/>
      <w:jc w:val="center"/>
    </w:pPr>
    <w:rPr>
      <w:rFonts w:eastAsia="宋体" w:cs="宋体"/>
      <w:color w:val="000000"/>
      <w:sz w:val="21"/>
    </w:rPr>
  </w:style>
  <w:style w:type="paragraph" w:customStyle="1" w:styleId="34">
    <w:name w:val="zhang正文"/>
    <w:basedOn w:val="10"/>
    <w:next w:val="1"/>
    <w:link w:val="69"/>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35">
    <w:name w:val="5表格"/>
    <w:basedOn w:val="1"/>
    <w:qFormat/>
    <w:uiPriority w:val="0"/>
    <w:pPr>
      <w:jc w:val="center"/>
    </w:pPr>
    <w:rPr>
      <w:rFonts w:eastAsia="仿宋"/>
      <w:kern w:val="24"/>
      <w:szCs w:val="21"/>
    </w:rPr>
  </w:style>
  <w:style w:type="table" w:customStyle="1" w:styleId="36">
    <w:name w:val="Table Normal"/>
    <w:unhideWhenUsed/>
    <w:qFormat/>
    <w:uiPriority w:val="0"/>
    <w:tblPr>
      <w:tblCellMar>
        <w:top w:w="0" w:type="dxa"/>
        <w:left w:w="0" w:type="dxa"/>
        <w:bottom w:w="0" w:type="dxa"/>
        <w:right w:w="0" w:type="dxa"/>
      </w:tblCellMar>
    </w:tblPr>
  </w:style>
  <w:style w:type="character" w:customStyle="1" w:styleId="37">
    <w:name w:val="font11"/>
    <w:basedOn w:val="22"/>
    <w:qFormat/>
    <w:uiPriority w:val="0"/>
    <w:rPr>
      <w:rFonts w:hint="eastAsia" w:ascii="宋体" w:hAnsi="宋体" w:eastAsia="宋体" w:cs="宋体"/>
      <w:color w:val="000000"/>
      <w:sz w:val="21"/>
      <w:szCs w:val="21"/>
      <w:u w:val="none"/>
    </w:rPr>
  </w:style>
  <w:style w:type="paragraph" w:customStyle="1" w:styleId="38">
    <w:name w:val="Table Paragraph"/>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paragraph" w:customStyle="1" w:styleId="39">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40">
    <w:name w:val="xry正文"/>
    <w:basedOn w:val="1"/>
    <w:qFormat/>
    <w:uiPriority w:val="0"/>
    <w:pPr>
      <w:widowControl w:val="0"/>
      <w:numPr>
        <w:ilvl w:val="0"/>
        <w:numId w:val="2"/>
      </w:numPr>
      <w:spacing w:line="360" w:lineRule="auto"/>
      <w:jc w:val="both"/>
    </w:pPr>
    <w:rPr>
      <w:rFonts w:ascii="Times New Roman" w:hAnsi="Times New Roman"/>
      <w:sz w:val="24"/>
    </w:rPr>
  </w:style>
  <w:style w:type="paragraph" w:customStyle="1" w:styleId="41">
    <w:name w:val="a表格"/>
    <w:basedOn w:val="1"/>
    <w:qFormat/>
    <w:uiPriority w:val="0"/>
    <w:pPr>
      <w:snapToGrid w:val="0"/>
      <w:ind w:firstLine="0"/>
      <w:jc w:val="center"/>
    </w:pPr>
    <w:rPr>
      <w:rFonts w:eastAsia="宋体"/>
      <w:sz w:val="21"/>
      <w:szCs w:val="24"/>
    </w:rPr>
  </w:style>
  <w:style w:type="paragraph" w:customStyle="1" w:styleId="42">
    <w:name w:val="表格文字"/>
    <w:basedOn w:val="1"/>
    <w:next w:val="1"/>
    <w:qFormat/>
    <w:uiPriority w:val="0"/>
    <w:pPr>
      <w:ind w:firstLine="0"/>
      <w:jc w:val="center"/>
    </w:pPr>
    <w:rPr>
      <w:rFonts w:eastAsia="宋体"/>
      <w:sz w:val="18"/>
      <w:szCs w:val="18"/>
    </w:rPr>
  </w:style>
  <w:style w:type="paragraph" w:customStyle="1" w:styleId="43">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44">
    <w:name w:val="C正文"/>
    <w:next w:val="14"/>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45">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46">
    <w:name w:val="6表内容"/>
    <w:basedOn w:val="1"/>
    <w:qFormat/>
    <w:uiPriority w:val="0"/>
    <w:pPr>
      <w:spacing w:line="340" w:lineRule="exact"/>
      <w:ind w:firstLine="0"/>
      <w:jc w:val="center"/>
    </w:pPr>
    <w:rPr>
      <w:rFonts w:eastAsia="宋体" w:cs="宋体"/>
      <w:color w:val="000000"/>
      <w:sz w:val="21"/>
    </w:rPr>
  </w:style>
  <w:style w:type="paragraph" w:customStyle="1" w:styleId="47">
    <w:name w:val="正文1"/>
    <w:basedOn w:val="10"/>
    <w:qFormat/>
    <w:uiPriority w:val="0"/>
    <w:pPr>
      <w:ind w:firstLine="200" w:firstLineChars="200"/>
    </w:pPr>
    <w:rPr>
      <w:rFonts w:eastAsia="宋体" w:cs="宋体"/>
      <w:sz w:val="24"/>
    </w:rPr>
  </w:style>
  <w:style w:type="paragraph" w:customStyle="1" w:styleId="48">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49">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50">
    <w:name w:val="报告正文"/>
    <w:qFormat/>
    <w:uiPriority w:val="0"/>
    <w:pPr>
      <w:spacing w:line="360" w:lineRule="auto"/>
      <w:ind w:firstLine="200" w:firstLineChars="200"/>
    </w:pPr>
    <w:rPr>
      <w:rFonts w:ascii="Times New Roman" w:hAnsi="Times New Roman" w:eastAsia="宋体" w:cs="Times New Roman"/>
      <w:snapToGrid w:val="0"/>
      <w:kern w:val="2"/>
      <w:sz w:val="24"/>
      <w:lang w:val="en-US" w:eastAsia="zh-CN" w:bidi="ar-SA"/>
    </w:rPr>
  </w:style>
  <w:style w:type="paragraph" w:customStyle="1" w:styleId="51">
    <w:name w:val="样式 宋体 两端对齐 首行缩进:  2 字符"/>
    <w:basedOn w:val="1"/>
    <w:qFormat/>
    <w:uiPriority w:val="0"/>
    <w:pPr>
      <w:spacing w:line="360" w:lineRule="auto"/>
      <w:ind w:firstLine="480" w:firstLineChars="200"/>
    </w:pPr>
    <w:rPr>
      <w:rFonts w:ascii="宋体" w:hAnsi="宋体" w:cs="宋体"/>
      <w:sz w:val="24"/>
      <w:szCs w:val="20"/>
    </w:rPr>
  </w:style>
  <w:style w:type="paragraph" w:customStyle="1" w:styleId="52">
    <w:name w:val="表内文字"/>
    <w:basedOn w:val="53"/>
    <w:qFormat/>
    <w:uiPriority w:val="0"/>
    <w:pPr>
      <w:spacing w:line="240" w:lineRule="auto"/>
      <w:ind w:firstLine="0" w:firstLineChars="0"/>
      <w:jc w:val="center"/>
    </w:pPr>
    <w:rPr>
      <w:sz w:val="21"/>
      <w:szCs w:val="21"/>
    </w:rPr>
  </w:style>
  <w:style w:type="paragraph" w:customStyle="1" w:styleId="53">
    <w:name w:val="5段落"/>
    <w:basedOn w:val="1"/>
    <w:qFormat/>
    <w:uiPriority w:val="0"/>
    <w:pPr>
      <w:spacing w:line="360" w:lineRule="auto"/>
      <w:ind w:firstLine="420" w:firstLineChars="200"/>
    </w:pPr>
  </w:style>
  <w:style w:type="paragraph" w:customStyle="1" w:styleId="54">
    <w:name w:val="表格标题"/>
    <w:basedOn w:val="55"/>
    <w:next w:val="53"/>
    <w:qFormat/>
    <w:uiPriority w:val="0"/>
    <w:pPr>
      <w:numPr>
        <w:ilvl w:val="0"/>
        <w:numId w:val="3"/>
      </w:numPr>
      <w:tabs>
        <w:tab w:val="left" w:pos="0"/>
      </w:tabs>
      <w:spacing w:line="360" w:lineRule="auto"/>
      <w:ind w:left="0" w:firstLine="0"/>
      <w:jc w:val="center"/>
      <w:outlineLvl w:val="4"/>
    </w:pPr>
    <w:rPr>
      <w:b/>
      <w:kern w:val="0"/>
      <w:sz w:val="24"/>
    </w:rPr>
  </w:style>
  <w:style w:type="paragraph" w:customStyle="1" w:styleId="55">
    <w:name w:val="闽创报告正文"/>
    <w:qFormat/>
    <w:uiPriority w:val="0"/>
    <w:pPr>
      <w:widowControl w:val="0"/>
      <w:tabs>
        <w:tab w:val="left" w:pos="0"/>
      </w:tabs>
      <w:autoSpaceDE w:val="0"/>
      <w:autoSpaceDN w:val="0"/>
      <w:spacing w:line="360" w:lineRule="auto"/>
      <w:ind w:firstLine="200" w:firstLineChars="200"/>
      <w:jc w:val="both"/>
    </w:pPr>
    <w:rPr>
      <w:rFonts w:ascii="Times New Roman" w:hAnsi="Times New Roman" w:eastAsia="宋体" w:cs="宋体"/>
      <w:color w:val="FF0000"/>
      <w:kern w:val="0"/>
      <w:sz w:val="24"/>
      <w:szCs w:val="20"/>
      <w:lang w:val="zh-CN" w:eastAsia="zh-CN" w:bidi="ar-SA"/>
    </w:rPr>
  </w:style>
  <w:style w:type="paragraph" w:customStyle="1" w:styleId="56">
    <w:name w:val="正文-3"/>
    <w:basedOn w:val="1"/>
    <w:qFormat/>
    <w:uiPriority w:val="0"/>
    <w:pPr>
      <w:wordWrap w:val="0"/>
      <w:topLinePunct/>
      <w:spacing w:line="360" w:lineRule="auto"/>
      <w:ind w:firstLine="480" w:firstLineChars="200"/>
    </w:pPr>
    <w:rPr>
      <w:rFonts w:ascii="Times New Roman" w:hAnsi="Times New Roman" w:eastAsia="宋体"/>
      <w:color w:val="000000"/>
    </w:rPr>
  </w:style>
  <w:style w:type="paragraph" w:customStyle="1" w:styleId="57">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58">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59">
    <w:name w:val="D图表小四"/>
    <w:basedOn w:val="60"/>
    <w:qFormat/>
    <w:uiPriority w:val="0"/>
    <w:pPr>
      <w:keepNext/>
      <w:keepLines/>
    </w:pPr>
    <w:rPr>
      <w:b w:val="0"/>
      <w:szCs w:val="24"/>
    </w:rPr>
  </w:style>
  <w:style w:type="paragraph" w:customStyle="1" w:styleId="60">
    <w:name w:val="D图表"/>
    <w:basedOn w:val="61"/>
    <w:semiHidden/>
    <w:qFormat/>
    <w:uiPriority w:val="0"/>
    <w:rPr>
      <w:b/>
    </w:rPr>
  </w:style>
  <w:style w:type="paragraph" w:customStyle="1" w:styleId="61">
    <w:name w:val="图表"/>
    <w:basedOn w:val="1"/>
    <w:semiHidden/>
    <w:qFormat/>
    <w:uiPriority w:val="0"/>
    <w:pPr>
      <w:spacing w:before="120" w:after="120"/>
      <w:jc w:val="center"/>
    </w:pPr>
    <w:rPr>
      <w:szCs w:val="21"/>
    </w:rPr>
  </w:style>
  <w:style w:type="paragraph" w:customStyle="1" w:styleId="62">
    <w:name w:val="_Style 73"/>
    <w:basedOn w:val="1"/>
    <w:next w:val="63"/>
    <w:qFormat/>
    <w:uiPriority w:val="99"/>
    <w:pPr>
      <w:adjustRightInd w:val="0"/>
      <w:snapToGrid w:val="0"/>
      <w:spacing w:line="360" w:lineRule="auto"/>
      <w:ind w:firstLine="420" w:firstLineChars="200"/>
      <w:textAlignment w:val="center"/>
    </w:pPr>
    <w:rPr>
      <w:kern w:val="24"/>
      <w:sz w:val="24"/>
      <w:szCs w:val="28"/>
    </w:rPr>
  </w:style>
  <w:style w:type="paragraph" w:styleId="63">
    <w:name w:val="List Paragraph"/>
    <w:basedOn w:val="1"/>
    <w:unhideWhenUsed/>
    <w:qFormat/>
    <w:uiPriority w:val="99"/>
    <w:pPr>
      <w:ind w:firstLine="420" w:firstLineChars="200"/>
    </w:pPr>
  </w:style>
  <w:style w:type="paragraph" w:customStyle="1" w:styleId="64">
    <w:name w:val="②表格内文字"/>
    <w:basedOn w:val="1"/>
    <w:qFormat/>
    <w:uiPriority w:val="0"/>
    <w:pPr>
      <w:jc w:val="center"/>
    </w:pPr>
    <w:rPr>
      <w:color w:val="000000"/>
      <w:szCs w:val="21"/>
    </w:rPr>
  </w:style>
  <w:style w:type="paragraph" w:customStyle="1" w:styleId="65">
    <w:name w:val="表格名称"/>
    <w:basedOn w:val="1"/>
    <w:next w:val="1"/>
    <w:qFormat/>
    <w:uiPriority w:val="0"/>
    <w:pPr>
      <w:adjustRightInd/>
      <w:snapToGrid/>
      <w:spacing w:before="50" w:beforeLines="50" w:line="240" w:lineRule="auto"/>
      <w:ind w:firstLine="0" w:firstLineChars="0"/>
      <w:jc w:val="center"/>
    </w:pPr>
    <w:rPr>
      <w:rFonts w:cs="宋体"/>
      <w:b/>
      <w:bCs/>
      <w:sz w:val="21"/>
      <w:szCs w:val="21"/>
    </w:rPr>
  </w:style>
  <w:style w:type="paragraph" w:customStyle="1" w:styleId="66">
    <w:name w:val="表格的格式"/>
    <w:basedOn w:val="1"/>
    <w:qFormat/>
    <w:uiPriority w:val="0"/>
    <w:pPr>
      <w:jc w:val="center"/>
    </w:pPr>
    <w:rPr>
      <w:kern w:val="0"/>
      <w:sz w:val="20"/>
      <w:szCs w:val="21"/>
    </w:rPr>
  </w:style>
  <w:style w:type="paragraph" w:customStyle="1" w:styleId="67">
    <w:name w:val="正文_19"/>
    <w:qFormat/>
    <w:uiPriority w:val="0"/>
    <w:pPr>
      <w:widowControl w:val="0"/>
      <w:jc w:val="both"/>
    </w:pPr>
    <w:rPr>
      <w:rFonts w:ascii="等线" w:hAnsi="等线" w:eastAsia="等线" w:cs="Times New Roman"/>
      <w:kern w:val="2"/>
      <w:sz w:val="21"/>
      <w:szCs w:val="22"/>
      <w:lang w:val="en-US" w:eastAsia="zh-CN" w:bidi="ar-SA"/>
    </w:rPr>
  </w:style>
  <w:style w:type="character" w:customStyle="1" w:styleId="68">
    <w:name w:val="样式 zhang正文 + 宋体 小四 Char"/>
    <w:basedOn w:val="69"/>
    <w:link w:val="71"/>
    <w:uiPriority w:val="0"/>
    <w:rPr>
      <w:rFonts w:ascii="宋体" w:hAnsi="宋体" w:eastAsia="宋体"/>
      <w:sz w:val="24"/>
    </w:rPr>
  </w:style>
  <w:style w:type="character" w:customStyle="1" w:styleId="69">
    <w:name w:val="zhang正文 Char1"/>
    <w:basedOn w:val="70"/>
    <w:link w:val="34"/>
    <w:uiPriority w:val="0"/>
    <w:rPr>
      <w:rFonts w:eastAsia="楷体_GB2312"/>
      <w:kern w:val="0"/>
    </w:rPr>
  </w:style>
  <w:style w:type="character" w:customStyle="1" w:styleId="70">
    <w:name w:val="正文文本缩进 Char"/>
    <w:basedOn w:val="22"/>
    <w:link w:val="10"/>
    <w:semiHidden/>
    <w:qFormat/>
    <w:locked/>
    <w:uiPriority w:val="0"/>
    <w:rPr>
      <w:kern w:val="0"/>
      <w:sz w:val="24"/>
      <w:szCs w:val="20"/>
    </w:rPr>
  </w:style>
  <w:style w:type="paragraph" w:customStyle="1" w:styleId="71">
    <w:name w:val="样式 zhang正文 + 宋体 小四"/>
    <w:basedOn w:val="34"/>
    <w:link w:val="68"/>
    <w:uiPriority w:val="0"/>
    <w:rPr>
      <w:rFonts w:ascii="宋体" w:hAnsi="宋体" w:eastAsia="宋体"/>
      <w:sz w:val="24"/>
    </w:rPr>
  </w:style>
  <w:style w:type="paragraph" w:customStyle="1" w:styleId="72">
    <w:name w:val="表的标题"/>
    <w:basedOn w:val="1"/>
    <w:next w:val="73"/>
    <w:qFormat/>
    <w:uiPriority w:val="0"/>
    <w:pPr>
      <w:adjustRightInd w:val="0"/>
      <w:snapToGrid w:val="0"/>
      <w:spacing w:before="50" w:beforeLines="50"/>
      <w:jc w:val="center"/>
    </w:pPr>
    <w:rPr>
      <w:rFonts w:eastAsia="黑体" w:cs="宋体"/>
      <w:sz w:val="24"/>
      <w:szCs w:val="20"/>
    </w:rPr>
  </w:style>
  <w:style w:type="paragraph" w:customStyle="1" w:styleId="73">
    <w:name w:val="表中正文"/>
    <w:basedOn w:val="1"/>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emf"/><Relationship Id="rId24" Type="http://schemas.openxmlformats.org/officeDocument/2006/relationships/image" Target="media/image16.png"/><Relationship Id="rId23" Type="http://schemas.openxmlformats.org/officeDocument/2006/relationships/image" Target="media/image15.e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jpeg"/><Relationship Id="rId17" Type="http://schemas.openxmlformats.org/officeDocument/2006/relationships/image" Target="media/image9.wmf"/><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163</Pages>
  <Words>0</Words>
  <Characters>0</Characters>
  <Lines>0</Lines>
  <Paragraphs>0</Paragraphs>
  <TotalTime>5</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2025-03-28T02:48:00Z</dcterms:created>
  <dc:creator>夏末秋凉</dc:creator>
  <cp:lastModifiedBy>夏末秋凉</cp:lastModifiedBy>
  <cp:lastPrinted>2025-03-28T02:54:27Z</cp:lastPrinted>
  <dcterms:modified xsi:type="dcterms:W3CDTF">2025-03-28T02:55:22Z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74A1A7CB8D204F02A3518E21EAC3B4A8_11</vt:lpwstr>
  </property>
  <property fmtid="{D5CDD505-2E9C-101B-9397-08002B2CF9AE}" pid="4" name="KSOTemplateDocerSaveRecord">
    <vt:lpwstr>eyJoZGlkIjoiNDBhOWI5ZWVkMzI2OWEyMmZkNTk5NGFkMDQxZTcyMTQiLCJ1c2VySWQiOiI3MDQ0ODAyMDgifQ==</vt:lpwstr>
  </property>
</Properties>
</file>