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2025年长乐区小学、幼儿园校（园）长岗位任职资格培训服务项目(二次)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CGXM-2025-350182-00862[2025]00408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[350182]ZZXM[GK]2025001-1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福州市长乐区教师进修学校</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福建中招项目管理有限公司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福建中招项目管理有限公司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2025年长乐区小学、幼儿园校（园）长岗位任职资格培训服务项目(二次)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CGXM-2025-350182-00862[2025]00408</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[350182]ZZXM[GK]2025001-1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福州市长乐区教师进修学校</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福州市长乐区首占新区和谐路62号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陈军保</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13609546606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福建中招项目管理有限公司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福州市鼓楼区五四路19号国泰大厦五层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 xml:space="preserve"> 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东海霞</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 xml:space="preserve"> 0591-62623605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福建中招项目管理有限公司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850,000.00</w:t>
      </w:r>
    </w:p>
    <w:p>
      <w:pPr>
        <w:pStyle w:val="null3"/>
        <w:jc w:val="left"/>
      </w:pPr>
      <w:r>
        <w:rPr>
          <w:rFonts w:ascii="仿宋_GB2312" w:hAnsi="仿宋_GB2312" w:cs="仿宋_GB2312" w:eastAsia="仿宋_GB2312"/>
        </w:rPr>
        <w:t>采购包最高限价（元）: 519,000.00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培训服务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850,000.00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培训服务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培训服务</w:t>
            </w:r>
          </w:p>
        </w:tc>
        <w:tc>
          <w:tcPr>
            <w:tcW w:type="dxa" w:w="2076"/>
          </w:tcPr>
          <w:p>
            <w:pPr>
              <w:pStyle w:val="null3"/>
              <w:jc w:val="left"/>
            </w:pPr>
            <w:r>
              <w:rPr>
                <w:rFonts w:ascii="仿宋_GB2312" w:hAnsi="仿宋_GB2312" w:cs="仿宋_GB2312" w:eastAsia="仿宋_GB2312"/>
              </w:rPr>
              <w:t>培训服务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519,000.00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福建中招项目管理有限公司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福州市长乐区财政局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合同金额在不超过本项目实际预算金额（85万元）的范围内据实结算。招标代理服务收费的标准：本项目代理服务费由中标人支付，按照中标金额，具体按以下标准收取：（0万元，100万元] ：1.5%。2)收取方式：中标(成交)人须在领取中标(成交)通知书之前以转账等付款方式一次性付清。招标代理服务费缴交银行账号：开户名：福建中招项目管理有限公司；开户行：招商银行东街口支行 账 号：5919 0583 3810 101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投标人在递交质疑函时除应提供本招标文件规定的相关材料外，还须提供福建省政府采购网上公开信息系统已获取本项目招标文件的相关截图复印件，否则递交的质疑函将不予受理。在法定质疑期内质疑人须一次性提出针对同一采购程序环节的质疑，二（多）次质疑不予受理。接收质疑函的方式、联系部门、联系电话和通讯地址：(a)接收质疑函的方式：书面原件形式现场递交；(b)接收质疑函的联系部门：项目部；(c)接收质疑函的联系方式：联系人：东海霞，联系电话：0591-62623605；(d)接收质疑函的通讯地址：福州市鼓楼区五四路19号国泰大厦五层。 （3）投标将被拒绝、无效投标（或投标无效）及废标条款：①投标有效期不符合第二章投标人须知前附表中表1第4项号规定的；②出现第二章投标人须知前附表中表2规定的无效投标（或投标无效）、投标将被拒绝的；③出现第三章投标人须知第9、10.6、10.8、10.9、10.12条款中无效投标（或投标无效）规定的；④出现第四章“一、资格审查”与“二、评标”中无效投标（或投标无效）或废标规定的（资格及符合性审查不合格的情形）；⑤出现第五章招标内容及要求中“无效投标（或投标无效）”或“★”标示的内容为负偏离的；⑥出现第七章投标文件格式中无效投标（或投标无效）规定的情形。2.2投标人对中标结果提出质疑的，请于中标公告期限届满之日（发布中标公告之日起1个工作日）起7个工作日内提出。 2.3投标将被拒绝、无效投标（或投标无效）及废标条款： ①出现第一章投标邀请第7.2、8.2及“★”条款中投标（文件）被拒绝规定的； ②出现第三章投标人须知第9、10.6、10.8、10.9、10.12条款中无效投标（或投标无效）规定的； ③出现第四章“一、资格审查”与“二、评标”中无效投标（或投标无效）或废标规定的（资格及符合性审查不合格的情形）； ④出现第五章招标内容及要求中无效投标（或投标无效）规定的情形； ⑤出现第七章投标文件格式中无效投标（或投标无效）规定的情形。 2.2开标、评标期间，投标人代表应保证采购系统中预留的联系方式畅通，以便随时接收并答复评标委员会发起的澄清、报价等事项。</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a.本项目采用“远程开标”，投标人可到开标现场，也可不到开标现场，由投标人自行决定。投标人选择到开标现场开标的，请在投标截止时间前将CA证书送达。 b.投标人不到开标现场的，请提前在福建省政府采购网“服务专区/操作指南/供应商操作指南”中，下载《福建项目电子化交易操作手册》进行学习，在开标时自行登录采购系统，线上观看开标过程，并按要求在开标时段对投标文件进行远程解密、远程签章。 c.投标人应确保自身设施、设备、网络状况良好，提前了解熟悉远程开标流程，因投标人自身原因造成无法正常观看开标过程、远程解密或签章的，后果由投标人自行承担。 d.投标人应在远程解密开启后在规定时间（30分钟）内使用CA数字证书（应与投标文件加密时所用CA证书一致）进行投标文件的解密操作，逾期未解密的视为放弃投标。 E.唱标结束后，投标人可对开标结果进行签章，并在远程签章开放后10分钟内完成，逾期未签章的视同认可开标结果。</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福建中招项目管理有限公司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福建中招项目管理有限公司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福建中招项目管理有限公司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福建中招项目管理有限公司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福建中招项目管理有限公司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福建中招项目管理有限公司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福建中招项目管理有限公司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福建中招项目管理有限公司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福建中招项目管理有限公司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福建中招项目管理有限公司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福建中招项目管理有限公司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福建中招项目管理有限公司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福建中招项目管理有限公司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福建中招项目管理有限公司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福建中招项目管理有限公司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福建中招项目管理有限公司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福建中招项目管理有限公司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福建中招项目管理有限公司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福建中招项目管理有限公司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福建中招项目管理有限公司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福建中招项目管理有限公司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福建中招项目管理有限公司</w:t>
      </w:r>
      <w:r>
        <w:rPr>
          <w:rFonts w:ascii="仿宋_GB2312" w:hAnsi="仿宋_GB2312" w:cs="仿宋_GB2312" w:eastAsia="仿宋_GB2312"/>
        </w:rPr>
        <w:t xml:space="preserve"> 提出询问， </w:t>
      </w:r>
      <w:r>
        <w:rPr>
          <w:rFonts w:ascii="仿宋_GB2312" w:hAnsi="仿宋_GB2312" w:cs="仿宋_GB2312" w:eastAsia="仿宋_GB2312"/>
        </w:rPr>
        <w:t>福建中招项目管理有限公司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福建中招项目管理有限公司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福建中招项目管理有限公司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由福建中招项目管理有限公司派出的工作人员至少1人，</w:t>
      </w:r>
      <w:r>
        <w:rPr>
          <w:rFonts w:ascii="仿宋_GB2312" w:hAnsi="仿宋_GB2312" w:cs="仿宋_GB2312" w:eastAsia="仿宋_GB2312"/>
        </w:rPr>
        <w:t>其余1人可为采购人代表或福建中招项目管理有限公司的工作人员。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资格及资信证明部分中不得出现报价部分的全部或部分的投标报价信息（或组成资料），否则按无效投标处理。</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福建中招项目管理有限公司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福建中招项目管理有限公司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福建中招项目管理有限公司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福建中招项目管理有限公司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福建中招项目管理有限公司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出现招标文件《第五章 招标内容及要求》中“二、技术和服务要求”投标无效规定或“★”标示的内容为负偏离的，按无效投标处理。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不符合招标文件中规定的其它实质性要求条款的，按无效投标处理。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出现招标文件《第五章 招标内容及要求》中“三、商务要求”中的任何一项要求存在负偏离或者未响应的，按无效投标处理。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不符合招标文件中规定的其它实质性要求条款的，按无效投标处理。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投标人提交的是可选择的报价的，按无效投标处理。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投标人的报价超过最高限价的，按无效投标处理。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评标委员会认为投标人的报价明显低于其他通过符合性审查投标人的报价，有可能影响产品质量或不能诚信履约的，投标人未在合理的时间内提供书面说明或不能证明其报价合理性的，按无效投标处理。</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福建中招项目管理有限公司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59.00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文件《第五章招标内容及要求》“二、技术和服务要求”中各项要求的响应情况由评委进行评议并打分：技术和服务要求中“评审项1至评审项25”（共计25项，满分59分），每负偏离或未响应一项扣2.36分，正偏离不加分，标注“★”的要求为不允许负偏离的实质性要求，有出现负偏离或未响应的按无效投标处理。 注：技术和服务要求中若有要求投标人提供相应佐证材料的，投标人未提供相应佐证材料或者投标人的响应承诺与其佐证材料不一致的，评标委员会将以不利于投标人的内容为准进行评审（负偏离）。</w:t>
            </w:r>
          </w:p>
        </w:tc>
      </w:tr>
      <w:tr>
        <w:tc>
          <w:tcPr>
            <w:tcW w:type="dxa" w:w="3322"/>
          </w:tcPr>
          <w:p>
            <w:pPr>
              <w:pStyle w:val="null3"/>
              <w:jc w:val="both"/>
            </w:pPr>
            <w:r>
              <w:rPr>
                <w:rFonts w:ascii="仿宋_GB2312" w:hAnsi="仿宋_GB2312" w:cs="仿宋_GB2312" w:eastAsia="仿宋_GB2312"/>
              </w:rPr>
              <w:t>2、集中培训内容设计方案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为本项目制定“第一阶段集中研修(福州，5天40学时，线下)”培训方案（培训方案中呈现培训课程安排表，含理论培训和现场教学两类，对应的课程模块、专题名称、授课专家、课时数等要素，方案中须有首席专家签字确认。）由评标委员会进行评议：方案所包含的要点齐全、内容与要点相符、内容详实、各要点内容之间关联性强，逻辑清晰，具有可操作性的得3分；方案所包含的要点齐全、内容与要点相符，内容相对简略，具有可操作性的得2.7分；方案所包含的要点缺项，内容与要点相符，内容相对简略，可操作性不明显的得2.5分，未提供方案不得分。</w:t>
            </w:r>
          </w:p>
        </w:tc>
      </w:tr>
      <w:tr>
        <w:tc>
          <w:tcPr>
            <w:tcW w:type="dxa" w:w="3322"/>
          </w:tcPr>
          <w:p>
            <w:pPr>
              <w:pStyle w:val="null3"/>
              <w:jc w:val="both"/>
            </w:pPr>
            <w:r>
              <w:rPr>
                <w:rFonts w:ascii="仿宋_GB2312" w:hAnsi="仿宋_GB2312" w:cs="仿宋_GB2312" w:eastAsia="仿宋_GB2312"/>
              </w:rPr>
              <w:t>3、跟岗挂职学校数量要求</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根据跟岗挂职学校的数量评分，能够提供5所跟岗学校得1分；能够提供6-9所跟岗学校得2分；提供10所及以上得3分；其余不得分。 注：须提供学校清单及学校介绍。</w:t>
            </w:r>
          </w:p>
        </w:tc>
      </w:tr>
      <w:tr>
        <w:tc>
          <w:tcPr>
            <w:tcW w:type="dxa" w:w="3322"/>
          </w:tcPr>
          <w:p>
            <w:pPr>
              <w:pStyle w:val="null3"/>
              <w:jc w:val="both"/>
            </w:pPr>
            <w:r>
              <w:rPr>
                <w:rFonts w:ascii="仿宋_GB2312" w:hAnsi="仿宋_GB2312" w:cs="仿宋_GB2312" w:eastAsia="仿宋_GB2312"/>
              </w:rPr>
              <w:t>4、培训师资要求</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投标人须提供首席专家佐证材料：提供本项目的聘任书、副高及以上的职称证书复印件、正校级职务任命证明材料及至少一篇收于CN期物的学校管理论文材料复印件，材料齐全者得3分。否则不得分。</w:t>
            </w:r>
          </w:p>
        </w:tc>
      </w:tr>
      <w:tr>
        <w:tc>
          <w:tcPr>
            <w:tcW w:type="dxa" w:w="3322"/>
          </w:tcPr>
          <w:p>
            <w:pPr>
              <w:pStyle w:val="null3"/>
              <w:jc w:val="both"/>
            </w:pPr>
            <w:r>
              <w:rPr>
                <w:rFonts w:ascii="仿宋_GB2312" w:hAnsi="仿宋_GB2312" w:cs="仿宋_GB2312" w:eastAsia="仿宋_GB2312"/>
              </w:rPr>
              <w:t>5、培训师资要求</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根据本项目提供授课专家库，人数不少于40位，授课专家库中至少包含专家姓名、工作单位、职称、授课专家类别（一线校长或高校教师或社会讲师）、是否为名校长等，并且提供专家库人员均能够挑选使用的承诺函，上述专家库信息需要列表提供，完全满足的得3分，否则不得分。</w:t>
            </w:r>
          </w:p>
        </w:tc>
      </w:tr>
      <w:tr>
        <w:tc>
          <w:tcPr>
            <w:tcW w:type="dxa" w:w="3322"/>
          </w:tcPr>
          <w:p>
            <w:pPr>
              <w:pStyle w:val="null3"/>
              <w:jc w:val="both"/>
            </w:pPr>
            <w:r>
              <w:rPr>
                <w:rFonts w:ascii="仿宋_GB2312" w:hAnsi="仿宋_GB2312" w:cs="仿宋_GB2312" w:eastAsia="仿宋_GB2312"/>
              </w:rPr>
              <w:t>6、考核方案设计要求</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为本项目制定针对本项目结业考核要求提供的考核方案（方案内容包含作业考核实施案例，如：制定学校发展规划），由评标委员会进行评议：方案所包含的要点齐全、内容与要点相符、内容详实、逻辑清晰，具有可操作性的得3分；方案所包含的要点齐全、内容与要点相符，内容相对简略，具有可操作性的得2.7分；方案所包含的要点缺项，内容与要点相符，内容相对简略，可操作性不明显的得2.5分，未提供方案不得分。</w:t>
            </w:r>
          </w:p>
        </w:tc>
      </w:tr>
      <w:tr>
        <w:tc>
          <w:tcPr>
            <w:tcW w:type="dxa" w:w="3322"/>
          </w:tcPr>
          <w:p>
            <w:pPr>
              <w:pStyle w:val="null3"/>
              <w:jc w:val="both"/>
            </w:pPr>
            <w:r>
              <w:rPr>
                <w:rFonts w:ascii="仿宋_GB2312" w:hAnsi="仿宋_GB2312" w:cs="仿宋_GB2312" w:eastAsia="仿宋_GB2312"/>
              </w:rPr>
              <w:t>7、培训管理信息化要求</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针对本项目提供的培训管理服务平台（须提供平台的自有版权材料，若平台非自有另须提供针对本项目平台合作协议或授权材料），平台信息化管理包括学员报名、签到、通知、培训资源库、作业指导与提交与培训证书的打印等功能，针对这些功能要求作出具体的说明，由评标委员会进行评议：方案所包含的要点齐全、内容与要点相符、内容详实、各要点内容之间关联性强，逻辑清晰，具有可操作性的得3分；方案所包含的要点齐全、内容与要点相符，内容相对简略，具有可操作性的得2.7分；方案所包含的要点缺项，内容与要点相符，内容相对简略，可操作性不明显的得2.5分，未提供方案不得分。</w:t>
            </w:r>
          </w:p>
        </w:tc>
      </w:tr>
      <w:tr>
        <w:tc>
          <w:tcPr>
            <w:tcW w:type="dxa" w:w="3322"/>
          </w:tcPr>
          <w:p>
            <w:pPr>
              <w:pStyle w:val="null3"/>
              <w:jc w:val="both"/>
            </w:pPr>
            <w:r>
              <w:rPr>
                <w:rFonts w:ascii="仿宋_GB2312" w:hAnsi="仿宋_GB2312" w:cs="仿宋_GB2312" w:eastAsia="仿宋_GB2312"/>
              </w:rPr>
              <w:t>8、网络培训资源要求</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投标人针对本项目的网络培训资源服务提供承诺函，须明确培训资源包括的视频学习材料、文献学习材料等得1分。须提供承诺函（格式自拟）（承诺函应列举具体的学习材料），否则不得分。</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根据投标人提供的自2022年01月01日起至本项目投标截止时间止（日期以合同签订时间为准），由投标人承接的与本次采购同类项目业绩情况，由评委进行评分：每提供一个合格业绩得1分，满分3分。 注：投标人须同时提供该业绩项目的中标/成交公告（提供相关网站中标/成交公告的下载网页并注明网址）、中标/成交通知书复印件、采购合同文本复印件，以及验收报告或用户使用报告等能够证明该业绩项目已经采购人验收合格的相关证明文件复印件，未提供或提供不全者不得分。</w:t>
            </w:r>
          </w:p>
        </w:tc>
      </w:tr>
      <w:tr>
        <w:tc>
          <w:tcPr>
            <w:tcW w:type="dxa" w:w="3322"/>
          </w:tcPr>
          <w:p>
            <w:pPr>
              <w:pStyle w:val="null3"/>
              <w:jc w:val="left"/>
            </w:pPr>
            <w:r>
              <w:rPr>
                <w:rFonts w:ascii="仿宋_GB2312" w:hAnsi="仿宋_GB2312" w:cs="仿宋_GB2312" w:eastAsia="仿宋_GB2312"/>
              </w:rPr>
              <w:t>2、满意度评价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自2022年01月01日起至本项目投标截止时间止（以评价日期为准），由投标人完成的与本次采购同类项目的业主满意度评价情况，由评委进行评分：每提供一份满意度评价为优秀（90分-100分或评价为满意或好等同等正面）或能证明评价为满意的得1分，满分3分。 注：投标人须同时提供该项目由业主单位加盖公章的满意度证明材料及合同复印件，未同时提供或者材料无法认定的不得分。本项目与第一点业绩商务评分为同一项目的不重复得分。</w:t>
            </w:r>
          </w:p>
        </w:tc>
      </w:tr>
      <w:tr>
        <w:tc>
          <w:tcPr>
            <w:tcW w:type="dxa" w:w="3322"/>
          </w:tcPr>
          <w:p>
            <w:pPr>
              <w:pStyle w:val="null3"/>
              <w:jc w:val="left"/>
            </w:pPr>
            <w:r>
              <w:rPr>
                <w:rFonts w:ascii="仿宋_GB2312" w:hAnsi="仿宋_GB2312" w:cs="仿宋_GB2312" w:eastAsia="仿宋_GB2312"/>
              </w:rPr>
              <w:t>3、培训实践基地</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投标人提供为本项目投入的培训实践基地签约的培训实践基地，每提供1个的得1分，满分3分。须提供在基础教育方面基地校签订的合作协议，协议时间须覆盖本项目的服务时间，未提供的不得分。</w:t>
            </w:r>
          </w:p>
        </w:tc>
      </w:tr>
      <w:tr>
        <w:tc>
          <w:tcPr>
            <w:tcW w:type="dxa" w:w="3322"/>
          </w:tcPr>
          <w:p>
            <w:pPr>
              <w:pStyle w:val="null3"/>
              <w:jc w:val="left"/>
            </w:pPr>
            <w:r>
              <w:rPr>
                <w:rFonts w:ascii="仿宋_GB2312" w:hAnsi="仿宋_GB2312" w:cs="仿宋_GB2312" w:eastAsia="仿宋_GB2312"/>
              </w:rPr>
              <w:t>4、承诺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投标人承诺对授课教师授课内容进行审核，确保不存在任何意识形态问题，并在开课前报采购人审核、备案的得3分。 注：投标人须提供专项承诺函（格式自拟），未提供的不得分。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2"/>
        </w:rPr>
        <w:t>（一）培训主题</w:t>
      </w:r>
    </w:p>
    <w:p>
      <w:pPr>
        <w:pStyle w:val="null3"/>
        <w:ind w:firstLine="480"/>
        <w:jc w:val="both"/>
      </w:pPr>
      <w:r>
        <w:rPr>
          <w:rFonts w:ascii="仿宋_GB2312" w:hAnsi="仿宋_GB2312" w:cs="仿宋_GB2312" w:eastAsia="仿宋_GB2312"/>
          <w:sz w:val="22"/>
        </w:rPr>
        <w:t>新时代背景下的校园长领导力提升与教育管理创新</w:t>
      </w:r>
      <w:r>
        <w:rPr>
          <w:rFonts w:ascii="仿宋_GB2312" w:hAnsi="仿宋_GB2312" w:cs="仿宋_GB2312" w:eastAsia="仿宋_GB2312"/>
          <w:sz w:val="22"/>
        </w:rPr>
        <w:t>。</w:t>
      </w:r>
    </w:p>
    <w:p>
      <w:pPr>
        <w:pStyle w:val="null3"/>
        <w:ind w:firstLine="480"/>
        <w:jc w:val="both"/>
      </w:pPr>
      <w:r>
        <w:rPr>
          <w:rFonts w:ascii="仿宋_GB2312" w:hAnsi="仿宋_GB2312" w:cs="仿宋_GB2312" w:eastAsia="仿宋_GB2312"/>
          <w:sz w:val="22"/>
        </w:rPr>
        <w:t>（二）培训目标</w:t>
      </w:r>
    </w:p>
    <w:p>
      <w:pPr>
        <w:pStyle w:val="null3"/>
        <w:ind w:firstLine="480"/>
        <w:jc w:val="both"/>
      </w:pPr>
      <w:r>
        <w:rPr>
          <w:rFonts w:ascii="仿宋_GB2312" w:hAnsi="仿宋_GB2312" w:cs="仿宋_GB2312" w:eastAsia="仿宋_GB2312"/>
          <w:sz w:val="22"/>
        </w:rPr>
        <w:t>一）强化政策理解与执行能力，践行立德树人根本任务</w:t>
      </w:r>
      <w:r>
        <w:rPr>
          <w:rFonts w:ascii="仿宋_GB2312" w:hAnsi="仿宋_GB2312" w:cs="仿宋_GB2312" w:eastAsia="仿宋_GB2312"/>
          <w:sz w:val="22"/>
        </w:rPr>
        <w:t>。</w:t>
      </w:r>
      <w:r>
        <w:rPr>
          <w:rFonts w:ascii="仿宋_GB2312" w:hAnsi="仿宋_GB2312" w:cs="仿宋_GB2312" w:eastAsia="仿宋_GB2312"/>
          <w:sz w:val="22"/>
        </w:rPr>
        <w:t xml:space="preserve">  </w:t>
      </w:r>
    </w:p>
    <w:p>
      <w:pPr>
        <w:pStyle w:val="null3"/>
        <w:ind w:firstLine="480"/>
        <w:jc w:val="both"/>
      </w:pPr>
      <w:r>
        <w:rPr>
          <w:rFonts w:ascii="仿宋_GB2312" w:hAnsi="仿宋_GB2312" w:cs="仿宋_GB2312" w:eastAsia="仿宋_GB2312"/>
          <w:sz w:val="22"/>
        </w:rPr>
        <w:t>二）提升学校（幼儿园）规划、管理、课程领导力</w:t>
      </w:r>
      <w:r>
        <w:rPr>
          <w:rFonts w:ascii="仿宋_GB2312" w:hAnsi="仿宋_GB2312" w:cs="仿宋_GB2312" w:eastAsia="仿宋_GB2312"/>
          <w:sz w:val="22"/>
        </w:rPr>
        <w:t>。</w:t>
      </w:r>
      <w:r>
        <w:rPr>
          <w:rFonts w:ascii="仿宋_GB2312" w:hAnsi="仿宋_GB2312" w:cs="仿宋_GB2312" w:eastAsia="仿宋_GB2312"/>
          <w:sz w:val="22"/>
        </w:rPr>
        <w:t xml:space="preserve">  </w:t>
      </w:r>
    </w:p>
    <w:p>
      <w:pPr>
        <w:pStyle w:val="null3"/>
        <w:ind w:firstLine="480"/>
        <w:jc w:val="both"/>
      </w:pPr>
      <w:r>
        <w:rPr>
          <w:rFonts w:ascii="仿宋_GB2312" w:hAnsi="仿宋_GB2312" w:cs="仿宋_GB2312" w:eastAsia="仿宋_GB2312"/>
          <w:sz w:val="22"/>
        </w:rPr>
        <w:t>三）培养教育创新思维与团队建设能力</w:t>
      </w:r>
      <w:r>
        <w:rPr>
          <w:rFonts w:ascii="仿宋_GB2312" w:hAnsi="仿宋_GB2312" w:cs="仿宋_GB2312" w:eastAsia="仿宋_GB2312"/>
          <w:sz w:val="22"/>
        </w:rPr>
        <w:t>。</w:t>
      </w:r>
      <w:r>
        <w:rPr>
          <w:rFonts w:ascii="仿宋_GB2312" w:hAnsi="仿宋_GB2312" w:cs="仿宋_GB2312" w:eastAsia="仿宋_GB2312"/>
          <w:sz w:val="22"/>
        </w:rPr>
        <w:t xml:space="preserve">  </w:t>
      </w:r>
    </w:p>
    <w:p>
      <w:pPr>
        <w:pStyle w:val="null3"/>
        <w:ind w:firstLine="480"/>
        <w:jc w:val="both"/>
      </w:pPr>
      <w:r>
        <w:rPr>
          <w:rFonts w:ascii="仿宋_GB2312" w:hAnsi="仿宋_GB2312" w:cs="仿宋_GB2312" w:eastAsia="仿宋_GB2312"/>
          <w:sz w:val="22"/>
        </w:rPr>
        <w:t>四）促进理论与实践结合，推动学校（幼儿园）高质量发展</w:t>
      </w:r>
      <w:r>
        <w:rPr>
          <w:rFonts w:ascii="仿宋_GB2312" w:hAnsi="仿宋_GB2312" w:cs="仿宋_GB2312" w:eastAsia="仿宋_GB2312"/>
          <w:sz w:val="22"/>
        </w:rPr>
        <w:t>。</w:t>
      </w:r>
    </w:p>
    <w:p>
      <w:pPr>
        <w:pStyle w:val="null3"/>
        <w:ind w:firstLine="480"/>
        <w:jc w:val="both"/>
      </w:pPr>
      <w:r>
        <w:rPr>
          <w:rFonts w:ascii="仿宋_GB2312" w:hAnsi="仿宋_GB2312" w:cs="仿宋_GB2312" w:eastAsia="仿宋_GB2312"/>
          <w:sz w:val="22"/>
        </w:rPr>
        <w:t>（三）培训对象</w:t>
      </w:r>
    </w:p>
    <w:p>
      <w:pPr>
        <w:pStyle w:val="null3"/>
        <w:ind w:firstLine="480"/>
        <w:jc w:val="both"/>
      </w:pPr>
      <w:r>
        <w:rPr>
          <w:rFonts w:ascii="仿宋_GB2312" w:hAnsi="仿宋_GB2312" w:cs="仿宋_GB2312" w:eastAsia="仿宋_GB2312"/>
          <w:sz w:val="22"/>
        </w:rPr>
        <w:t>新任小学校长、幼儿园园长，约为</w:t>
      </w:r>
      <w:r>
        <w:rPr>
          <w:rFonts w:ascii="仿宋_GB2312" w:hAnsi="仿宋_GB2312" w:cs="仿宋_GB2312" w:eastAsia="仿宋_GB2312"/>
          <w:sz w:val="22"/>
        </w:rPr>
        <w:t>90人</w:t>
      </w:r>
      <w:r>
        <w:rPr>
          <w:rFonts w:ascii="仿宋_GB2312" w:hAnsi="仿宋_GB2312" w:cs="仿宋_GB2312" w:eastAsia="仿宋_GB2312"/>
          <w:sz w:val="22"/>
        </w:rPr>
        <w:t>。</w:t>
      </w:r>
      <w:r>
        <w:rPr>
          <w:rFonts w:ascii="仿宋_GB2312" w:hAnsi="仿宋_GB2312" w:cs="仿宋_GB2312" w:eastAsia="仿宋_GB2312"/>
          <w:sz w:val="22"/>
        </w:rPr>
        <w:t>（培训费用按实际参训人数结算）</w:t>
      </w:r>
    </w:p>
    <w:p>
      <w:pPr>
        <w:pStyle w:val="null3"/>
        <w:ind w:firstLine="480"/>
        <w:jc w:val="both"/>
      </w:pPr>
      <w:r>
        <w:rPr>
          <w:rFonts w:ascii="仿宋_GB2312" w:hAnsi="仿宋_GB2312" w:cs="仿宋_GB2312" w:eastAsia="仿宋_GB2312"/>
          <w:sz w:val="22"/>
        </w:rPr>
        <w:t>（四）培训形式</w:t>
      </w:r>
    </w:p>
    <w:p>
      <w:pPr>
        <w:pStyle w:val="null3"/>
        <w:ind w:firstLine="480"/>
        <w:jc w:val="both"/>
      </w:pPr>
      <w:r>
        <w:rPr>
          <w:rFonts w:ascii="仿宋_GB2312" w:hAnsi="仿宋_GB2312" w:cs="仿宋_GB2312" w:eastAsia="仿宋_GB2312"/>
          <w:sz w:val="22"/>
        </w:rPr>
        <w:t>线上线下混合式培训</w:t>
      </w:r>
      <w:r>
        <w:rPr>
          <w:rFonts w:ascii="仿宋_GB2312" w:hAnsi="仿宋_GB2312" w:cs="仿宋_GB2312" w:eastAsia="仿宋_GB2312"/>
          <w:sz w:val="22"/>
        </w:rPr>
        <w:t>。</w:t>
      </w:r>
    </w:p>
    <w:p>
      <w:pPr>
        <w:pStyle w:val="null3"/>
        <w:ind w:firstLine="480"/>
        <w:jc w:val="both"/>
      </w:pPr>
      <w:r>
        <w:rPr>
          <w:rFonts w:ascii="仿宋_GB2312" w:hAnsi="仿宋_GB2312" w:cs="仿宋_GB2312" w:eastAsia="仿宋_GB2312"/>
          <w:sz w:val="22"/>
        </w:rPr>
        <w:t>（五）项目费用</w:t>
      </w:r>
    </w:p>
    <w:p>
      <w:pPr>
        <w:pStyle w:val="null3"/>
        <w:ind w:firstLine="480"/>
        <w:jc w:val="both"/>
      </w:pPr>
      <w:r>
        <w:rPr>
          <w:rFonts w:ascii="仿宋_GB2312" w:hAnsi="仿宋_GB2312" w:cs="仿宋_GB2312" w:eastAsia="仿宋_GB2312"/>
          <w:sz w:val="22"/>
        </w:rPr>
        <w:t>线下培训费标准：省内</w:t>
      </w:r>
      <w:r>
        <w:rPr>
          <w:rFonts w:ascii="仿宋_GB2312" w:hAnsi="仿宋_GB2312" w:cs="仿宋_GB2312" w:eastAsia="仿宋_GB2312"/>
          <w:sz w:val="22"/>
        </w:rPr>
        <w:t>450元/人•天，福州以外的地区报到、离会两天算一天的培训费用；根据《福建省省直机关培训费管理办法》（闽财行〔2017〕18号）及《福建省省直机关培训费管理办法有关问题的解答》（闽财行〔2018〕17号）文件规定执行。线上培训费合在线下费用中，不另行计算。</w:t>
      </w:r>
    </w:p>
    <w:p>
      <w:pPr>
        <w:pStyle w:val="null3"/>
        <w:ind w:firstLine="480"/>
        <w:jc w:val="both"/>
      </w:pPr>
      <w:r>
        <w:rPr>
          <w:rFonts w:ascii="仿宋_GB2312" w:hAnsi="仿宋_GB2312" w:cs="仿宋_GB2312" w:eastAsia="仿宋_GB2312"/>
          <w:sz w:val="22"/>
        </w:rPr>
        <w:t>第一阶段，培训地点：福州，费用预算为：</w:t>
      </w:r>
      <w:r>
        <w:rPr>
          <w:rFonts w:ascii="仿宋_GB2312" w:hAnsi="仿宋_GB2312" w:cs="仿宋_GB2312" w:eastAsia="仿宋_GB2312"/>
          <w:sz w:val="22"/>
        </w:rPr>
        <w:t>5*90*450=202500元；</w:t>
      </w:r>
    </w:p>
    <w:p>
      <w:pPr>
        <w:pStyle w:val="null3"/>
        <w:ind w:firstLine="480"/>
        <w:jc w:val="both"/>
      </w:pPr>
      <w:r>
        <w:rPr>
          <w:rFonts w:ascii="仿宋_GB2312" w:hAnsi="仿宋_GB2312" w:cs="仿宋_GB2312" w:eastAsia="仿宋_GB2312"/>
          <w:sz w:val="22"/>
        </w:rPr>
        <w:t>第二阶段，线上远程培训；</w:t>
      </w:r>
    </w:p>
    <w:p>
      <w:pPr>
        <w:pStyle w:val="null3"/>
        <w:ind w:firstLine="480"/>
        <w:jc w:val="both"/>
      </w:pPr>
      <w:r>
        <w:rPr>
          <w:rFonts w:ascii="仿宋_GB2312" w:hAnsi="仿宋_GB2312" w:cs="仿宋_GB2312" w:eastAsia="仿宋_GB2312"/>
          <w:sz w:val="22"/>
        </w:rPr>
        <w:t>第三阶段，培训地点：厦门，费用预算为：</w:t>
      </w:r>
      <w:r>
        <w:rPr>
          <w:rFonts w:ascii="仿宋_GB2312" w:hAnsi="仿宋_GB2312" w:cs="仿宋_GB2312" w:eastAsia="仿宋_GB2312"/>
          <w:sz w:val="22"/>
        </w:rPr>
        <w:t>6*90*450=243000元；</w:t>
      </w:r>
    </w:p>
    <w:p>
      <w:pPr>
        <w:pStyle w:val="null3"/>
        <w:ind w:firstLine="480"/>
        <w:jc w:val="both"/>
      </w:pPr>
      <w:r>
        <w:rPr>
          <w:rFonts w:ascii="仿宋_GB2312" w:hAnsi="仿宋_GB2312" w:cs="仿宋_GB2312" w:eastAsia="仿宋_GB2312"/>
          <w:sz w:val="22"/>
        </w:rPr>
        <w:t>第四阶段，培训地点：福州市长乐区，分</w:t>
      </w:r>
      <w:r>
        <w:rPr>
          <w:rFonts w:ascii="仿宋_GB2312" w:hAnsi="仿宋_GB2312" w:cs="仿宋_GB2312" w:eastAsia="仿宋_GB2312"/>
          <w:sz w:val="22"/>
        </w:rPr>
        <w:t>2组培训，每组每天师资费8000元；每组每天交通费+</w:t>
      </w:r>
      <w:r>
        <w:rPr>
          <w:rFonts w:ascii="仿宋_GB2312" w:hAnsi="仿宋_GB2312" w:cs="仿宋_GB2312" w:eastAsia="仿宋_GB2312"/>
          <w:sz w:val="22"/>
        </w:rPr>
        <w:t>资料费</w:t>
      </w:r>
      <w:r>
        <w:rPr>
          <w:rFonts w:ascii="仿宋_GB2312" w:hAnsi="仿宋_GB2312" w:cs="仿宋_GB2312" w:eastAsia="仿宋_GB2312"/>
          <w:sz w:val="22"/>
        </w:rPr>
        <w:t>等</w:t>
      </w:r>
      <w:r>
        <w:rPr>
          <w:rFonts w:ascii="仿宋_GB2312" w:hAnsi="仿宋_GB2312" w:cs="仿宋_GB2312" w:eastAsia="仿宋_GB2312"/>
          <w:sz w:val="22"/>
        </w:rPr>
        <w:t>2000元；工作午餐50元/人•天；费用预算为：3*（8000+2000）</w:t>
      </w:r>
      <w:r>
        <w:rPr>
          <w:rFonts w:ascii="仿宋_GB2312" w:hAnsi="仿宋_GB2312" w:cs="仿宋_GB2312" w:eastAsia="仿宋_GB2312"/>
          <w:sz w:val="22"/>
        </w:rPr>
        <w:t>*2</w:t>
      </w:r>
      <w:r>
        <w:rPr>
          <w:rFonts w:ascii="仿宋_GB2312" w:hAnsi="仿宋_GB2312" w:cs="仿宋_GB2312" w:eastAsia="仿宋_GB2312"/>
          <w:sz w:val="22"/>
        </w:rPr>
        <w:t>+90*50*3=73500元；</w:t>
      </w:r>
    </w:p>
    <w:p>
      <w:pPr>
        <w:pStyle w:val="null3"/>
        <w:ind w:firstLine="480"/>
        <w:jc w:val="both"/>
      </w:pPr>
      <w:r>
        <w:rPr>
          <w:rFonts w:ascii="仿宋_GB2312" w:hAnsi="仿宋_GB2312" w:cs="仿宋_GB2312" w:eastAsia="仿宋_GB2312"/>
          <w:sz w:val="22"/>
        </w:rPr>
        <w:t>预算总数：</w:t>
      </w:r>
      <w:r>
        <w:rPr>
          <w:rFonts w:ascii="仿宋_GB2312" w:hAnsi="仿宋_GB2312" w:cs="仿宋_GB2312" w:eastAsia="仿宋_GB2312"/>
          <w:sz w:val="22"/>
        </w:rPr>
        <w:t>519000元（培训费用按实际参训人数结算），以上费用包含本项目所涉及的一切费用，采购人不再承担其他费用。</w:t>
      </w:r>
    </w:p>
    <w:p>
      <w:pPr>
        <w:pStyle w:val="null3"/>
        <w:ind w:firstLine="480"/>
        <w:jc w:val="both"/>
      </w:pPr>
      <w:r>
        <w:rPr>
          <w:rFonts w:ascii="仿宋_GB2312" w:hAnsi="仿宋_GB2312" w:cs="仿宋_GB2312" w:eastAsia="仿宋_GB2312"/>
          <w:sz w:val="22"/>
        </w:rPr>
        <w:t>（六）培训学时</w:t>
      </w:r>
    </w:p>
    <w:p>
      <w:pPr>
        <w:pStyle w:val="null3"/>
        <w:ind w:firstLine="480"/>
        <w:jc w:val="both"/>
      </w:pPr>
      <w:r>
        <w:rPr>
          <w:rFonts w:ascii="仿宋_GB2312" w:hAnsi="仿宋_GB2312" w:cs="仿宋_GB2312" w:eastAsia="仿宋_GB2312"/>
          <w:sz w:val="22"/>
        </w:rPr>
        <w:t>★线下培训112学时，线上培训200学时。</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2"/>
        </w:rPr>
        <w:t>（一）培训安排</w:t>
      </w:r>
    </w:p>
    <w:p>
      <w:pPr>
        <w:pStyle w:val="null3"/>
        <w:ind w:firstLine="480"/>
        <w:jc w:val="both"/>
      </w:pPr>
      <w:r>
        <w:rPr>
          <w:rFonts w:ascii="仿宋_GB2312" w:hAnsi="仿宋_GB2312" w:cs="仿宋_GB2312" w:eastAsia="仿宋_GB2312"/>
          <w:sz w:val="22"/>
        </w:rPr>
        <w:t>一）第一阶段集中研修</w:t>
      </w:r>
      <w:r>
        <w:rPr>
          <w:rFonts w:ascii="仿宋_GB2312" w:hAnsi="仿宋_GB2312" w:cs="仿宋_GB2312" w:eastAsia="仿宋_GB2312"/>
          <w:sz w:val="22"/>
        </w:rPr>
        <w:t>(福州，5天40学时，线下)</w:t>
      </w:r>
      <w:r>
        <w:rPr>
          <w:rFonts w:ascii="仿宋_GB2312" w:hAnsi="仿宋_GB2312" w:cs="仿宋_GB2312" w:eastAsia="仿宋_GB2312"/>
          <w:sz w:val="22"/>
          <w:b/>
        </w:rPr>
        <w:t>（评审项</w:t>
      </w:r>
      <w:r>
        <w:rPr>
          <w:rFonts w:ascii="仿宋_GB2312" w:hAnsi="仿宋_GB2312" w:cs="仿宋_GB2312" w:eastAsia="仿宋_GB2312"/>
          <w:sz w:val="22"/>
          <w:b/>
        </w:rPr>
        <w:t>1）</w:t>
      </w:r>
    </w:p>
    <w:p>
      <w:pPr>
        <w:pStyle w:val="null3"/>
        <w:ind w:firstLine="480"/>
        <w:jc w:val="both"/>
      </w:pPr>
      <w:r>
        <w:rPr>
          <w:rFonts w:ascii="仿宋_GB2312" w:hAnsi="仿宋_GB2312" w:cs="仿宋_GB2312" w:eastAsia="仿宋_GB2312"/>
          <w:sz w:val="22"/>
        </w:rPr>
        <w:t>二）第二阶段远程研修</w:t>
      </w:r>
      <w:r>
        <w:rPr>
          <w:rFonts w:ascii="仿宋_GB2312" w:hAnsi="仿宋_GB2312" w:cs="仿宋_GB2312" w:eastAsia="仿宋_GB2312"/>
          <w:sz w:val="22"/>
        </w:rPr>
        <w:t>(6个月200学时，线上)</w:t>
      </w:r>
      <w:r>
        <w:rPr>
          <w:rFonts w:ascii="仿宋_GB2312" w:hAnsi="仿宋_GB2312" w:cs="仿宋_GB2312" w:eastAsia="仿宋_GB2312"/>
          <w:sz w:val="22"/>
          <w:b/>
        </w:rPr>
        <w:t>（评审项</w:t>
      </w:r>
      <w:r>
        <w:rPr>
          <w:rFonts w:ascii="仿宋_GB2312" w:hAnsi="仿宋_GB2312" w:cs="仿宋_GB2312" w:eastAsia="仿宋_GB2312"/>
          <w:sz w:val="22"/>
          <w:b/>
        </w:rPr>
        <w:t>2</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三）第三阶段跟岗学习</w:t>
      </w:r>
      <w:r>
        <w:rPr>
          <w:rFonts w:ascii="仿宋_GB2312" w:hAnsi="仿宋_GB2312" w:cs="仿宋_GB2312" w:eastAsia="仿宋_GB2312"/>
          <w:sz w:val="22"/>
        </w:rPr>
        <w:t>(厦门，6天48学时，线下)</w:t>
      </w:r>
      <w:r>
        <w:rPr>
          <w:rFonts w:ascii="仿宋_GB2312" w:hAnsi="仿宋_GB2312" w:cs="仿宋_GB2312" w:eastAsia="仿宋_GB2312"/>
          <w:sz w:val="22"/>
          <w:b/>
        </w:rPr>
        <w:t>（评审项</w:t>
      </w:r>
      <w:r>
        <w:rPr>
          <w:rFonts w:ascii="仿宋_GB2312" w:hAnsi="仿宋_GB2312" w:cs="仿宋_GB2312" w:eastAsia="仿宋_GB2312"/>
          <w:sz w:val="22"/>
          <w:b/>
        </w:rPr>
        <w:t>3</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四）第四阶段</w:t>
      </w:r>
      <w:r>
        <w:rPr>
          <w:rFonts w:ascii="仿宋_GB2312" w:hAnsi="仿宋_GB2312" w:cs="仿宋_GB2312" w:eastAsia="仿宋_GB2312"/>
          <w:sz w:val="22"/>
        </w:rPr>
        <w:t>实践考核（本地，</w:t>
      </w:r>
      <w:r>
        <w:rPr>
          <w:rFonts w:ascii="仿宋_GB2312" w:hAnsi="仿宋_GB2312" w:cs="仿宋_GB2312" w:eastAsia="仿宋_GB2312"/>
          <w:sz w:val="22"/>
        </w:rPr>
        <w:t>3天24学时，线下）</w:t>
      </w:r>
      <w:r>
        <w:rPr>
          <w:rFonts w:ascii="仿宋_GB2312" w:hAnsi="仿宋_GB2312" w:cs="仿宋_GB2312" w:eastAsia="仿宋_GB2312"/>
          <w:sz w:val="22"/>
          <w:b/>
        </w:rPr>
        <w:t>（评审项</w:t>
      </w:r>
      <w:r>
        <w:rPr>
          <w:rFonts w:ascii="仿宋_GB2312" w:hAnsi="仿宋_GB2312" w:cs="仿宋_GB2312" w:eastAsia="仿宋_GB2312"/>
          <w:sz w:val="22"/>
          <w:b/>
        </w:rPr>
        <w:t>4</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（二）培训阶段与课程内容</w:t>
      </w:r>
    </w:p>
    <w:p>
      <w:pPr>
        <w:pStyle w:val="null3"/>
        <w:ind w:firstLine="480"/>
        <w:jc w:val="both"/>
      </w:pPr>
      <w:r>
        <w:rPr>
          <w:rFonts w:ascii="仿宋_GB2312" w:hAnsi="仿宋_GB2312" w:cs="仿宋_GB2312" w:eastAsia="仿宋_GB2312"/>
          <w:sz w:val="22"/>
        </w:rPr>
        <w:t>一）第一阶段：福州（集中研修），第一天公共课程合班学习，其余时间分小学校长班与幼儿园园长班开展培训活动。</w:t>
      </w:r>
    </w:p>
    <w:p>
      <w:pPr>
        <w:pStyle w:val="null3"/>
        <w:ind w:firstLine="480"/>
        <w:jc w:val="both"/>
      </w:pPr>
      <w:r>
        <w:rPr>
          <w:rFonts w:ascii="仿宋_GB2312" w:hAnsi="仿宋_GB2312" w:cs="仿宋_GB2312" w:eastAsia="仿宋_GB2312"/>
          <w:sz w:val="22"/>
        </w:rPr>
        <w:t>1.目标：奠定理论基础，明确培训要求，建立学习共同体。</w:t>
      </w:r>
      <w:r>
        <w:rPr>
          <w:rFonts w:ascii="仿宋_GB2312" w:hAnsi="仿宋_GB2312" w:cs="仿宋_GB2312" w:eastAsia="仿宋_GB2312"/>
          <w:sz w:val="22"/>
          <w:b/>
        </w:rPr>
        <w:t>（评审项</w:t>
      </w:r>
      <w:r>
        <w:rPr>
          <w:rFonts w:ascii="仿宋_GB2312" w:hAnsi="仿宋_GB2312" w:cs="仿宋_GB2312" w:eastAsia="仿宋_GB2312"/>
          <w:sz w:val="22"/>
          <w:b/>
        </w:rPr>
        <w:t>5</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2.内容模块：</w:t>
      </w:r>
      <w:r>
        <w:rPr>
          <w:rFonts w:ascii="仿宋_GB2312" w:hAnsi="仿宋_GB2312" w:cs="仿宋_GB2312" w:eastAsia="仿宋_GB2312"/>
          <w:sz w:val="22"/>
          <w:b/>
        </w:rPr>
        <w:t>（评审项</w:t>
      </w:r>
      <w:r>
        <w:rPr>
          <w:rFonts w:ascii="仿宋_GB2312" w:hAnsi="仿宋_GB2312" w:cs="仿宋_GB2312" w:eastAsia="仿宋_GB2312"/>
          <w:sz w:val="22"/>
          <w:b/>
        </w:rPr>
        <w:t>6</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 xml:space="preserve">1）政策与理论筑基  </w:t>
      </w:r>
    </w:p>
    <w:p>
      <w:pPr>
        <w:pStyle w:val="null3"/>
        <w:ind w:firstLine="480"/>
        <w:jc w:val="both"/>
      </w:pPr>
      <w:r>
        <w:rPr>
          <w:rFonts w:ascii="仿宋_GB2312" w:hAnsi="仿宋_GB2312" w:cs="仿宋_GB2312" w:eastAsia="仿宋_GB2312"/>
          <w:sz w:val="22"/>
        </w:rPr>
        <w:t xml:space="preserve">- 党的二十大精神与教育政策解读（习近平新时代中国特色社会主义思想专题）  </w:t>
      </w:r>
    </w:p>
    <w:p>
      <w:pPr>
        <w:pStyle w:val="null3"/>
        <w:ind w:firstLine="480"/>
        <w:jc w:val="both"/>
      </w:pPr>
      <w:r>
        <w:rPr>
          <w:rFonts w:ascii="仿宋_GB2312" w:hAnsi="仿宋_GB2312" w:cs="仿宋_GB2312" w:eastAsia="仿宋_GB2312"/>
          <w:sz w:val="22"/>
        </w:rPr>
        <w:t xml:space="preserve">-《义务教育学校校长专业标准》《幼儿园园长专业标准》深度剖析  </w:t>
      </w:r>
    </w:p>
    <w:p>
      <w:pPr>
        <w:pStyle w:val="null3"/>
        <w:ind w:firstLine="480"/>
        <w:jc w:val="both"/>
      </w:pPr>
      <w:r>
        <w:rPr>
          <w:rFonts w:ascii="仿宋_GB2312" w:hAnsi="仿宋_GB2312" w:cs="仿宋_GB2312" w:eastAsia="仿宋_GB2312"/>
          <w:sz w:val="22"/>
        </w:rPr>
        <w:t xml:space="preserve">- 教育法律法规与校园安全管理  </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 xml:space="preserve">2）管理能力提升  </w:t>
      </w:r>
    </w:p>
    <w:p>
      <w:pPr>
        <w:pStyle w:val="null3"/>
        <w:ind w:firstLine="48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 现代学校（幼儿园）管理理论与实践（含财务管理、人事管理、资源整合）  </w:t>
      </w:r>
    </w:p>
    <w:p>
      <w:pPr>
        <w:pStyle w:val="null3"/>
        <w:ind w:firstLine="48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 学校（幼儿园）发展规划制定与实施  </w:t>
      </w:r>
    </w:p>
    <w:p>
      <w:pPr>
        <w:pStyle w:val="null3"/>
        <w:ind w:firstLine="48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 校园文化建设与品牌塑造  </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 xml:space="preserve">3）课程与教学领导  </w:t>
      </w:r>
    </w:p>
    <w:p>
      <w:pPr>
        <w:pStyle w:val="null3"/>
        <w:ind w:firstLine="48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 基于核心素养的课程体系建设（分小学、幼儿园学段）  </w:t>
      </w:r>
    </w:p>
    <w:p>
      <w:pPr>
        <w:pStyle w:val="null3"/>
        <w:ind w:firstLine="48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 课堂教学质量评估与教师专业发展  </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 xml:space="preserve">4）实践与案例研讨  </w:t>
      </w:r>
    </w:p>
    <w:p>
      <w:pPr>
        <w:pStyle w:val="null3"/>
        <w:ind w:firstLine="48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 优秀校长（园长）经验分享会  </w:t>
      </w:r>
    </w:p>
    <w:p>
      <w:pPr>
        <w:pStyle w:val="null3"/>
        <w:ind w:firstLine="48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 典型案例分析与管理模拟演练  </w:t>
      </w:r>
    </w:p>
    <w:p>
      <w:pPr>
        <w:pStyle w:val="null3"/>
        <w:ind w:firstLine="480"/>
        <w:jc w:val="both"/>
      </w:pPr>
      <w:r>
        <w:rPr>
          <w:rFonts w:ascii="仿宋_GB2312" w:hAnsi="仿宋_GB2312" w:cs="仿宋_GB2312" w:eastAsia="仿宋_GB2312"/>
          <w:sz w:val="22"/>
        </w:rPr>
        <w:t>二）第二阶段：线上</w:t>
      </w:r>
      <w:r>
        <w:rPr>
          <w:rFonts w:ascii="仿宋_GB2312" w:hAnsi="仿宋_GB2312" w:cs="仿宋_GB2312" w:eastAsia="仿宋_GB2312"/>
          <w:sz w:val="22"/>
        </w:rPr>
        <w:t>(远程研修)，网络培训课程分为小学校长培训课程与幼儿园园长培训课程</w:t>
      </w:r>
    </w:p>
    <w:p>
      <w:pPr>
        <w:pStyle w:val="null3"/>
        <w:ind w:firstLine="480"/>
        <w:jc w:val="both"/>
      </w:pPr>
      <w:r>
        <w:rPr>
          <w:rFonts w:ascii="仿宋_GB2312" w:hAnsi="仿宋_GB2312" w:cs="仿宋_GB2312" w:eastAsia="仿宋_GB2312"/>
          <w:sz w:val="22"/>
        </w:rPr>
        <w:t>1.目标：深化理论学习，结合工作实际，促进知识内化。</w:t>
      </w:r>
      <w:r>
        <w:rPr>
          <w:rFonts w:ascii="仿宋_GB2312" w:hAnsi="仿宋_GB2312" w:cs="仿宋_GB2312" w:eastAsia="仿宋_GB2312"/>
          <w:sz w:val="22"/>
          <w:b/>
        </w:rPr>
        <w:t>（评审项</w:t>
      </w:r>
      <w:r>
        <w:rPr>
          <w:rFonts w:ascii="仿宋_GB2312" w:hAnsi="仿宋_GB2312" w:cs="仿宋_GB2312" w:eastAsia="仿宋_GB2312"/>
          <w:sz w:val="22"/>
          <w:b/>
        </w:rPr>
        <w:t>7</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2.内容模块：</w:t>
      </w:r>
      <w:r>
        <w:rPr>
          <w:rFonts w:ascii="仿宋_GB2312" w:hAnsi="仿宋_GB2312" w:cs="仿宋_GB2312" w:eastAsia="仿宋_GB2312"/>
          <w:sz w:val="22"/>
          <w:b/>
        </w:rPr>
        <w:t>（评审项</w:t>
      </w:r>
      <w:r>
        <w:rPr>
          <w:rFonts w:ascii="仿宋_GB2312" w:hAnsi="仿宋_GB2312" w:cs="仿宋_GB2312" w:eastAsia="仿宋_GB2312"/>
          <w:sz w:val="22"/>
          <w:b/>
        </w:rPr>
        <w:t>8</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 xml:space="preserve">1）自主选修课程（政策解读、管理工具、教育技术类、家校共育、心理健康管理课程）  </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2）案例库学习（含优质学校/幼儿园管理案例）</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3）线上研讨与作业提交（如撰写发展规划草案）</w:t>
      </w:r>
    </w:p>
    <w:p>
      <w:pPr>
        <w:pStyle w:val="null3"/>
        <w:ind w:firstLine="480"/>
        <w:jc w:val="both"/>
      </w:pPr>
      <w:r>
        <w:rPr>
          <w:rFonts w:ascii="仿宋_GB2312" w:hAnsi="仿宋_GB2312" w:cs="仿宋_GB2312" w:eastAsia="仿宋_GB2312"/>
          <w:sz w:val="22"/>
        </w:rPr>
        <w:t>三）第三阶段：厦门</w:t>
      </w:r>
      <w:r>
        <w:rPr>
          <w:rFonts w:ascii="仿宋_GB2312" w:hAnsi="仿宋_GB2312" w:cs="仿宋_GB2312" w:eastAsia="仿宋_GB2312"/>
          <w:sz w:val="22"/>
        </w:rPr>
        <w:t>(跟岗学习)，分小学校长班与幼儿园园长班，每所跟岗学校学员数约10人左右。</w:t>
      </w:r>
      <w:r>
        <w:rPr>
          <w:rFonts w:ascii="仿宋_GB2312" w:hAnsi="仿宋_GB2312" w:cs="仿宋_GB2312" w:eastAsia="仿宋_GB2312"/>
          <w:sz w:val="22"/>
          <w:b/>
        </w:rPr>
        <w:t>（评审项</w:t>
      </w:r>
      <w:r>
        <w:rPr>
          <w:rFonts w:ascii="仿宋_GB2312" w:hAnsi="仿宋_GB2312" w:cs="仿宋_GB2312" w:eastAsia="仿宋_GB2312"/>
          <w:sz w:val="22"/>
          <w:b/>
        </w:rPr>
        <w:t>9</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1.目标：实地观察学习，体验先进管理模式，提升实践能力</w:t>
      </w:r>
    </w:p>
    <w:p>
      <w:pPr>
        <w:pStyle w:val="null3"/>
        <w:ind w:firstLine="480"/>
        <w:jc w:val="both"/>
      </w:pPr>
      <w:r>
        <w:rPr>
          <w:rFonts w:ascii="仿宋_GB2312" w:hAnsi="仿宋_GB2312" w:cs="仿宋_GB2312" w:eastAsia="仿宋_GB2312"/>
          <w:sz w:val="22"/>
        </w:rPr>
        <w:t xml:space="preserve">2.地点：厦门优质小学、示范幼儿园  </w:t>
      </w:r>
    </w:p>
    <w:p>
      <w:pPr>
        <w:pStyle w:val="null3"/>
        <w:ind w:firstLine="480"/>
        <w:jc w:val="both"/>
      </w:pPr>
      <w:r>
        <w:rPr>
          <w:rFonts w:ascii="仿宋_GB2312" w:hAnsi="仿宋_GB2312" w:cs="仿宋_GB2312" w:eastAsia="仿宋_GB2312"/>
          <w:sz w:val="22"/>
        </w:rPr>
        <w:t>3.形式：小组轮岗实践+每日总结会</w:t>
      </w:r>
    </w:p>
    <w:p>
      <w:pPr>
        <w:pStyle w:val="null3"/>
        <w:ind w:firstLine="480"/>
        <w:jc w:val="both"/>
      </w:pPr>
      <w:r>
        <w:rPr>
          <w:rFonts w:ascii="仿宋_GB2312" w:hAnsi="仿宋_GB2312" w:cs="仿宋_GB2312" w:eastAsia="仿宋_GB2312"/>
          <w:sz w:val="22"/>
        </w:rPr>
        <w:t>四）第四阶段：本地</w:t>
      </w:r>
      <w:r>
        <w:rPr>
          <w:rFonts w:ascii="仿宋_GB2312" w:hAnsi="仿宋_GB2312" w:cs="仿宋_GB2312" w:eastAsia="仿宋_GB2312"/>
          <w:sz w:val="22"/>
        </w:rPr>
        <w:t>(实践考核)，分小学校长与幼儿园园长两组开展实践考核活动。</w:t>
      </w:r>
      <w:r>
        <w:rPr>
          <w:rFonts w:ascii="仿宋_GB2312" w:hAnsi="仿宋_GB2312" w:cs="仿宋_GB2312" w:eastAsia="仿宋_GB2312"/>
          <w:sz w:val="22"/>
          <w:b/>
        </w:rPr>
        <w:t>（评审项</w:t>
      </w:r>
      <w:r>
        <w:rPr>
          <w:rFonts w:ascii="仿宋_GB2312" w:hAnsi="仿宋_GB2312" w:cs="仿宋_GB2312" w:eastAsia="仿宋_GB2312"/>
          <w:sz w:val="22"/>
          <w:b/>
        </w:rPr>
        <w:t>10</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1.目标：实地观察学校，通过展示与汇报，提升实践应用与转化能力。</w:t>
      </w:r>
    </w:p>
    <w:p>
      <w:pPr>
        <w:pStyle w:val="null3"/>
        <w:ind w:firstLine="480"/>
        <w:jc w:val="both"/>
      </w:pPr>
      <w:r>
        <w:rPr>
          <w:rFonts w:ascii="仿宋_GB2312" w:hAnsi="仿宋_GB2312" w:cs="仿宋_GB2312" w:eastAsia="仿宋_GB2312"/>
          <w:sz w:val="22"/>
        </w:rPr>
        <w:t xml:space="preserve">2.地点：部分学员所在小学（幼儿园）  </w:t>
      </w:r>
    </w:p>
    <w:p>
      <w:pPr>
        <w:pStyle w:val="null3"/>
        <w:ind w:firstLine="482"/>
        <w:jc w:val="both"/>
      </w:pPr>
      <w:r>
        <w:rPr>
          <w:rFonts w:ascii="仿宋_GB2312" w:hAnsi="仿宋_GB2312" w:cs="仿宋_GB2312" w:eastAsia="仿宋_GB2312"/>
          <w:sz w:val="22"/>
        </w:rPr>
        <w:t>3.形式：汇报+诊断+反馈+研讨</w:t>
      </w:r>
    </w:p>
    <w:p>
      <w:pPr>
        <w:pStyle w:val="null3"/>
        <w:ind w:firstLine="482"/>
        <w:jc w:val="both"/>
      </w:pPr>
      <w:r>
        <w:rPr>
          <w:rFonts w:ascii="仿宋_GB2312" w:hAnsi="仿宋_GB2312" w:cs="仿宋_GB2312" w:eastAsia="仿宋_GB2312"/>
          <w:sz w:val="22"/>
        </w:rPr>
        <w:t>（三）培训考核评价与满意度调查</w:t>
      </w:r>
    </w:p>
    <w:p>
      <w:pPr>
        <w:pStyle w:val="null3"/>
        <w:ind w:firstLine="480"/>
        <w:jc w:val="both"/>
      </w:pPr>
      <w:r>
        <w:rPr>
          <w:rFonts w:ascii="仿宋_GB2312" w:hAnsi="仿宋_GB2312" w:cs="仿宋_GB2312" w:eastAsia="仿宋_GB2312"/>
          <w:sz w:val="22"/>
        </w:rPr>
        <w:t>一）</w:t>
      </w:r>
      <w:r>
        <w:rPr>
          <w:rFonts w:ascii="仿宋_GB2312" w:hAnsi="仿宋_GB2312" w:cs="仿宋_GB2312" w:eastAsia="仿宋_GB2312"/>
          <w:sz w:val="22"/>
        </w:rPr>
        <w:t>组建</w:t>
      </w:r>
      <w:r>
        <w:rPr>
          <w:rFonts w:ascii="仿宋_GB2312" w:hAnsi="仿宋_GB2312" w:cs="仿宋_GB2312" w:eastAsia="仿宋_GB2312"/>
          <w:sz w:val="22"/>
        </w:rPr>
        <w:t>专业</w:t>
      </w:r>
      <w:r>
        <w:rPr>
          <w:rFonts w:ascii="仿宋_GB2312" w:hAnsi="仿宋_GB2312" w:cs="仿宋_GB2312" w:eastAsia="仿宋_GB2312"/>
          <w:sz w:val="22"/>
        </w:rPr>
        <w:t>评估团队，</w:t>
      </w:r>
      <w:r>
        <w:rPr>
          <w:rFonts w:ascii="仿宋_GB2312" w:hAnsi="仿宋_GB2312" w:cs="仿宋_GB2312" w:eastAsia="仿宋_GB2312"/>
          <w:sz w:val="22"/>
        </w:rPr>
        <w:t>构建</w:t>
      </w:r>
      <w:r>
        <w:rPr>
          <w:rFonts w:ascii="仿宋_GB2312" w:hAnsi="仿宋_GB2312" w:cs="仿宋_GB2312" w:eastAsia="仿宋_GB2312"/>
          <w:sz w:val="22"/>
        </w:rPr>
        <w:t>科学系统的评价体系，</w:t>
      </w:r>
      <w:r>
        <w:rPr>
          <w:rFonts w:ascii="仿宋_GB2312" w:hAnsi="仿宋_GB2312" w:cs="仿宋_GB2312" w:eastAsia="仿宋_GB2312"/>
          <w:sz w:val="22"/>
        </w:rPr>
        <w:t>运用</w:t>
      </w:r>
      <w:r>
        <w:rPr>
          <w:rFonts w:ascii="仿宋_GB2312" w:hAnsi="仿宋_GB2312" w:cs="仿宋_GB2312" w:eastAsia="仿宋_GB2312"/>
          <w:sz w:val="22"/>
        </w:rPr>
        <w:t>大数据的</w:t>
      </w:r>
      <w:r>
        <w:rPr>
          <w:rFonts w:ascii="仿宋_GB2312" w:hAnsi="仿宋_GB2312" w:cs="仿宋_GB2312" w:eastAsia="仿宋_GB2312"/>
          <w:sz w:val="22"/>
        </w:rPr>
        <w:t>分析技术</w:t>
      </w:r>
      <w:r>
        <w:rPr>
          <w:rFonts w:ascii="仿宋_GB2312" w:hAnsi="仿宋_GB2312" w:cs="仿宋_GB2312" w:eastAsia="仿宋_GB2312"/>
          <w:sz w:val="22"/>
        </w:rPr>
        <w:t>，对学员</w:t>
      </w:r>
      <w:r>
        <w:rPr>
          <w:rFonts w:ascii="仿宋_GB2312" w:hAnsi="仿宋_GB2312" w:cs="仿宋_GB2312" w:eastAsia="仿宋_GB2312"/>
          <w:sz w:val="22"/>
        </w:rPr>
        <w:t>学习成果</w:t>
      </w:r>
      <w:r>
        <w:rPr>
          <w:rFonts w:ascii="仿宋_GB2312" w:hAnsi="仿宋_GB2312" w:cs="仿宋_GB2312" w:eastAsia="仿宋_GB2312"/>
          <w:sz w:val="22"/>
        </w:rPr>
        <w:t>、授课师资</w:t>
      </w:r>
      <w:r>
        <w:rPr>
          <w:rFonts w:ascii="仿宋_GB2312" w:hAnsi="仿宋_GB2312" w:cs="仿宋_GB2312" w:eastAsia="仿宋_GB2312"/>
          <w:sz w:val="22"/>
        </w:rPr>
        <w:t>水平</w:t>
      </w:r>
      <w:r>
        <w:rPr>
          <w:rFonts w:ascii="仿宋_GB2312" w:hAnsi="仿宋_GB2312" w:cs="仿宋_GB2312" w:eastAsia="仿宋_GB2312"/>
          <w:sz w:val="22"/>
        </w:rPr>
        <w:t>、项目</w:t>
      </w:r>
      <w:r>
        <w:rPr>
          <w:rFonts w:ascii="仿宋_GB2312" w:hAnsi="仿宋_GB2312" w:cs="仿宋_GB2312" w:eastAsia="仿宋_GB2312"/>
          <w:sz w:val="22"/>
        </w:rPr>
        <w:t>实施</w:t>
      </w:r>
      <w:r>
        <w:rPr>
          <w:rFonts w:ascii="仿宋_GB2312" w:hAnsi="仿宋_GB2312" w:cs="仿宋_GB2312" w:eastAsia="仿宋_GB2312"/>
          <w:sz w:val="22"/>
        </w:rPr>
        <w:t>成效（综合学员满意度调查、项目评价等）</w:t>
      </w:r>
      <w:r>
        <w:rPr>
          <w:rFonts w:ascii="仿宋_GB2312" w:hAnsi="仿宋_GB2312" w:cs="仿宋_GB2312" w:eastAsia="仿宋_GB2312"/>
          <w:sz w:val="22"/>
        </w:rPr>
        <w:t>三个维度开展综合评估</w:t>
      </w:r>
      <w:r>
        <w:rPr>
          <w:rFonts w:ascii="仿宋_GB2312" w:hAnsi="仿宋_GB2312" w:cs="仿宋_GB2312" w:eastAsia="仿宋_GB2312"/>
          <w:sz w:val="22"/>
        </w:rPr>
        <w:t>。</w:t>
      </w:r>
      <w:r>
        <w:rPr>
          <w:rFonts w:ascii="仿宋_GB2312" w:hAnsi="仿宋_GB2312" w:cs="仿宋_GB2312" w:eastAsia="仿宋_GB2312"/>
          <w:sz w:val="22"/>
          <w:b/>
        </w:rPr>
        <w:t>（评审项</w:t>
      </w:r>
      <w:r>
        <w:rPr>
          <w:rFonts w:ascii="仿宋_GB2312" w:hAnsi="仿宋_GB2312" w:cs="仿宋_GB2312" w:eastAsia="仿宋_GB2312"/>
          <w:sz w:val="22"/>
          <w:b/>
        </w:rPr>
        <w:t>11</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二）培</w:t>
      </w:r>
      <w:r>
        <w:rPr>
          <w:rFonts w:ascii="仿宋_GB2312" w:hAnsi="仿宋_GB2312" w:cs="仿宋_GB2312" w:eastAsia="仿宋_GB2312"/>
          <w:sz w:val="22"/>
        </w:rPr>
        <w:t>训</w:t>
      </w:r>
      <w:r>
        <w:rPr>
          <w:rFonts w:ascii="仿宋_GB2312" w:hAnsi="仿宋_GB2312" w:cs="仿宋_GB2312" w:eastAsia="仿宋_GB2312"/>
          <w:sz w:val="22"/>
        </w:rPr>
        <w:t>结束</w:t>
      </w:r>
      <w:r>
        <w:rPr>
          <w:rFonts w:ascii="仿宋_GB2312" w:hAnsi="仿宋_GB2312" w:cs="仿宋_GB2312" w:eastAsia="仿宋_GB2312"/>
          <w:sz w:val="22"/>
        </w:rPr>
        <w:t>后</w:t>
      </w:r>
      <w:r>
        <w:rPr>
          <w:rFonts w:ascii="仿宋_GB2312" w:hAnsi="仿宋_GB2312" w:cs="仿宋_GB2312" w:eastAsia="仿宋_GB2312"/>
          <w:sz w:val="22"/>
        </w:rPr>
        <w:t>，</w:t>
      </w:r>
      <w:r>
        <w:rPr>
          <w:rFonts w:ascii="仿宋_GB2312" w:hAnsi="仿宋_GB2312" w:cs="仿宋_GB2312" w:eastAsia="仿宋_GB2312"/>
          <w:sz w:val="22"/>
        </w:rPr>
        <w:t>对学员的学习满意度进行调查，了解学员对授课教师</w:t>
      </w:r>
      <w:r>
        <w:rPr>
          <w:rFonts w:ascii="仿宋_GB2312" w:hAnsi="仿宋_GB2312" w:cs="仿宋_GB2312" w:eastAsia="仿宋_GB2312"/>
          <w:sz w:val="22"/>
        </w:rPr>
        <w:t>教学质量</w:t>
      </w:r>
      <w:r>
        <w:rPr>
          <w:rFonts w:ascii="仿宋_GB2312" w:hAnsi="仿宋_GB2312" w:cs="仿宋_GB2312" w:eastAsia="仿宋_GB2312"/>
          <w:sz w:val="22"/>
        </w:rPr>
        <w:t>、培训内容、组织管理</w:t>
      </w:r>
      <w:r>
        <w:rPr>
          <w:rFonts w:ascii="仿宋_GB2312" w:hAnsi="仿宋_GB2312" w:cs="仿宋_GB2312" w:eastAsia="仿宋_GB2312"/>
          <w:sz w:val="22"/>
        </w:rPr>
        <w:t>效率及</w:t>
      </w:r>
      <w:r>
        <w:rPr>
          <w:rFonts w:ascii="仿宋_GB2312" w:hAnsi="仿宋_GB2312" w:cs="仿宋_GB2312" w:eastAsia="仿宋_GB2312"/>
          <w:sz w:val="22"/>
        </w:rPr>
        <w:t>后勤保障</w:t>
      </w:r>
      <w:r>
        <w:rPr>
          <w:rFonts w:ascii="仿宋_GB2312" w:hAnsi="仿宋_GB2312" w:cs="仿宋_GB2312" w:eastAsia="仿宋_GB2312"/>
          <w:sz w:val="22"/>
        </w:rPr>
        <w:t>服务</w:t>
      </w:r>
      <w:r>
        <w:rPr>
          <w:rFonts w:ascii="仿宋_GB2312" w:hAnsi="仿宋_GB2312" w:cs="仿宋_GB2312" w:eastAsia="仿宋_GB2312"/>
          <w:sz w:val="22"/>
        </w:rPr>
        <w:t>的</w:t>
      </w:r>
      <w:r>
        <w:rPr>
          <w:rFonts w:ascii="仿宋_GB2312" w:hAnsi="仿宋_GB2312" w:cs="仿宋_GB2312" w:eastAsia="仿宋_GB2312"/>
          <w:sz w:val="22"/>
        </w:rPr>
        <w:t>反馈意见</w:t>
      </w:r>
      <w:r>
        <w:rPr>
          <w:rFonts w:ascii="仿宋_GB2312" w:hAnsi="仿宋_GB2312" w:cs="仿宋_GB2312" w:eastAsia="仿宋_GB2312"/>
          <w:sz w:val="22"/>
        </w:rPr>
        <w:t>，对</w:t>
      </w:r>
      <w:r>
        <w:rPr>
          <w:rFonts w:ascii="仿宋_GB2312" w:hAnsi="仿宋_GB2312" w:cs="仿宋_GB2312" w:eastAsia="仿宋_GB2312"/>
          <w:sz w:val="22"/>
        </w:rPr>
        <w:t>各项指标</w:t>
      </w:r>
      <w:r>
        <w:rPr>
          <w:rFonts w:ascii="仿宋_GB2312" w:hAnsi="仿宋_GB2312" w:cs="仿宋_GB2312" w:eastAsia="仿宋_GB2312"/>
          <w:sz w:val="22"/>
        </w:rPr>
        <w:t>进行赋值加权</w:t>
      </w:r>
      <w:r>
        <w:rPr>
          <w:rFonts w:ascii="仿宋_GB2312" w:hAnsi="仿宋_GB2312" w:cs="仿宋_GB2312" w:eastAsia="仿宋_GB2312"/>
          <w:sz w:val="22"/>
        </w:rPr>
        <w:t>计算</w:t>
      </w:r>
      <w:r>
        <w:rPr>
          <w:rFonts w:ascii="仿宋_GB2312" w:hAnsi="仿宋_GB2312" w:cs="仿宋_GB2312" w:eastAsia="仿宋_GB2312"/>
          <w:sz w:val="22"/>
        </w:rPr>
        <w:t>，作为</w:t>
      </w:r>
      <w:r>
        <w:rPr>
          <w:rFonts w:ascii="仿宋_GB2312" w:hAnsi="仿宋_GB2312" w:cs="仿宋_GB2312" w:eastAsia="仿宋_GB2312"/>
          <w:sz w:val="22"/>
        </w:rPr>
        <w:t>衡量</w:t>
      </w:r>
      <w:r>
        <w:rPr>
          <w:rFonts w:ascii="仿宋_GB2312" w:hAnsi="仿宋_GB2312" w:cs="仿宋_GB2312" w:eastAsia="仿宋_GB2312"/>
          <w:sz w:val="22"/>
        </w:rPr>
        <w:t>培训成效</w:t>
      </w:r>
      <w:r>
        <w:rPr>
          <w:rFonts w:ascii="仿宋_GB2312" w:hAnsi="仿宋_GB2312" w:cs="仿宋_GB2312" w:eastAsia="仿宋_GB2312"/>
          <w:sz w:val="22"/>
        </w:rPr>
        <w:t>及评估</w:t>
      </w:r>
      <w:r>
        <w:rPr>
          <w:rFonts w:ascii="仿宋_GB2312" w:hAnsi="仿宋_GB2312" w:cs="仿宋_GB2312" w:eastAsia="仿宋_GB2312"/>
          <w:sz w:val="22"/>
        </w:rPr>
        <w:t>培训团队</w:t>
      </w:r>
      <w:r>
        <w:rPr>
          <w:rFonts w:ascii="仿宋_GB2312" w:hAnsi="仿宋_GB2312" w:cs="仿宋_GB2312" w:eastAsia="仿宋_GB2312"/>
          <w:sz w:val="22"/>
        </w:rPr>
        <w:t>工作质量</w:t>
      </w:r>
      <w:r>
        <w:rPr>
          <w:rFonts w:ascii="仿宋_GB2312" w:hAnsi="仿宋_GB2312" w:cs="仿宋_GB2312" w:eastAsia="仿宋_GB2312"/>
          <w:sz w:val="22"/>
        </w:rPr>
        <w:t>的依据</w:t>
      </w:r>
      <w:r>
        <w:rPr>
          <w:rFonts w:ascii="仿宋_GB2312" w:hAnsi="仿宋_GB2312" w:cs="仿宋_GB2312" w:eastAsia="仿宋_GB2312"/>
          <w:sz w:val="22"/>
        </w:rPr>
        <w:t>。</w:t>
      </w:r>
      <w:r>
        <w:rPr>
          <w:rFonts w:ascii="仿宋_GB2312" w:hAnsi="仿宋_GB2312" w:cs="仿宋_GB2312" w:eastAsia="仿宋_GB2312"/>
          <w:sz w:val="22"/>
          <w:b/>
        </w:rPr>
        <w:t>（评审项</w:t>
      </w:r>
      <w:r>
        <w:rPr>
          <w:rFonts w:ascii="仿宋_GB2312" w:hAnsi="仿宋_GB2312" w:cs="仿宋_GB2312" w:eastAsia="仿宋_GB2312"/>
          <w:sz w:val="22"/>
          <w:b/>
        </w:rPr>
        <w:t>12</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（四）培训团队组织管理</w:t>
      </w:r>
    </w:p>
    <w:p>
      <w:pPr>
        <w:pStyle w:val="null3"/>
        <w:ind w:firstLine="480"/>
        <w:jc w:val="both"/>
      </w:pPr>
      <w:r>
        <w:rPr>
          <w:rFonts w:ascii="仿宋_GB2312" w:hAnsi="仿宋_GB2312" w:cs="仿宋_GB2312" w:eastAsia="仿宋_GB2312"/>
          <w:sz w:val="22"/>
        </w:rPr>
        <w:t>中标人须</w:t>
      </w:r>
      <w:r>
        <w:rPr>
          <w:rFonts w:ascii="仿宋_GB2312" w:hAnsi="仿宋_GB2312" w:cs="仿宋_GB2312" w:eastAsia="仿宋_GB2312"/>
          <w:sz w:val="22"/>
        </w:rPr>
        <w:t>具有专业</w:t>
      </w:r>
      <w:r>
        <w:rPr>
          <w:rFonts w:ascii="仿宋_GB2312" w:hAnsi="仿宋_GB2312" w:cs="仿宋_GB2312" w:eastAsia="仿宋_GB2312"/>
          <w:sz w:val="22"/>
        </w:rPr>
        <w:t>的</w:t>
      </w:r>
      <w:r>
        <w:rPr>
          <w:rFonts w:ascii="仿宋_GB2312" w:hAnsi="仿宋_GB2312" w:cs="仿宋_GB2312" w:eastAsia="仿宋_GB2312"/>
          <w:sz w:val="22"/>
        </w:rPr>
        <w:t>培训管理、培训服务、咨询</w:t>
      </w:r>
      <w:r>
        <w:rPr>
          <w:rFonts w:ascii="仿宋_GB2312" w:hAnsi="仿宋_GB2312" w:cs="仿宋_GB2312" w:eastAsia="仿宋_GB2312"/>
          <w:sz w:val="22"/>
        </w:rPr>
        <w:t>及</w:t>
      </w:r>
      <w:r>
        <w:rPr>
          <w:rFonts w:ascii="仿宋_GB2312" w:hAnsi="仿宋_GB2312" w:cs="仿宋_GB2312" w:eastAsia="仿宋_GB2312"/>
          <w:sz w:val="22"/>
        </w:rPr>
        <w:t>活动策划团队</w:t>
      </w:r>
      <w:r>
        <w:rPr>
          <w:rFonts w:ascii="仿宋_GB2312" w:hAnsi="仿宋_GB2312" w:cs="仿宋_GB2312" w:eastAsia="仿宋_GB2312"/>
          <w:sz w:val="22"/>
        </w:rPr>
        <w:t>。团队成员分工明确、职责清晰，</w:t>
      </w:r>
      <w:r>
        <w:rPr>
          <w:rFonts w:ascii="仿宋_GB2312" w:hAnsi="仿宋_GB2312" w:cs="仿宋_GB2312" w:eastAsia="仿宋_GB2312"/>
          <w:sz w:val="22"/>
        </w:rPr>
        <w:t>中标后</w:t>
      </w:r>
      <w:r>
        <w:rPr>
          <w:rFonts w:ascii="仿宋_GB2312" w:hAnsi="仿宋_GB2312" w:cs="仿宋_GB2312" w:eastAsia="仿宋_GB2312"/>
          <w:sz w:val="22"/>
        </w:rPr>
        <w:t>为本项目组建专项服务团队，成员涵盖培训策划、教学指导等专业人员，分工精细合理，可随时响应项目需求。</w:t>
      </w:r>
      <w:r>
        <w:rPr>
          <w:rFonts w:ascii="仿宋_GB2312" w:hAnsi="仿宋_GB2312" w:cs="仿宋_GB2312" w:eastAsia="仿宋_GB2312"/>
          <w:sz w:val="22"/>
          <w:b/>
        </w:rPr>
        <w:t>（评审项</w:t>
      </w:r>
      <w:r>
        <w:rPr>
          <w:rFonts w:ascii="仿宋_GB2312" w:hAnsi="仿宋_GB2312" w:cs="仿宋_GB2312" w:eastAsia="仿宋_GB2312"/>
          <w:sz w:val="22"/>
          <w:b/>
        </w:rPr>
        <w:t>1</w:t>
      </w:r>
      <w:r>
        <w:rPr>
          <w:rFonts w:ascii="仿宋_GB2312" w:hAnsi="仿宋_GB2312" w:cs="仿宋_GB2312" w:eastAsia="仿宋_GB2312"/>
          <w:sz w:val="22"/>
          <w:b/>
        </w:rPr>
        <w:t>3</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一）项目专家</w:t>
      </w:r>
      <w:r>
        <w:rPr>
          <w:rFonts w:ascii="仿宋_GB2312" w:hAnsi="仿宋_GB2312" w:cs="仿宋_GB2312" w:eastAsia="仿宋_GB2312"/>
          <w:sz w:val="22"/>
        </w:rPr>
        <w:t>团队</w:t>
      </w:r>
    </w:p>
    <w:p>
      <w:pPr>
        <w:pStyle w:val="null3"/>
        <w:ind w:firstLine="480"/>
        <w:jc w:val="both"/>
      </w:pPr>
      <w:r>
        <w:rPr>
          <w:rFonts w:ascii="仿宋_GB2312" w:hAnsi="仿宋_GB2312" w:cs="仿宋_GB2312" w:eastAsia="仿宋_GB2312"/>
          <w:sz w:val="22"/>
        </w:rPr>
        <w:t>中标人需组建</w:t>
      </w:r>
      <w:r>
        <w:rPr>
          <w:rFonts w:ascii="仿宋_GB2312" w:hAnsi="仿宋_GB2312" w:cs="仿宋_GB2312" w:eastAsia="仿宋_GB2312"/>
          <w:sz w:val="22"/>
        </w:rPr>
        <w:t>高水平专家团队，成员应包括国内专家、学者、名师，由</w:t>
      </w:r>
      <w:r>
        <w:rPr>
          <w:rFonts w:ascii="仿宋_GB2312" w:hAnsi="仿宋_GB2312" w:cs="仿宋_GB2312" w:eastAsia="仿宋_GB2312"/>
          <w:sz w:val="22"/>
        </w:rPr>
        <w:t>高校教授</w:t>
      </w:r>
      <w:r>
        <w:rPr>
          <w:rFonts w:ascii="仿宋_GB2312" w:hAnsi="仿宋_GB2312" w:cs="仿宋_GB2312" w:eastAsia="仿宋_GB2312"/>
          <w:sz w:val="22"/>
        </w:rPr>
        <w:t>、</w:t>
      </w:r>
      <w:r>
        <w:rPr>
          <w:rFonts w:ascii="仿宋_GB2312" w:hAnsi="仿宋_GB2312" w:cs="仿宋_GB2312" w:eastAsia="仿宋_GB2312"/>
          <w:sz w:val="22"/>
        </w:rPr>
        <w:t>教育行政部门领导</w:t>
      </w:r>
      <w:r>
        <w:rPr>
          <w:rFonts w:ascii="仿宋_GB2312" w:hAnsi="仿宋_GB2312" w:cs="仿宋_GB2312" w:eastAsia="仿宋_GB2312"/>
          <w:sz w:val="22"/>
        </w:rPr>
        <w:t>、</w:t>
      </w:r>
      <w:r>
        <w:rPr>
          <w:rFonts w:ascii="仿宋_GB2312" w:hAnsi="仿宋_GB2312" w:cs="仿宋_GB2312" w:eastAsia="仿宋_GB2312"/>
          <w:sz w:val="22"/>
        </w:rPr>
        <w:t>一线名校长</w:t>
      </w:r>
      <w:r>
        <w:rPr>
          <w:rFonts w:ascii="仿宋_GB2312" w:hAnsi="仿宋_GB2312" w:cs="仿宋_GB2312" w:eastAsia="仿宋_GB2312"/>
          <w:sz w:val="22"/>
        </w:rPr>
        <w:t>(园长)等</w:t>
      </w:r>
      <w:r>
        <w:rPr>
          <w:rFonts w:ascii="仿宋_GB2312" w:hAnsi="仿宋_GB2312" w:cs="仿宋_GB2312" w:eastAsia="仿宋_GB2312"/>
          <w:sz w:val="22"/>
        </w:rPr>
        <w:t>构成。设置领衔导师岗位，须由福建省名校（园）长或</w:t>
      </w:r>
      <w:r>
        <w:rPr>
          <w:rFonts w:ascii="仿宋_GB2312" w:hAnsi="仿宋_GB2312" w:cs="仿宋_GB2312" w:eastAsia="仿宋_GB2312"/>
          <w:sz w:val="22"/>
        </w:rPr>
        <w:t>福建省名校（园）长培养对象担任，负责为项目提供全程专业指导</w:t>
      </w:r>
      <w:r>
        <w:rPr>
          <w:rFonts w:ascii="仿宋_GB2312" w:hAnsi="仿宋_GB2312" w:cs="仿宋_GB2312" w:eastAsia="仿宋_GB2312"/>
          <w:sz w:val="22"/>
        </w:rPr>
        <w:t>，</w:t>
      </w:r>
      <w:r>
        <w:rPr>
          <w:rFonts w:ascii="仿宋_GB2312" w:hAnsi="仿宋_GB2312" w:cs="仿宋_GB2312" w:eastAsia="仿宋_GB2312"/>
          <w:sz w:val="22"/>
        </w:rPr>
        <w:t>选聘的专家应具备深厚的专业素养，且拥有丰富的研修指导与线下培训经验，能够保证投入充足的时间和精力参与全程的培训学习活动。</w:t>
      </w:r>
      <w:r>
        <w:rPr>
          <w:rFonts w:ascii="仿宋_GB2312" w:hAnsi="仿宋_GB2312" w:cs="仿宋_GB2312" w:eastAsia="仿宋_GB2312"/>
          <w:sz w:val="22"/>
          <w:b/>
        </w:rPr>
        <w:t>（评审项</w:t>
      </w:r>
      <w:r>
        <w:rPr>
          <w:rFonts w:ascii="仿宋_GB2312" w:hAnsi="仿宋_GB2312" w:cs="仿宋_GB2312" w:eastAsia="仿宋_GB2312"/>
          <w:sz w:val="22"/>
          <w:b/>
        </w:rPr>
        <w:t>1</w:t>
      </w:r>
      <w:r>
        <w:rPr>
          <w:rFonts w:ascii="仿宋_GB2312" w:hAnsi="仿宋_GB2312" w:cs="仿宋_GB2312" w:eastAsia="仿宋_GB2312"/>
          <w:sz w:val="22"/>
          <w:b/>
        </w:rPr>
        <w:t>4</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二）项目技术团队</w:t>
      </w:r>
    </w:p>
    <w:p>
      <w:pPr>
        <w:pStyle w:val="null3"/>
        <w:ind w:firstLine="480"/>
        <w:jc w:val="both"/>
      </w:pPr>
      <w:r>
        <w:rPr>
          <w:rFonts w:ascii="仿宋_GB2312" w:hAnsi="仿宋_GB2312" w:cs="仿宋_GB2312" w:eastAsia="仿宋_GB2312"/>
          <w:sz w:val="22"/>
        </w:rPr>
        <w:t>中标人需负责在线培训平台及网站的全周期开发、日常维护；完成平台与其它系统的数据对接及功能拓展开发；依据业务需求部署、管理并维护业务系统；制定并落实业务系统的上线方案、日常管理、实时监控及维护计划；协调解决业务系统运行中的信息安全和技术问题，确保业务系统</w:t>
      </w:r>
      <w:r>
        <w:rPr>
          <w:rFonts w:ascii="仿宋_GB2312" w:hAnsi="仿宋_GB2312" w:cs="仿宋_GB2312" w:eastAsia="仿宋_GB2312"/>
          <w:sz w:val="22"/>
        </w:rPr>
        <w:t>7×24小时安全稳定运行；完成WEB服务器、邮件MAIL服务器、OA服务器、资料备份服务器等办公所需软件环境的搭建及维护；负责局域网硬件设备、软件及数据备份。包括对所有办公电脑进行硬件软件维护、系统安全策略制定及实施等工作。</w:t>
      </w:r>
      <w:r>
        <w:rPr>
          <w:rFonts w:ascii="仿宋_GB2312" w:hAnsi="仿宋_GB2312" w:cs="仿宋_GB2312" w:eastAsia="仿宋_GB2312"/>
          <w:sz w:val="22"/>
          <w:b/>
        </w:rPr>
        <w:t>（评审项</w:t>
      </w:r>
      <w:r>
        <w:rPr>
          <w:rFonts w:ascii="仿宋_GB2312" w:hAnsi="仿宋_GB2312" w:cs="仿宋_GB2312" w:eastAsia="仿宋_GB2312"/>
          <w:sz w:val="22"/>
          <w:b/>
        </w:rPr>
        <w:t>1</w:t>
      </w:r>
      <w:r>
        <w:rPr>
          <w:rFonts w:ascii="仿宋_GB2312" w:hAnsi="仿宋_GB2312" w:cs="仿宋_GB2312" w:eastAsia="仿宋_GB2312"/>
          <w:sz w:val="22"/>
          <w:b/>
        </w:rPr>
        <w:t>5</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三）课程开发团队</w:t>
      </w:r>
    </w:p>
    <w:p>
      <w:pPr>
        <w:pStyle w:val="null3"/>
        <w:ind w:firstLine="480"/>
        <w:jc w:val="both"/>
      </w:pPr>
      <w:r>
        <w:rPr>
          <w:rFonts w:ascii="仿宋_GB2312" w:hAnsi="仿宋_GB2312" w:cs="仿宋_GB2312" w:eastAsia="仿宋_GB2312"/>
          <w:sz w:val="22"/>
        </w:rPr>
        <w:t>中标人需完善教师培训课程体系的搭建；针对不同阶段教师培训的业务热点，开发针对性的解决方案式课程内容；开发与讲授线上线下课程；为不同的线上线下培训和研修活动匹配课程资源，校正课程内容；根据评估反馈发现问题，及时提供课程解决方案。为本项目设计课程，与专家沟通课程内容与授课形式，协助专家制作课件，搜集专家课件，做好本项目生成性课程资源的整理、加工与推广应用。</w:t>
      </w:r>
      <w:r>
        <w:rPr>
          <w:rFonts w:ascii="仿宋_GB2312" w:hAnsi="仿宋_GB2312" w:cs="仿宋_GB2312" w:eastAsia="仿宋_GB2312"/>
          <w:sz w:val="22"/>
          <w:b/>
        </w:rPr>
        <w:t>（评审项</w:t>
      </w:r>
      <w:r>
        <w:rPr>
          <w:rFonts w:ascii="仿宋_GB2312" w:hAnsi="仿宋_GB2312" w:cs="仿宋_GB2312" w:eastAsia="仿宋_GB2312"/>
          <w:sz w:val="22"/>
          <w:b/>
        </w:rPr>
        <w:t>1</w:t>
      </w:r>
      <w:r>
        <w:rPr>
          <w:rFonts w:ascii="仿宋_GB2312" w:hAnsi="仿宋_GB2312" w:cs="仿宋_GB2312" w:eastAsia="仿宋_GB2312"/>
          <w:sz w:val="22"/>
          <w:b/>
        </w:rPr>
        <w:t>6</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四）项目策划</w:t>
      </w:r>
      <w:r>
        <w:rPr>
          <w:rFonts w:ascii="仿宋_GB2312" w:hAnsi="仿宋_GB2312" w:cs="仿宋_GB2312" w:eastAsia="仿宋_GB2312"/>
          <w:sz w:val="22"/>
        </w:rPr>
        <w:t>团队</w:t>
      </w:r>
    </w:p>
    <w:p>
      <w:pPr>
        <w:pStyle w:val="null3"/>
        <w:ind w:firstLine="480"/>
        <w:jc w:val="both"/>
      </w:pPr>
      <w:r>
        <w:rPr>
          <w:rFonts w:ascii="仿宋_GB2312" w:hAnsi="仿宋_GB2312" w:cs="仿宋_GB2312" w:eastAsia="仿宋_GB2312"/>
          <w:sz w:val="22"/>
        </w:rPr>
        <w:t>中标人需深入分析研究国家教师队伍建设及教师培训政策，精准把握国家教师培训的方向与要求；在专家团队的指导下，分析本项目采购要求，设计项目服务方案或实施方案，并确定配套课程方案；配合其他团队，为项目实施过程提供专业参考意见。根据评估反馈发现的问题，调整优化策划策略，完善策划方案。</w:t>
      </w:r>
      <w:r>
        <w:rPr>
          <w:rFonts w:ascii="仿宋_GB2312" w:hAnsi="仿宋_GB2312" w:cs="仿宋_GB2312" w:eastAsia="仿宋_GB2312"/>
          <w:sz w:val="22"/>
          <w:b/>
        </w:rPr>
        <w:t>（评审项</w:t>
      </w:r>
      <w:r>
        <w:rPr>
          <w:rFonts w:ascii="仿宋_GB2312" w:hAnsi="仿宋_GB2312" w:cs="仿宋_GB2312" w:eastAsia="仿宋_GB2312"/>
          <w:sz w:val="22"/>
          <w:b/>
        </w:rPr>
        <w:t>1</w:t>
      </w:r>
      <w:r>
        <w:rPr>
          <w:rFonts w:ascii="仿宋_GB2312" w:hAnsi="仿宋_GB2312" w:cs="仿宋_GB2312" w:eastAsia="仿宋_GB2312"/>
          <w:sz w:val="22"/>
          <w:b/>
        </w:rPr>
        <w:t>7</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五）项目实施团队</w:t>
      </w:r>
    </w:p>
    <w:p>
      <w:pPr>
        <w:pStyle w:val="null3"/>
        <w:ind w:firstLine="480"/>
        <w:jc w:val="both"/>
      </w:pPr>
      <w:r>
        <w:rPr>
          <w:rFonts w:ascii="仿宋_GB2312" w:hAnsi="仿宋_GB2312" w:cs="仿宋_GB2312" w:eastAsia="仿宋_GB2312"/>
          <w:sz w:val="22"/>
        </w:rPr>
        <w:t>1.教学教务服务</w:t>
      </w:r>
    </w:p>
    <w:p>
      <w:pPr>
        <w:pStyle w:val="null3"/>
        <w:ind w:firstLine="480"/>
        <w:jc w:val="both"/>
      </w:pPr>
      <w:r>
        <w:rPr>
          <w:rFonts w:ascii="仿宋_GB2312" w:hAnsi="仿宋_GB2312" w:cs="仿宋_GB2312" w:eastAsia="仿宋_GB2312"/>
          <w:sz w:val="22"/>
        </w:rPr>
        <w:t>负责项目沟通、项目部署、实施执行及项目运营管理；持续完善项目培训流程，积极创新，并撰写项目执行各类文档；根据项目需求撰写《项目实施管理手册》，定期分析学情数据，汇编项目简报，并策划并组织学情通报会；根据培训需求，组织专家开展线上或线下研修指导活动；基于项目实施情况，收集客户需求反馈，优化平台功能，并向技术部门提出平台改善需求；协调相关部门工作，及时响应并解决客户问题。</w:t>
      </w:r>
      <w:r>
        <w:rPr>
          <w:rFonts w:ascii="仿宋_GB2312" w:hAnsi="仿宋_GB2312" w:cs="仿宋_GB2312" w:eastAsia="仿宋_GB2312"/>
          <w:sz w:val="22"/>
          <w:b/>
        </w:rPr>
        <w:t>（评审项</w:t>
      </w:r>
      <w:r>
        <w:rPr>
          <w:rFonts w:ascii="仿宋_GB2312" w:hAnsi="仿宋_GB2312" w:cs="仿宋_GB2312" w:eastAsia="仿宋_GB2312"/>
          <w:sz w:val="22"/>
          <w:b/>
        </w:rPr>
        <w:t>1</w:t>
      </w:r>
      <w:r>
        <w:rPr>
          <w:rFonts w:ascii="仿宋_GB2312" w:hAnsi="仿宋_GB2312" w:cs="仿宋_GB2312" w:eastAsia="仿宋_GB2312"/>
          <w:sz w:val="22"/>
          <w:b/>
        </w:rPr>
        <w:t>8</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2.客户服务</w:t>
      </w:r>
    </w:p>
    <w:p>
      <w:pPr>
        <w:pStyle w:val="null3"/>
        <w:ind w:firstLine="480"/>
        <w:jc w:val="both"/>
      </w:pPr>
      <w:r>
        <w:rPr>
          <w:rFonts w:ascii="仿宋_GB2312" w:hAnsi="仿宋_GB2312" w:cs="仿宋_GB2312" w:eastAsia="仿宋_GB2312"/>
          <w:sz w:val="22"/>
        </w:rPr>
        <w:t>通过电话、邮件、在线</w:t>
      </w:r>
      <w:r>
        <w:rPr>
          <w:rFonts w:ascii="仿宋_GB2312" w:hAnsi="仿宋_GB2312" w:cs="仿宋_GB2312" w:eastAsia="仿宋_GB2312"/>
          <w:sz w:val="22"/>
        </w:rPr>
        <w:t>客服</w:t>
      </w:r>
      <w:r>
        <w:rPr>
          <w:rFonts w:ascii="仿宋_GB2312" w:hAnsi="仿宋_GB2312" w:cs="仿宋_GB2312" w:eastAsia="仿宋_GB2312"/>
          <w:sz w:val="22"/>
        </w:rPr>
        <w:t>等</w:t>
      </w:r>
      <w:r>
        <w:rPr>
          <w:rFonts w:ascii="仿宋_GB2312" w:hAnsi="仿宋_GB2312" w:cs="仿宋_GB2312" w:eastAsia="仿宋_GB2312"/>
          <w:sz w:val="22"/>
        </w:rPr>
        <w:t>渠道，</w:t>
      </w:r>
      <w:r>
        <w:rPr>
          <w:rFonts w:ascii="仿宋_GB2312" w:hAnsi="仿宋_GB2312" w:cs="仿宋_GB2312" w:eastAsia="仿宋_GB2312"/>
          <w:sz w:val="22"/>
        </w:rPr>
        <w:t>受理客户咨询、建议</w:t>
      </w:r>
      <w:r>
        <w:rPr>
          <w:rFonts w:ascii="仿宋_GB2312" w:hAnsi="仿宋_GB2312" w:cs="仿宋_GB2312" w:eastAsia="仿宋_GB2312"/>
          <w:sz w:val="22"/>
        </w:rPr>
        <w:t>及</w:t>
      </w:r>
      <w:r>
        <w:rPr>
          <w:rFonts w:ascii="仿宋_GB2312" w:hAnsi="仿宋_GB2312" w:cs="仿宋_GB2312" w:eastAsia="仿宋_GB2312"/>
          <w:sz w:val="22"/>
        </w:rPr>
        <w:t>投诉等；记录、整理</w:t>
      </w:r>
      <w:r>
        <w:rPr>
          <w:rFonts w:ascii="仿宋_GB2312" w:hAnsi="仿宋_GB2312" w:cs="仿宋_GB2312" w:eastAsia="仿宋_GB2312"/>
          <w:sz w:val="22"/>
        </w:rPr>
        <w:t>与</w:t>
      </w:r>
      <w:r>
        <w:rPr>
          <w:rFonts w:ascii="仿宋_GB2312" w:hAnsi="仿宋_GB2312" w:cs="仿宋_GB2312" w:eastAsia="仿宋_GB2312"/>
          <w:sz w:val="22"/>
        </w:rPr>
        <w:t>分析，</w:t>
      </w:r>
      <w:r>
        <w:rPr>
          <w:rFonts w:ascii="仿宋_GB2312" w:hAnsi="仿宋_GB2312" w:cs="仿宋_GB2312" w:eastAsia="仿宋_GB2312"/>
          <w:sz w:val="22"/>
        </w:rPr>
        <w:t>并及时</w:t>
      </w:r>
      <w:r>
        <w:rPr>
          <w:rFonts w:ascii="仿宋_GB2312" w:hAnsi="仿宋_GB2312" w:cs="仿宋_GB2312" w:eastAsia="仿宋_GB2312"/>
          <w:sz w:val="22"/>
        </w:rPr>
        <w:t>反馈给相关部门。</w:t>
      </w:r>
      <w:r>
        <w:rPr>
          <w:rFonts w:ascii="仿宋_GB2312" w:hAnsi="仿宋_GB2312" w:cs="仿宋_GB2312" w:eastAsia="仿宋_GB2312"/>
          <w:sz w:val="22"/>
          <w:b/>
        </w:rPr>
        <w:t>（评审项</w:t>
      </w:r>
      <w:r>
        <w:rPr>
          <w:rFonts w:ascii="仿宋_GB2312" w:hAnsi="仿宋_GB2312" w:cs="仿宋_GB2312" w:eastAsia="仿宋_GB2312"/>
          <w:sz w:val="22"/>
          <w:b/>
        </w:rPr>
        <w:t>19）</w:t>
      </w:r>
    </w:p>
    <w:p>
      <w:pPr>
        <w:pStyle w:val="null3"/>
        <w:ind w:firstLine="480"/>
        <w:jc w:val="both"/>
      </w:pPr>
      <w:r>
        <w:rPr>
          <w:rFonts w:ascii="仿宋_GB2312" w:hAnsi="仿宋_GB2312" w:cs="仿宋_GB2312" w:eastAsia="仿宋_GB2312"/>
          <w:sz w:val="22"/>
        </w:rPr>
        <w:t>（四）培训条件要求</w:t>
      </w:r>
    </w:p>
    <w:p>
      <w:pPr>
        <w:pStyle w:val="null3"/>
        <w:ind w:firstLine="480"/>
        <w:jc w:val="both"/>
      </w:pPr>
      <w:r>
        <w:rPr>
          <w:rFonts w:ascii="仿宋_GB2312" w:hAnsi="仿宋_GB2312" w:cs="仿宋_GB2312" w:eastAsia="仿宋_GB2312"/>
          <w:sz w:val="22"/>
        </w:rPr>
        <w:t>一）后勤要求</w:t>
      </w:r>
    </w:p>
    <w:p>
      <w:pPr>
        <w:pStyle w:val="null3"/>
        <w:ind w:firstLine="480"/>
        <w:jc w:val="both"/>
      </w:pPr>
      <w:r>
        <w:rPr>
          <w:rFonts w:ascii="仿宋_GB2312" w:hAnsi="仿宋_GB2312" w:cs="仿宋_GB2312" w:eastAsia="仿宋_GB2312"/>
          <w:sz w:val="22"/>
        </w:rPr>
        <w:t>按学段分班</w:t>
      </w:r>
      <w:r>
        <w:rPr>
          <w:rFonts w:ascii="仿宋_GB2312" w:hAnsi="仿宋_GB2312" w:cs="仿宋_GB2312" w:eastAsia="仿宋_GB2312"/>
          <w:sz w:val="22"/>
        </w:rPr>
        <w:t>(小学组、幼儿园组),每班配备1名班主任，并建立微信群用于日常沟通。安排专人负责培训工作，认真组织，严格要求，做好全程记录；及时收缴作业，严格考核标准，并按要求及时归档；为学员提供学习与生活后勤保障，配合需求方完成培训相关后勤工作，确保培训高质量圆满完成。</w:t>
      </w:r>
      <w:r>
        <w:rPr>
          <w:rFonts w:ascii="仿宋_GB2312" w:hAnsi="仿宋_GB2312" w:cs="仿宋_GB2312" w:eastAsia="仿宋_GB2312"/>
          <w:sz w:val="22"/>
          <w:b/>
        </w:rPr>
        <w:t>（评审项</w:t>
      </w:r>
      <w:r>
        <w:rPr>
          <w:rFonts w:ascii="仿宋_GB2312" w:hAnsi="仿宋_GB2312" w:cs="仿宋_GB2312" w:eastAsia="仿宋_GB2312"/>
          <w:sz w:val="22"/>
          <w:b/>
        </w:rPr>
        <w:t>20</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二）食宿安排</w:t>
      </w:r>
    </w:p>
    <w:p>
      <w:pPr>
        <w:pStyle w:val="null3"/>
        <w:ind w:firstLine="480"/>
        <w:jc w:val="both"/>
      </w:pPr>
      <w:r>
        <w:rPr>
          <w:rFonts w:ascii="仿宋_GB2312" w:hAnsi="仿宋_GB2312" w:cs="仿宋_GB2312" w:eastAsia="仿宋_GB2312"/>
          <w:sz w:val="22"/>
        </w:rPr>
        <w:t>统一安排培训基地周边酒店住宿，并提供安全营养的餐食。中标人提供</w:t>
      </w:r>
      <w:r>
        <w:rPr>
          <w:rFonts w:ascii="仿宋_GB2312" w:hAnsi="仿宋_GB2312" w:cs="仿宋_GB2312" w:eastAsia="仿宋_GB2312"/>
          <w:sz w:val="22"/>
        </w:rPr>
        <w:t>的</w:t>
      </w:r>
      <w:r>
        <w:rPr>
          <w:rFonts w:ascii="仿宋_GB2312" w:hAnsi="仿宋_GB2312" w:cs="仿宋_GB2312" w:eastAsia="仿宋_GB2312"/>
          <w:sz w:val="22"/>
        </w:rPr>
        <w:t>住宿场所应位于交通便利、</w:t>
      </w:r>
      <w:r>
        <w:rPr>
          <w:rFonts w:ascii="仿宋_GB2312" w:hAnsi="仿宋_GB2312" w:cs="仿宋_GB2312" w:eastAsia="仿宋_GB2312"/>
          <w:sz w:val="22"/>
        </w:rPr>
        <w:t>配套</w:t>
      </w:r>
      <w:r>
        <w:rPr>
          <w:rFonts w:ascii="仿宋_GB2312" w:hAnsi="仿宋_GB2312" w:cs="仿宋_GB2312" w:eastAsia="仿宋_GB2312"/>
          <w:sz w:val="22"/>
        </w:rPr>
        <w:t>完善的区域</w:t>
      </w:r>
      <w:r>
        <w:rPr>
          <w:rFonts w:ascii="仿宋_GB2312" w:hAnsi="仿宋_GB2312" w:cs="仿宋_GB2312" w:eastAsia="仿宋_GB2312"/>
          <w:sz w:val="22"/>
        </w:rPr>
        <w:t>，便</w:t>
      </w:r>
      <w:r>
        <w:rPr>
          <w:rFonts w:ascii="仿宋_GB2312" w:hAnsi="仿宋_GB2312" w:cs="仿宋_GB2312" w:eastAsia="仿宋_GB2312"/>
          <w:sz w:val="22"/>
        </w:rPr>
        <w:t>与学员</w:t>
      </w:r>
      <w:r>
        <w:rPr>
          <w:rFonts w:ascii="仿宋_GB2312" w:hAnsi="仿宋_GB2312" w:cs="仿宋_GB2312" w:eastAsia="仿宋_GB2312"/>
          <w:sz w:val="22"/>
        </w:rPr>
        <w:t>学习</w:t>
      </w:r>
      <w:r>
        <w:rPr>
          <w:rFonts w:ascii="仿宋_GB2312" w:hAnsi="仿宋_GB2312" w:cs="仿宋_GB2312" w:eastAsia="仿宋_GB2312"/>
          <w:sz w:val="22"/>
        </w:rPr>
        <w:t>与</w:t>
      </w:r>
      <w:r>
        <w:rPr>
          <w:rFonts w:ascii="仿宋_GB2312" w:hAnsi="仿宋_GB2312" w:cs="仿宋_GB2312" w:eastAsia="仿宋_GB2312"/>
          <w:sz w:val="22"/>
        </w:rPr>
        <w:t>生活</w:t>
      </w:r>
      <w:r>
        <w:rPr>
          <w:rFonts w:ascii="仿宋_GB2312" w:hAnsi="仿宋_GB2312" w:cs="仿宋_GB2312" w:eastAsia="仿宋_GB2312"/>
          <w:sz w:val="22"/>
        </w:rPr>
        <w:t>；房间设施完备，环境舒适。每日督查酒店卫生，确保房间通风并完成清洁。协助学员办理入住、退房事宜，并妥善保管发票及住宿清单。选择卫生达标、菜品丰富的餐厅，结合学员的饮食习惯和特殊需求，制定营养均衡的菜单，确保饮食安全健康。尊重学员的饮食禁忌，提供多样化的饮食选择。</w:t>
      </w:r>
      <w:r>
        <w:rPr>
          <w:rFonts w:ascii="仿宋_GB2312" w:hAnsi="仿宋_GB2312" w:cs="仿宋_GB2312" w:eastAsia="仿宋_GB2312"/>
          <w:sz w:val="22"/>
          <w:b/>
        </w:rPr>
        <w:t>（评审项</w:t>
      </w:r>
      <w:r>
        <w:rPr>
          <w:rFonts w:ascii="仿宋_GB2312" w:hAnsi="仿宋_GB2312" w:cs="仿宋_GB2312" w:eastAsia="仿宋_GB2312"/>
          <w:sz w:val="22"/>
          <w:b/>
        </w:rPr>
        <w:t>21</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三）医疗健康保障</w:t>
      </w:r>
    </w:p>
    <w:p>
      <w:pPr>
        <w:pStyle w:val="null3"/>
        <w:ind w:firstLine="480"/>
        <w:jc w:val="both"/>
      </w:pPr>
      <w:r>
        <w:rPr>
          <w:rFonts w:ascii="仿宋_GB2312" w:hAnsi="仿宋_GB2312" w:cs="仿宋_GB2312" w:eastAsia="仿宋_GB2312"/>
          <w:sz w:val="22"/>
        </w:rPr>
        <w:t>在培训基地配备急救药箱，定期提醒学员关注健康状况，遇突发情况时，立即联系定点医院。培训基地附近需配备具备处理重症、急症处理能力的三甲医院。培训期间，中标人应为学员配备含常用药品的小药箱，满足应急需求；同时配备紧急用车，确保学员就医转运需求。负责后勤的班主任需实时关注学员的健康状况，若学员出现身体不适，应立即安排学员休息，必要时送往医院救治，并及时上报上级领导。同时妥善处理学员看护、培训请假及补学等后续事宜。</w:t>
      </w:r>
      <w:r>
        <w:rPr>
          <w:rFonts w:ascii="仿宋_GB2312" w:hAnsi="仿宋_GB2312" w:cs="仿宋_GB2312" w:eastAsia="仿宋_GB2312"/>
          <w:sz w:val="22"/>
          <w:b/>
        </w:rPr>
        <w:t>（评审项</w:t>
      </w:r>
      <w:r>
        <w:rPr>
          <w:rFonts w:ascii="仿宋_GB2312" w:hAnsi="仿宋_GB2312" w:cs="仿宋_GB2312" w:eastAsia="仿宋_GB2312"/>
          <w:sz w:val="22"/>
          <w:b/>
        </w:rPr>
        <w:t>22</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四）交通保障</w:t>
      </w:r>
    </w:p>
    <w:p>
      <w:pPr>
        <w:pStyle w:val="null3"/>
        <w:ind w:firstLine="480"/>
        <w:jc w:val="both"/>
      </w:pPr>
      <w:r>
        <w:rPr>
          <w:rFonts w:ascii="仿宋_GB2312" w:hAnsi="仿宋_GB2312" w:cs="仿宋_GB2312" w:eastAsia="仿宋_GB2312"/>
          <w:sz w:val="22"/>
        </w:rPr>
        <w:t>中标人应选用资质齐全、信誉良好的正规运输单位提供交通服务，确保车辆状况良好</w:t>
      </w:r>
      <w:r>
        <w:rPr>
          <w:rFonts w:ascii="仿宋_GB2312" w:hAnsi="仿宋_GB2312" w:cs="仿宋_GB2312" w:eastAsia="仿宋_GB2312"/>
          <w:sz w:val="22"/>
        </w:rPr>
        <w:t>且</w:t>
      </w:r>
      <w:r>
        <w:rPr>
          <w:rFonts w:ascii="仿宋_GB2312" w:hAnsi="仿宋_GB2312" w:cs="仿宋_GB2312" w:eastAsia="仿宋_GB2312"/>
          <w:sz w:val="22"/>
        </w:rPr>
        <w:t>司机经验丰富。应提前规划接送路线，根据培训地点和</w:t>
      </w:r>
      <w:r>
        <w:rPr>
          <w:rFonts w:ascii="仿宋_GB2312" w:hAnsi="仿宋_GB2312" w:cs="仿宋_GB2312" w:eastAsia="仿宋_GB2312"/>
          <w:sz w:val="22"/>
        </w:rPr>
        <w:t>学员</w:t>
      </w:r>
      <w:r>
        <w:rPr>
          <w:rFonts w:ascii="仿宋_GB2312" w:hAnsi="仿宋_GB2312" w:cs="仿宋_GB2312" w:eastAsia="仿宋_GB2312"/>
          <w:sz w:val="22"/>
        </w:rPr>
        <w:t>分布设置接送点。出发前对车辆进行全面检查，确保行车安全。</w:t>
      </w:r>
      <w:r>
        <w:rPr>
          <w:rFonts w:ascii="仿宋_GB2312" w:hAnsi="仿宋_GB2312" w:cs="仿宋_GB2312" w:eastAsia="仿宋_GB2312"/>
          <w:sz w:val="22"/>
          <w:b/>
        </w:rPr>
        <w:t>（评审项</w:t>
      </w:r>
      <w:r>
        <w:rPr>
          <w:rFonts w:ascii="仿宋_GB2312" w:hAnsi="仿宋_GB2312" w:cs="仿宋_GB2312" w:eastAsia="仿宋_GB2312"/>
          <w:sz w:val="22"/>
          <w:b/>
        </w:rPr>
        <w:t>23</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五）教学条件保障</w:t>
      </w:r>
    </w:p>
    <w:p>
      <w:pPr>
        <w:pStyle w:val="null3"/>
        <w:ind w:firstLine="480"/>
        <w:jc w:val="both"/>
      </w:pPr>
      <w:r>
        <w:rPr>
          <w:rFonts w:ascii="仿宋_GB2312" w:hAnsi="仿宋_GB2312" w:cs="仿宋_GB2312" w:eastAsia="仿宋_GB2312"/>
          <w:sz w:val="22"/>
        </w:rPr>
        <w:t>中标人安排的培训教室应环境优雅，周围无吵杂声源，部分教室采用隔音材料，确保有良好的学习和课间休息环境</w:t>
      </w:r>
      <w:r>
        <w:rPr>
          <w:rFonts w:ascii="仿宋_GB2312" w:hAnsi="仿宋_GB2312" w:cs="仿宋_GB2312" w:eastAsia="仿宋_GB2312"/>
          <w:sz w:val="22"/>
        </w:rPr>
        <w:t>；</w:t>
      </w:r>
      <w:r>
        <w:rPr>
          <w:rFonts w:ascii="仿宋_GB2312" w:hAnsi="仿宋_GB2312" w:cs="仿宋_GB2312" w:eastAsia="仿宋_GB2312"/>
          <w:sz w:val="22"/>
        </w:rPr>
        <w:t>中标人应根据培训人数需要确定教室，教室方正规整，学员能从不同角度清晰看到或听到授课教师的形象和声音。</w:t>
      </w:r>
      <w:r>
        <w:rPr>
          <w:rFonts w:ascii="仿宋_GB2312" w:hAnsi="仿宋_GB2312" w:cs="仿宋_GB2312" w:eastAsia="仿宋_GB2312"/>
          <w:sz w:val="22"/>
        </w:rPr>
        <w:t>教室</w:t>
      </w:r>
      <w:r>
        <w:rPr>
          <w:rFonts w:ascii="仿宋_GB2312" w:hAnsi="仿宋_GB2312" w:cs="仿宋_GB2312" w:eastAsia="仿宋_GB2312"/>
          <w:sz w:val="22"/>
        </w:rPr>
        <w:t>需光线充足，音响良好，多媒体教学设备齐全，设有空调</w:t>
      </w:r>
      <w:r>
        <w:rPr>
          <w:rFonts w:ascii="仿宋_GB2312" w:hAnsi="仿宋_GB2312" w:cs="仿宋_GB2312" w:eastAsia="仿宋_GB2312"/>
          <w:sz w:val="22"/>
        </w:rPr>
        <w:t>；</w:t>
      </w:r>
      <w:r>
        <w:rPr>
          <w:rFonts w:ascii="仿宋_GB2312" w:hAnsi="仿宋_GB2312" w:cs="仿宋_GB2312" w:eastAsia="仿宋_GB2312"/>
          <w:sz w:val="22"/>
        </w:rPr>
        <w:t>培训教室需均配有视频</w:t>
      </w:r>
      <w:r>
        <w:rPr>
          <w:rFonts w:ascii="仿宋_GB2312" w:hAnsi="仿宋_GB2312" w:cs="仿宋_GB2312" w:eastAsia="仿宋_GB2312"/>
          <w:sz w:val="22"/>
        </w:rPr>
        <w:t>设备</w:t>
      </w:r>
      <w:r>
        <w:rPr>
          <w:rFonts w:ascii="仿宋_GB2312" w:hAnsi="仿宋_GB2312" w:cs="仿宋_GB2312" w:eastAsia="仿宋_GB2312"/>
          <w:sz w:val="22"/>
        </w:rPr>
        <w:t>，音频</w:t>
      </w:r>
      <w:r>
        <w:rPr>
          <w:rFonts w:ascii="仿宋_GB2312" w:hAnsi="仿宋_GB2312" w:cs="仿宋_GB2312" w:eastAsia="仿宋_GB2312"/>
          <w:sz w:val="22"/>
        </w:rPr>
        <w:t>设备</w:t>
      </w:r>
      <w:r>
        <w:rPr>
          <w:rFonts w:ascii="仿宋_GB2312" w:hAnsi="仿宋_GB2312" w:cs="仿宋_GB2312" w:eastAsia="仿宋_GB2312"/>
          <w:sz w:val="22"/>
        </w:rPr>
        <w:t>，计算机</w:t>
      </w:r>
      <w:r>
        <w:rPr>
          <w:rFonts w:ascii="仿宋_GB2312" w:hAnsi="仿宋_GB2312" w:cs="仿宋_GB2312" w:eastAsia="仿宋_GB2312"/>
          <w:sz w:val="22"/>
        </w:rPr>
        <w:t>设备</w:t>
      </w:r>
      <w:r>
        <w:rPr>
          <w:rFonts w:ascii="仿宋_GB2312" w:hAnsi="仿宋_GB2312" w:cs="仿宋_GB2312" w:eastAsia="仿宋_GB2312"/>
          <w:sz w:val="22"/>
        </w:rPr>
        <w:t>以及常用教学用具，根据服务安排，每次培训前</w:t>
      </w:r>
      <w:r>
        <w:rPr>
          <w:rFonts w:ascii="仿宋_GB2312" w:hAnsi="仿宋_GB2312" w:cs="仿宋_GB2312" w:eastAsia="仿宋_GB2312"/>
          <w:sz w:val="22"/>
        </w:rPr>
        <w:t>1小时由工作人员</w:t>
      </w:r>
      <w:r>
        <w:rPr>
          <w:rFonts w:ascii="仿宋_GB2312" w:hAnsi="仿宋_GB2312" w:cs="仿宋_GB2312" w:eastAsia="仿宋_GB2312"/>
          <w:sz w:val="22"/>
        </w:rPr>
        <w:t>完成</w:t>
      </w:r>
      <w:r>
        <w:rPr>
          <w:rFonts w:ascii="仿宋_GB2312" w:hAnsi="仿宋_GB2312" w:cs="仿宋_GB2312" w:eastAsia="仿宋_GB2312"/>
          <w:sz w:val="22"/>
        </w:rPr>
        <w:t>设备调试。并配备移动应急设备，如遇突发情况，可随时更换设备，不影响课堂教学。</w:t>
      </w:r>
      <w:r>
        <w:rPr>
          <w:rFonts w:ascii="仿宋_GB2312" w:hAnsi="仿宋_GB2312" w:cs="仿宋_GB2312" w:eastAsia="仿宋_GB2312"/>
          <w:sz w:val="22"/>
          <w:b/>
        </w:rPr>
        <w:t>（评审项</w:t>
      </w:r>
      <w:r>
        <w:rPr>
          <w:rFonts w:ascii="仿宋_GB2312" w:hAnsi="仿宋_GB2312" w:cs="仿宋_GB2312" w:eastAsia="仿宋_GB2312"/>
          <w:sz w:val="22"/>
          <w:b/>
        </w:rPr>
        <w:t>24</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六）安全管理</w:t>
      </w:r>
    </w:p>
    <w:p>
      <w:pPr>
        <w:pStyle w:val="null3"/>
        <w:ind w:firstLine="480"/>
        <w:jc w:val="both"/>
      </w:pPr>
      <w:r>
        <w:rPr>
          <w:rFonts w:ascii="仿宋_GB2312" w:hAnsi="仿宋_GB2312" w:cs="仿宋_GB2312" w:eastAsia="仿宋_GB2312"/>
          <w:sz w:val="22"/>
        </w:rPr>
        <w:t>在出行前，对所有学员进行出行安全教育培训，包括交通安全法规、紧急避险知识、自我保护技能等，提高学员的安全意识和应对能力。</w:t>
      </w:r>
      <w:r>
        <w:rPr>
          <w:rFonts w:ascii="仿宋_GB2312" w:hAnsi="仿宋_GB2312" w:cs="仿宋_GB2312" w:eastAsia="仿宋_GB2312"/>
          <w:sz w:val="22"/>
          <w:b/>
        </w:rPr>
        <w:t>（评审项</w:t>
      </w:r>
      <w:r>
        <w:rPr>
          <w:rFonts w:ascii="仿宋_GB2312" w:hAnsi="仿宋_GB2312" w:cs="仿宋_GB2312" w:eastAsia="仿宋_GB2312"/>
          <w:sz w:val="22"/>
          <w:b/>
        </w:rPr>
        <w:t>25</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培训期间，为所有学员购买包括交通在内的意外伤害保险，确保学员在出行和培训过程中发生意外时能够得到及时救治和补偿。</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自合同签订之日起合同签订后，按采购人要求时间开始服务</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福建省福州市长乐区教师进修学校</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符合招标文件及采购合同要求</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1、期次1，说明：中标人按照 招标文件、投标文件、合同要求完成全部培训任务后，进行验收。</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1、最终结算费用按实际参训人数及中标价格进行结算。全部培训工作结束并经采购人验收合格后，中标人提供最终结算价格等额税务发票，达到付款条件起30日内，支付合同总金额的100.00%</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2"/>
        </w:rPr>
        <w:t>9、违约责任</w:t>
      </w:r>
    </w:p>
    <w:p>
      <w:pPr>
        <w:pStyle w:val="null3"/>
        <w:ind w:firstLine="440"/>
      </w:pPr>
      <w:r>
        <w:rPr>
          <w:rFonts w:ascii="仿宋_GB2312" w:hAnsi="仿宋_GB2312" w:cs="仿宋_GB2312" w:eastAsia="仿宋_GB2312"/>
          <w:sz w:val="22"/>
        </w:rPr>
        <w:t>9.1中标人做好各项安全防范、防火工作，所有安全事故责任及费用一律由中标人负责，并赔偿采购人的所有经济损失。</w:t>
      </w:r>
    </w:p>
    <w:p>
      <w:pPr>
        <w:pStyle w:val="null3"/>
        <w:ind w:firstLine="440"/>
      </w:pPr>
      <w:r>
        <w:rPr>
          <w:rFonts w:ascii="仿宋_GB2312" w:hAnsi="仿宋_GB2312" w:cs="仿宋_GB2312" w:eastAsia="仿宋_GB2312"/>
          <w:sz w:val="22"/>
        </w:rPr>
        <w:t>9.2如中标人未经得采购人许可，不得以任何形式暂停或终止本项目，否则需赔偿采购人的所有损失。</w:t>
      </w:r>
    </w:p>
    <w:p>
      <w:pPr>
        <w:pStyle w:val="null3"/>
        <w:ind w:firstLine="440"/>
      </w:pPr>
      <w:r>
        <w:rPr>
          <w:rFonts w:ascii="仿宋_GB2312" w:hAnsi="仿宋_GB2312" w:cs="仿宋_GB2312" w:eastAsia="仿宋_GB2312"/>
          <w:sz w:val="22"/>
        </w:rPr>
        <w:t>9.3、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中标人还应承担赔偿责任。</w:t>
      </w:r>
    </w:p>
    <w:p>
      <w:pPr>
        <w:pStyle w:val="null3"/>
        <w:ind w:firstLine="440"/>
      </w:pPr>
      <w:r>
        <w:rPr>
          <w:rFonts w:ascii="仿宋_GB2312" w:hAnsi="仿宋_GB2312" w:cs="仿宋_GB2312" w:eastAsia="仿宋_GB2312"/>
          <w:sz w:val="22"/>
        </w:rPr>
        <w:t>9.4、在明确违约责任后，中标人应在接到书面通知书起七天内支付违约金、赔偿金等。</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[350182]ZZXM[GK]2025001-1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2025年长乐区小学、幼儿园校（园）长岗位任职资格培训服务项目(二次)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 年长乐区 小学(幼儿园) 校（园）长岗位 任职培训服务 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 年长乐区 小学(幼儿园) 校（园）长岗位 任职培训服务 项目</w:t>
            </w:r>
          </w:p>
        </w:tc>
        <w:tc>
          <w:tcPr>
            <w:tcW w:type="dxa" w:w="1661"/>
          </w:tcPr>
          <w:p>
            <w:pPr>
              <w:pStyle w:val="null3"/>
              <w:jc w:val="left"/>
            </w:pPr>
            <w:r>
              <w:rPr>
                <w:rFonts w:ascii="仿宋_GB2312" w:hAnsi="仿宋_GB2312" w:cs="仿宋_GB2312" w:eastAsia="仿宋_GB2312"/>
              </w:rPr>
              <w:t xml:space="preserve"> 519000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[350182]ZZXM[GK]2025001-1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2025年长乐区小学、幼儿园校（园）长岗位任职资格培训服务项目(二次)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 年长乐区 小学(幼儿园) 校（园）长岗位 任职培训服务 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培训服务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培训服务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519000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