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2025年殡仪馆物业服务管理采购项目(二次)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CGXM-2025-350182-01206[2025]00364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[350182]HZZB[GK]2025001-1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福州市长乐区殡仪馆</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福建华真招标代理有限公司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福建华真招标代理有限公司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2025年殡仪馆物业服务管理采购项目(二次)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CGXM-2025-350182-01206[2025]00364</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[350182]HZZB[GK]2025001-1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根据《福建省财政厅关于印发推行政府采购供应商资格承诺制指导意见的通知》（闽财购〔2024〕6号），参加本项目投标的投标人提供《政府采购供应商资格承诺函》（格式见附件）的，在投标（响应）文件中可不提供《中华人民共和国政府采购法实施条例》第十七条第一款规定的资格条件证明材料（证明材料指法人或者其他组织的营业执照等证明文件、财务状况报告证明文件、依法缴纳税收和社会保障资金的证明文件、具备履行合同所必需设备和专业技术能力的声明函、参加政府采购活动前3年内在经营活动中没有重大违法记录的书面声明），投标人可自行选择是否提供本承诺函，若不提供本承诺函的，应按招标文件要求提供相应的证明材料。投标人应对其承诺内容的真实性、合法性、有效性负责，不得作出虚假承诺，承诺不实的，属于提供虚假材料谋取中标、成交，依法追究相关的法律责任。</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①本采购包专门面向符合财政部、工信部文件（财库〔2020〕46号）规定的中、小、微型企业。投标人须提供《中小企业声明函（工程、服务）》。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残疾人福利性单位声明函》。※投标人应按照招标文件第七章规定提供。注：本采购包为服务类采购项目，采购标的对应的中小企业划分标准所属行业详见“采购标的一览表”。</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福州市长乐区殡仪馆</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长乐区航城街道联村莲柄港217号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张阳光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28937032</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福建华真招标代理有限公司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福建省福州市鼓楼区洪山镇洪山园路52号华润万象城（三期）S11#楼3层07-13、15办公</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 xml:space="preserve"> 蔡丽娟、陈祥敏</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0591-38165630-7（财务：0591-28331909）</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福建华真招标代理有限公司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2,100,930.00</w:t>
      </w:r>
    </w:p>
    <w:p>
      <w:pPr>
        <w:pStyle w:val="null3"/>
        <w:jc w:val="left"/>
      </w:pPr>
      <w:r>
        <w:rPr>
          <w:rFonts w:ascii="仿宋_GB2312" w:hAnsi="仿宋_GB2312" w:cs="仿宋_GB2312" w:eastAsia="仿宋_GB2312"/>
        </w:rPr>
        <w:t>采购包最高限价（元）: 2,100,930.00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物业管理服务采购</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2,100,930.00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物业管理</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物业管理服务采购</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2,100,930.00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物业管理服务采购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物业管理服务采购</w:t>
            </w:r>
          </w:p>
        </w:tc>
        <w:tc>
          <w:tcPr>
            <w:tcW w:type="dxa" w:w="2076"/>
          </w:tcPr>
          <w:p>
            <w:pPr>
              <w:pStyle w:val="null3"/>
              <w:jc w:val="left"/>
            </w:pPr>
            <w:r>
              <w:rPr>
                <w:rFonts w:ascii="仿宋_GB2312" w:hAnsi="仿宋_GB2312" w:cs="仿宋_GB2312" w:eastAsia="仿宋_GB2312"/>
              </w:rPr>
              <w:t>物业管理服务采购</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2,100,930.00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若中标候选人并列的（评审得分相同），则按“价格项”的得分高低排序；若投标人的评审得分相同且价格项得分也相同的，则按“技术项”的得分高低排序；若评审得分相同且价格项与技术项得分也相同的，则按“商务项”的得分高低排序；若评审得分相同、价格项得分相同且技术项得分与商务项得分也相同的，则采取随机抽取的先后顺序进行排序。</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福建华真招标代理有限公司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福州市长乐区财政局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代理服务费收费标准：①根据中标金额以差额定率累进法计算,收费标准如下：100(万元)以下部分收费费率标准: 1.5%；100-500万元部分收费费率标准:0.8%。②中标人应在领取中标通知书前应先以转账或电汇付款方式一次性向招标代理机构缴纳招标代理服务费。③招标代理服务费缴交账户名：福建华真招标代理有限公司，开户行：招商银行股份有限公司福州仓山支行，账号：5919 0615 1310 806。④中标人应在领取中标通知书的同时提交2套的纸质投标文件（纸质投标文件应与电子投标文件一致）。</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投标人需在法定质疑期内一次性提出针对同一采购程序环节质疑，否则重复提交的质疑函将不予接收。</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（1）投标人的公司名称（系统注册名称）应与CA证书公司名称、电子投标文件投标人名称、保证金来源账户名称保持一致，否则视为投标无效，请各投标人注意。 （2）本项目允许投标人远程解密:a.通过远程参与开标流程的投标人，投标人可远程线上解密（相关操作手册可查看福建省政府采购网首页操作指南），现场参与开标流程的投标人请携带CA证书到开标现场进行解密，选择携带CA证书并由代理机构进行解密的应在投标截止时间前到达开标现场，否则不予接收。投标人选择远程线上解密的，无须将CA证书送至开标地点。b.投标人不到开标现场的，请在开标时自行登录采购系统，线上参与开标流程，并按规定在相应时段对投标文件进行远程解密、远程签章。c.投标人应确保自身设施、设备、网络环境状况良好，在操作过程中因投标人自身原因造成无法正常观看开标流程、远程解密或签章的，后果由投标人自行承担。d.在规定的时间内正确提交电子投标文件的投标人在开标时将由系统判定签到情况，投标人应在远程解密开启后在规定时间内使用CA数字证书进行投标文件的解密操作，逾期未解密的视为自行放弃投标。e.开标结束后，投标人应当对开标结果进行签章，并在远程签章开放后的规定时间内完成，逾期未签章的视为认同开标结果。f.远程解密及远程签章的开放起始时间均在开标过程中临时开启，解密时限规定为30分钟，签章时间为10分钟，请投标人务必密切关注实时开标流程，并根据流程在系统内按时操作，否则产生的后果由投标人自行承担。</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福建华真招标代理有限公司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福建华真招标代理有限公司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福建华真招标代理有限公司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福建华真招标代理有限公司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福建华真招标代理有限公司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福建华真招标代理有限公司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福建华真招标代理有限公司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福建华真招标代理有限公司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福建华真招标代理有限公司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福建华真招标代理有限公司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福建华真招标代理有限公司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福建华真招标代理有限公司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福建华真招标代理有限公司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福建华真招标代理有限公司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福建华真招标代理有限公司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福建华真招标代理有限公司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福建华真招标代理有限公司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福建华真招标代理有限公司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福建华真招标代理有限公司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福建华真招标代理有限公司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福建华真招标代理有限公司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福建华真招标代理有限公司</w:t>
      </w:r>
      <w:r>
        <w:rPr>
          <w:rFonts w:ascii="仿宋_GB2312" w:hAnsi="仿宋_GB2312" w:cs="仿宋_GB2312" w:eastAsia="仿宋_GB2312"/>
        </w:rPr>
        <w:t xml:space="preserve"> 提出询问， </w:t>
      </w:r>
      <w:r>
        <w:rPr>
          <w:rFonts w:ascii="仿宋_GB2312" w:hAnsi="仿宋_GB2312" w:cs="仿宋_GB2312" w:eastAsia="仿宋_GB2312"/>
        </w:rPr>
        <w:t>福建华真招标代理有限公司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福建华真招标代理有限公司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福建华真招标代理有限公司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由福建华真招标代理有限公司派出的工作人员至少1人，</w:t>
      </w:r>
      <w:r>
        <w:rPr>
          <w:rFonts w:ascii="仿宋_GB2312" w:hAnsi="仿宋_GB2312" w:cs="仿宋_GB2312" w:eastAsia="仿宋_GB2312"/>
        </w:rPr>
        <w:t>其余1人可为采购人代表或福建华真招标代理有限公司的工作人员。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根据《福建省财政厅关于印发推行政府采购供应商资格承诺制指导意见的通知》（闽财购〔2024〕6号），参加本项目投标的投标人提供《政府采购供应商资格承诺函》（格式见附件）的，在投标（响应）文件中可不提供《中华人民共和国政府采购法实施条例》第十七条第一款规定的资格条件证明材料（证明材料指法人或者其他组织的营业执照等证明文件、财务状况报告证明文件、依法缴纳税收和社会保障资金的证明文件、具备履行合同所必需设备和专业技术能力的声明函、参加政府采购活动前3年内在经营活动中没有重大违法记录的书面声明），投标人可自行选择是否提供本承诺函，若不提供本承诺函的，应按招标文件要求提供相应的证明材料。投标人应对其承诺内容的真实性、合法性、有效性负责，不得作出虚假承诺，承诺不实的，属于提供虚假材料谋取中标、成交，依法追究相关的法律责任。</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①本采购包专门面向符合财政部、工信部文件（财库〔2020〕46号）规定的中、小、微型企业。投标人须提供《中小企业声明函（工程、服务）》。投标人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招标文件中的有关条款与本条款有矛盾之处以此处为准。②监狱企业视同小型、微型企业，投标人为监狱企业的，可不提供《中小企业声明函》，但须提供由省级以上监狱管理局、戒毒管理局（含新疆生产建设兵团）出具的属于监狱企业的证明文件。③残疾人福利性单位视同小型、微型企业，投标人为残疾人福利性单位的，可不提供《中小企业声明函》，但须提供《残疾人福利性单位声明函》。※投标人应按照招标文件第七章规定提供。注：本采购包为服务类采购项目，采购标的对应的中小企业划分标准所属行业详见“采购标的一览表”。</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格及资信证明部分中不得出现报价部分的全部或部分的投标报价信息（或组成资料），否则视为投标无效。</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福建华真招标代理有限公司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福建华真招标代理有限公司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福建华真招标代理有限公司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福建华真招标代理有限公司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福建华真招标代理有限公司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技术商务部分中不得出现报价部分的全部或部分的投标报价信息（或组成资料），否则视为投标无效。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未按招标文件第七章要求提供《技术和服务要求响应表》的，视为投标无效。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技术商务部分中不得出现报价部分的全部或部分的投标报价信息（或组成资料），否则视为投标无效。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未按招标文件第七章要求提供《商务条件响应表》的，视为投标无效。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投标人提供的商务条件均不得低于招标文件“商务条件”要求，否则视为投标无效。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福建华真招标代理有限公司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本项目为服务类采购项目，无节能、环境标志产品价格扣除。该端口仅用作投标人上传报价使用（若有）。</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技术项（F2×A2）满分为73.0000分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1、技术响应情况</w:t>
            </w:r>
          </w:p>
        </w:tc>
        <w:tc>
          <w:tcPr>
            <w:tcW w:type="dxa" w:w="831"/>
          </w:tcPr>
          <w:p>
            <w:pPr>
              <w:pStyle w:val="null3"/>
              <w:jc w:val="right"/>
            </w:pPr>
            <w:r>
              <w:rPr>
                <w:rFonts w:ascii="仿宋_GB2312" w:hAnsi="仿宋_GB2312" w:cs="仿宋_GB2312" w:eastAsia="仿宋_GB2312"/>
              </w:rPr>
              <w:t>30.00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 招标内容及要求”中“二、技术和服务要求”的响应情况进行评分，完全满足招标文件要求的得满分，其中以“★”标示（共4项）的内容为不允许负偏离的实质性要求，若负偏离视为投标无效；未标注“★”号的技术参数（共12项）每负偏离一项扣2.5分，正偏离不加分。</w:t>
            </w:r>
          </w:p>
        </w:tc>
      </w:tr>
      <w:tr>
        <w:tc>
          <w:tcPr>
            <w:tcW w:type="dxa" w:w="3322"/>
          </w:tcPr>
          <w:p>
            <w:pPr>
              <w:pStyle w:val="null3"/>
              <w:jc w:val="both"/>
            </w:pPr>
            <w:r>
              <w:rPr>
                <w:rFonts w:ascii="仿宋_GB2312" w:hAnsi="仿宋_GB2312" w:cs="仿宋_GB2312" w:eastAsia="仿宋_GB2312"/>
              </w:rPr>
              <w:t>2、总体管理思路方案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总体管理思路方案（包括但不限于：制定物业管理整体目标、企业管理模式和理念、服务预期效果、本项目管理上的重、难点分析等内容）。由评标委员会进行评分：方案合理，内容详细，符合本项目总体管理要求，完全满足且优于项目需求的，得3分；方案较合理，内容较详细，符合一般总体管理要求，完全满足项目需求的，得2.95分；方案不够合理，内容较简单，基本符合总体管理要求，基本满足项目需求的，得2.9分；未提供方案或方案内容有明显错误与项目情况不相符的不得分。</w:t>
            </w:r>
          </w:p>
        </w:tc>
      </w:tr>
      <w:tr>
        <w:tc>
          <w:tcPr>
            <w:tcW w:type="dxa" w:w="3322"/>
          </w:tcPr>
          <w:p>
            <w:pPr>
              <w:pStyle w:val="null3"/>
              <w:jc w:val="both"/>
            </w:pPr>
            <w:r>
              <w:rPr>
                <w:rFonts w:ascii="仿宋_GB2312" w:hAnsi="仿宋_GB2312" w:cs="仿宋_GB2312" w:eastAsia="仿宋_GB2312"/>
              </w:rPr>
              <w:t>3、员工招聘、组织架构方案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员工招聘、组织架构方案（包括但不限于：岗前培训和在岗培训、年度培训计划、提高员工福利待遇的具体措施）。由评标委员会进行评分：方案包含以上要点，内容与要点相符、且措施具体的得3分；方案所包含的要点齐全、内容与要点相符，内容相对简略，但具有可操作性的得2.95分；方案所包含的要点有缺漏或仅笼统描述无具体措施的得2.9分；未提供方案或方案内容有明显错误与项目情况不相符的不得分。</w:t>
            </w:r>
          </w:p>
        </w:tc>
      </w:tr>
      <w:tr>
        <w:tc>
          <w:tcPr>
            <w:tcW w:type="dxa" w:w="3322"/>
          </w:tcPr>
          <w:p>
            <w:pPr>
              <w:pStyle w:val="null3"/>
              <w:jc w:val="both"/>
            </w:pPr>
            <w:r>
              <w:rPr>
                <w:rFonts w:ascii="仿宋_GB2312" w:hAnsi="仿宋_GB2312" w:cs="仿宋_GB2312" w:eastAsia="仿宋_GB2312"/>
              </w:rPr>
              <w:t>4、安全秩序维护工作管理方案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安全秩序维护工作管理方案（包括但不限于：治安维护服务、车辆停放管理、消防安全管理等、作业流程及服务质量标准等内容）。由评标委员会进行评分：方案无缺漏项、内容与要点相符、每个要点均有展开详细的阐述，内容描述全面合理，细节考虑周全且能够适用于本项目的得3分；方案所包含的要点齐全、内容与要点相符、每个要点均有展开阐述，内容描述较全面但不够细化，细节考虑较周全，基本能够适用于本项目的得2.95分；方案所包含的内容与要点相符但仅有纲要、内容简略，未展开详细阐述，但基本能够适用于本项目的得2.9分；未提供方案或方案内容有明显错误与项目情况不相符的不得分。</w:t>
            </w:r>
          </w:p>
        </w:tc>
      </w:tr>
      <w:tr>
        <w:tc>
          <w:tcPr>
            <w:tcW w:type="dxa" w:w="3322"/>
          </w:tcPr>
          <w:p>
            <w:pPr>
              <w:pStyle w:val="null3"/>
              <w:jc w:val="both"/>
            </w:pPr>
            <w:r>
              <w:rPr>
                <w:rFonts w:ascii="仿宋_GB2312" w:hAnsi="仿宋_GB2312" w:cs="仿宋_GB2312" w:eastAsia="仿宋_GB2312"/>
              </w:rPr>
              <w:t>5、保洁绿化服务方案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保洁绿化服务方案（包括但不限于：室内室外环境卫生保洁、垃圾分类处置规范及要求、绿化养护管理等）。由评标委员会进行评分：方案无缺漏项、内容与要点相符、每个要点均有展开详细的阐述，内容描述全面合理，细节考虑周全且能够适用于本项目的得3分；方案所包含的要点齐全、内容与要点相符、每个要点均有展开阐述，内容描述较全面但不够细化，细节考虑较周全，基本能够适用于本项目的得2.95分；方案所包含的内容与要点相符但仅有纲要、内容简略，未展开详细阐述，但基本能够适用于本项目的得2.9分；未提供方案或方案内容有明显错误与项目情况不相符的不得分。</w:t>
            </w:r>
          </w:p>
        </w:tc>
      </w:tr>
      <w:tr>
        <w:tc>
          <w:tcPr>
            <w:tcW w:type="dxa" w:w="3322"/>
          </w:tcPr>
          <w:p>
            <w:pPr>
              <w:pStyle w:val="null3"/>
              <w:jc w:val="both"/>
            </w:pPr>
            <w:r>
              <w:rPr>
                <w:rFonts w:ascii="仿宋_GB2312" w:hAnsi="仿宋_GB2312" w:cs="仿宋_GB2312" w:eastAsia="仿宋_GB2312"/>
              </w:rPr>
              <w:t>6、突发事件应急处理方案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突发事件应急处理方案（包括但不限于：台风洪涝灾害、突发火灾、地震、电梯困人、盗窃、群体纠纷事件等突发事件应急处置等内容）。由评标委员会进行评分：方案合理，内容详细，符合本项目突发事件应急处理要求，完全满足且优于项目需求的，得3分；方案较合理，内容较详细，符合一般突发事件应急处理要求，完全满足项目需求的，得2.95分；方案不够合理，内容较简单，基本符合突发事件应急处理要求，基本满足项目需求的，得2.9分；未提供方案或方案内容有明显错误与项目情况不相符的不得分。</w:t>
            </w:r>
          </w:p>
        </w:tc>
      </w:tr>
      <w:tr>
        <w:tc>
          <w:tcPr>
            <w:tcW w:type="dxa" w:w="3322"/>
          </w:tcPr>
          <w:p>
            <w:pPr>
              <w:pStyle w:val="null3"/>
              <w:jc w:val="both"/>
            </w:pPr>
            <w:r>
              <w:rPr>
                <w:rFonts w:ascii="仿宋_GB2312" w:hAnsi="仿宋_GB2312" w:cs="仿宋_GB2312" w:eastAsia="仿宋_GB2312"/>
              </w:rPr>
              <w:t>7、建筑物及设备设施管理方案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建筑物及设备设施管理方案（包括但不限于：建筑物及设备设施管理维护方案、定期检修保养方案、故障处理等内容）。由评标委员会进行评分：方案合理，内容详细，符合本项目建筑物及设备设施管理要求，完全满足且优于项目需求的，得3分；方案较合理，内容较详细，符合一般建筑物及设备设施管理要求，完全满足项目需求的，得2.95分；方案不够合理，内容较简单，基本符合建筑物及设备设施管理要求，基本满足项目需求的，得2.9分；未提供方案或方案内容有明显错误与项目情况不相符的不得分。</w:t>
            </w:r>
          </w:p>
        </w:tc>
      </w:tr>
      <w:tr>
        <w:tc>
          <w:tcPr>
            <w:tcW w:type="dxa" w:w="3322"/>
          </w:tcPr>
          <w:p>
            <w:pPr>
              <w:pStyle w:val="null3"/>
              <w:jc w:val="both"/>
            </w:pPr>
            <w:r>
              <w:rPr>
                <w:rFonts w:ascii="仿宋_GB2312" w:hAnsi="仿宋_GB2312" w:cs="仿宋_GB2312" w:eastAsia="仿宋_GB2312"/>
              </w:rPr>
              <w:t>8、档案的建立与管理</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制定的档案的建立与管理方案（包含：①日常管理规章制度内容，②监督机制，③日常档案管理内容，④信息化建立档案管理流程等）进行评分：方案详细完整、合理可行的得3分；方案较详细完整、较合理可行的得2.95分；方案完整但表述简单、基本合理可行的得2.9分。未提供方案或方案内容有明显错误与项目情况不相符的不得分。</w:t>
            </w:r>
          </w:p>
        </w:tc>
      </w:tr>
      <w:tr>
        <w:tc>
          <w:tcPr>
            <w:tcW w:type="dxa" w:w="3322"/>
          </w:tcPr>
          <w:p>
            <w:pPr>
              <w:pStyle w:val="null3"/>
              <w:jc w:val="both"/>
            </w:pPr>
            <w:r>
              <w:rPr>
                <w:rFonts w:ascii="仿宋_GB2312" w:hAnsi="仿宋_GB2312" w:cs="仿宋_GB2312" w:eastAsia="仿宋_GB2312"/>
              </w:rPr>
              <w:t>9、管理规章制度</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提供的管理规章制度(包括但不限于：考勤管理制度、奖惩管理制度、人性关怀制度、人员稳定措施等内容)等情况。由评标委员会进行评分：方案包含以上要点，内容与要点相符、且措施具体的得2分；方案所包含的要点齐全、内容与要点相符，内容相对简略，但具有可操作性的得1.95分；方案所包含的要点有缺漏或仅笼统描述无具体措施的得1.9分；未提供方案或方案内容有明显错误与项目情况不相符的不得分。</w:t>
            </w:r>
          </w:p>
        </w:tc>
      </w:tr>
      <w:tr>
        <w:tc>
          <w:tcPr>
            <w:tcW w:type="dxa" w:w="3322"/>
          </w:tcPr>
          <w:p>
            <w:pPr>
              <w:pStyle w:val="null3"/>
              <w:jc w:val="both"/>
            </w:pPr>
            <w:r>
              <w:rPr>
                <w:rFonts w:ascii="仿宋_GB2312" w:hAnsi="仿宋_GB2312" w:cs="仿宋_GB2312" w:eastAsia="仿宋_GB2312"/>
              </w:rPr>
              <w:t>10、项目经理</w:t>
            </w:r>
          </w:p>
        </w:tc>
        <w:tc>
          <w:tcPr>
            <w:tcW w:type="dxa" w:w="831"/>
          </w:tcPr>
          <w:p>
            <w:pPr>
              <w:pStyle w:val="null3"/>
              <w:jc w:val="right"/>
            </w:pPr>
            <w:r>
              <w:rPr>
                <w:rFonts w:ascii="仿宋_GB2312" w:hAnsi="仿宋_GB2312" w:cs="仿宋_GB2312" w:eastAsia="仿宋_GB2312"/>
              </w:rPr>
              <w:t>4.50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拟派的物业项目经理进行评分：满足年龄在50周岁（含）以下、从业时间15年以上、本科或以上学历、退伍军人的基础上：具有①应急救援员证书、②红十字救护员证、③为正式共产党员，以上每提供一项得1.5分，满分4.5分。投标人须提供物业项目经理有效的身份证复印件、从业时间证明、毕业证复印件、义务兵退出现役证复印件或士官退出现役证复印件或军官转业证复印件等证明材料复印件、应急救援员证复印件、红十字救护员证复印件、共产党员证明材料及投标截止时间前六个月中任意1个月（不含投标截止当月）投标人为其缴纳的社会保障资金证明材料或人身意外伤害险（意外伤害保险保险单上需体现被保险人信息）复印件。以上证明材料未提供或提供不全的不得分。注：配备人员不得兼任其他评分项中的人员岗位。如有相同的，不重复得分。若发现投标人提供虚假材料，采购人有权上报相关行政主管部门处罚并取消投标人中标资格。</w:t>
            </w:r>
          </w:p>
        </w:tc>
      </w:tr>
      <w:tr>
        <w:tc>
          <w:tcPr>
            <w:tcW w:type="dxa" w:w="3322"/>
          </w:tcPr>
          <w:p>
            <w:pPr>
              <w:pStyle w:val="null3"/>
              <w:jc w:val="both"/>
            </w:pPr>
            <w:r>
              <w:rPr>
                <w:rFonts w:ascii="仿宋_GB2312" w:hAnsi="仿宋_GB2312" w:cs="仿宋_GB2312" w:eastAsia="仿宋_GB2312"/>
              </w:rPr>
              <w:t>11、保安队长</w:t>
            </w:r>
          </w:p>
        </w:tc>
        <w:tc>
          <w:tcPr>
            <w:tcW w:type="dxa" w:w="831"/>
          </w:tcPr>
          <w:p>
            <w:pPr>
              <w:pStyle w:val="null3"/>
              <w:jc w:val="right"/>
            </w:pPr>
            <w:r>
              <w:rPr>
                <w:rFonts w:ascii="仿宋_GB2312" w:hAnsi="仿宋_GB2312" w:cs="仿宋_GB2312" w:eastAsia="仿宋_GB2312"/>
              </w:rPr>
              <w:t>4.50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拟派的保安队长进行评分：满足年龄在45周岁（含）以下、本科或以上学历、退伍军人的基础上：具有①红十字救护员证、②持有人社部颁发的二级/技师及以上保安员职业技能等级证书、③为正式共产党员，以上每提供一项得1.5分，满分4.5分。投标人须提供拟派保安队长的身份证、毕业证、义务兵退出现役证复印件或士官退出现役证复印件或军官转业证复印件、红十字救护员证复印件、人社部颁发的二级/技师及以上保安员职业技能等级证书复印件、共产党员证明材料及投标截止时间前六个月中任意1个月（不含投标截止当月）投标人为其缴纳的社会保障资金证明材料或人身意外伤害险（意外伤害保险保险单上需体现被保险人信息）复印件。以上证明材料未提供或提供不全的不得分。 注：配备人员不得兼任其他评分项中的人员岗位。如有相同的，不重复得分。若发现投标人提供虚假材料，采购人有权上报相关行政主管部门处罚并取消投标人中标资格。</w:t>
            </w:r>
          </w:p>
        </w:tc>
      </w:tr>
      <w:tr>
        <w:tc>
          <w:tcPr>
            <w:tcW w:type="dxa" w:w="3322"/>
          </w:tcPr>
          <w:p>
            <w:pPr>
              <w:pStyle w:val="null3"/>
              <w:jc w:val="both"/>
            </w:pPr>
            <w:r>
              <w:rPr>
                <w:rFonts w:ascii="仿宋_GB2312" w:hAnsi="仿宋_GB2312" w:cs="仿宋_GB2312" w:eastAsia="仿宋_GB2312"/>
              </w:rPr>
              <w:t>12、保安员</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拟派的保安员其中同时满足年龄在45周岁（含）以下、为退伍军人的每3人得1分，满分2分。投标人须提供拟派保安人员的身份证复印件、义务兵退出现役证复印件或士官退出现役证复印件或军官转业证复印件及投标人于本次投标文件截止时间前半年内任意一个月（不含投标截止当月）为其缴纳的社会保障资金证明材料或人身意外伤害险（意外伤害保险保险单上需体现被保险人信息）复印件。以上证明材料未提供或提供不全的不得分。注：配备人员不得兼任其他评分项中的人员岗位。如有相同的，不重复得分。若发现投标人提供虚假材料，采购人有权上报相关行政主管部门处罚并取消投标人中标资格。</w:t>
            </w:r>
          </w:p>
        </w:tc>
      </w:tr>
      <w:tr>
        <w:tc>
          <w:tcPr>
            <w:tcW w:type="dxa" w:w="3322"/>
          </w:tcPr>
          <w:p>
            <w:pPr>
              <w:pStyle w:val="null3"/>
              <w:jc w:val="both"/>
            </w:pPr>
            <w:r>
              <w:rPr>
                <w:rFonts w:ascii="仿宋_GB2312" w:hAnsi="仿宋_GB2312" w:cs="仿宋_GB2312" w:eastAsia="仿宋_GB2312"/>
              </w:rPr>
              <w:t>13、保洁主管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拟派的保洁主管年龄在45周岁（含）以下、大专或以上学历，在此基础上：具有①清洁管理师、②生活垃圾分类培训师，以上每提供一项得1.5分，满分3分。投标人须提供身份证、毕业证书、清洁管理师、生活垃圾分类培训师复印件及投标截止时间前六个月中任意1个月（不含投标截止当月）投标人为其缴纳的社会保障资金证明材料或人身意外伤害险（意外伤害保险保险单上需体现被保险人信息）复印件。以上证明材料未提供或提供不全的不得分。注：配备人员不得兼任其他评分项中的人员岗位。如有相同的，不重复得分。若发现投标人提供虚假材料，采购人有权上报相关行政主管部门处罚并取消投标人中标资格。</w:t>
            </w:r>
          </w:p>
        </w:tc>
      </w:tr>
      <w:tr>
        <w:tc>
          <w:tcPr>
            <w:tcW w:type="dxa" w:w="3322"/>
          </w:tcPr>
          <w:p>
            <w:pPr>
              <w:pStyle w:val="null3"/>
              <w:jc w:val="both"/>
            </w:pPr>
            <w:r>
              <w:rPr>
                <w:rFonts w:ascii="仿宋_GB2312" w:hAnsi="仿宋_GB2312" w:cs="仿宋_GB2312" w:eastAsia="仿宋_GB2312"/>
              </w:rPr>
              <w:t>14、消防维保员</w:t>
            </w:r>
          </w:p>
        </w:tc>
        <w:tc>
          <w:tcPr>
            <w:tcW w:type="dxa" w:w="831"/>
          </w:tcPr>
          <w:p>
            <w:pPr>
              <w:pStyle w:val="null3"/>
              <w:jc w:val="right"/>
            </w:pPr>
            <w:r>
              <w:rPr>
                <w:rFonts w:ascii="仿宋_GB2312" w:hAnsi="仿宋_GB2312" w:cs="仿宋_GB2312" w:eastAsia="仿宋_GB2312"/>
              </w:rPr>
              <w:t>1.50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拟派的消防维保员年龄在45周岁（含）以下、大专或以上学历、退伍军人的基础上：具有电工三级或以上证书的得1.5分，满分1.5分。投标人须提供拟派消防维保员的身份证、毕业证、义务兵退出现役证复印件或士官退出现役证复印件或军官转业证复印件、电工三级或以上证书复印件，及投标截止时间前六个月中任意1个月（不含投标截止当月）投标人为其缴纳的社会保障资金证明材料或人身意外伤害险（意外伤害保险保险单上需体现被保险人信息）复印件。以上证明材料未提供或提供不全的不得分。注：配备人员不得兼任其他评分项中的人员岗位。如有相同的，不重复得分。若发现投标人提供虚假材料，采购人有权上报相关行政主管部门处罚并取消投标人中标资格。</w:t>
            </w:r>
          </w:p>
        </w:tc>
      </w:tr>
      <w:tr>
        <w:tc>
          <w:tcPr>
            <w:tcW w:type="dxa" w:w="3322"/>
          </w:tcPr>
          <w:p>
            <w:pPr>
              <w:pStyle w:val="null3"/>
              <w:jc w:val="both"/>
            </w:pPr>
            <w:r>
              <w:rPr>
                <w:rFonts w:ascii="仿宋_GB2312" w:hAnsi="仿宋_GB2312" w:cs="仿宋_GB2312" w:eastAsia="仿宋_GB2312"/>
              </w:rPr>
              <w:t>15、维修工</w:t>
            </w:r>
          </w:p>
        </w:tc>
        <w:tc>
          <w:tcPr>
            <w:tcW w:type="dxa" w:w="831"/>
          </w:tcPr>
          <w:p>
            <w:pPr>
              <w:pStyle w:val="null3"/>
              <w:jc w:val="right"/>
            </w:pPr>
            <w:r>
              <w:rPr>
                <w:rFonts w:ascii="仿宋_GB2312" w:hAnsi="仿宋_GB2312" w:cs="仿宋_GB2312" w:eastAsia="仿宋_GB2312"/>
              </w:rPr>
              <w:t>1.50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拟派的维修工年龄在45周岁（含）以下、大专或以上学历、持有维修电工三级及以上证书的得1.5分，满分1.5分。投标人须提供身份证、毕业证、维修电工三级及以上证书复印件，及投标截止时间前六个月中任意1个月（不含投标截止当月）投标人为其缴纳的社会保障资金证明材料或人身意外伤害险（意外伤害保险保险单上需体现被保险人信息）复印件。以上证明材料未提供或提供不全的不得分。注：配备人员不得兼任其他评分项中的人员岗位。如有相同的，不重复得分。若发现投标人提供虚假材料，采购人有权上报相关行政主管部门处罚并取消投标人中标资格。</w:t>
            </w:r>
          </w:p>
        </w:tc>
      </w:tr>
      <w:tr>
        <w:tc>
          <w:tcPr>
            <w:tcW w:type="dxa" w:w="3322"/>
          </w:tcPr>
          <w:p>
            <w:pPr>
              <w:pStyle w:val="null3"/>
              <w:jc w:val="both"/>
            </w:pPr>
            <w:r>
              <w:rPr>
                <w:rFonts w:ascii="仿宋_GB2312" w:hAnsi="仿宋_GB2312" w:cs="仿宋_GB2312" w:eastAsia="仿宋_GB2312"/>
              </w:rPr>
              <w:t>16、绿化人员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为本项目拟派的绿化人员中其中2名须为55周岁（含）以下、本科或以上学历，在此基础上：具有①园林绿化相关专业初级工程师证的得1分，②园林绿化相关专业中级工程师证的得2分，③园林绿化相关专业高级工程师证的得3分。满分3分。 注：(1)投标人须提供身份证、毕业证、园林绿化相关专业工程师证证书复印件，及投标截止时间前六个月中任意1个月（不含投标截止当月）投标人为其缴纳的社会保障资金证明材料或人身意外伤害险（意外伤害保险保险单上需体现被保险人信息）复印件。以上证明材料未提供或提供不全的不得分。注：（配备人员不得兼任其他评分项中的人员岗位。如有相同的，不重复得分。若发现投标人提供虚假材料，采购人有权上报相关行政主管部门处罚并取消投标人中标资格。）</w:t>
            </w:r>
          </w:p>
        </w:tc>
      </w:tr>
    </w:tbl>
    <w:p>
      <w:pPr>
        <w:pStyle w:val="null3"/>
        <w:jc w:val="both"/>
      </w:pPr>
      <w:r>
        <w:rPr>
          <w:rFonts w:ascii="仿宋_GB2312" w:hAnsi="仿宋_GB2312" w:cs="仿宋_GB2312" w:eastAsia="仿宋_GB2312"/>
        </w:rPr>
        <w:t>商务项（F3×A3）满分为17.0000分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1、服务承诺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-1投标人承诺：中标后“每逢春节、国庆等重大节假日、单位组织的重大活动和有关检查，按要求无条件增加人力物力，延长保洁时间，做到人员、时间、效果三到位，确保物业管理和日常保洁不出纰漏”的得3分。注：投标人须提供承诺函（格式自拟），未提供承诺函的不得分。</w:t>
            </w:r>
          </w:p>
        </w:tc>
      </w:tr>
      <w:tr>
        <w:tc>
          <w:tcPr>
            <w:tcW w:type="dxa" w:w="3322"/>
          </w:tcPr>
          <w:p>
            <w:pPr>
              <w:pStyle w:val="null3"/>
              <w:jc w:val="left"/>
            </w:pPr>
            <w:r>
              <w:rPr>
                <w:rFonts w:ascii="仿宋_GB2312" w:hAnsi="仿宋_GB2312" w:cs="仿宋_GB2312" w:eastAsia="仿宋_GB2312"/>
              </w:rPr>
              <w:t>1、服务承诺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1-2投标人承诺中标后绿化团队每季定期修剪一次树木植被，确保绿化整洁的得3分。注：投标人须提供承诺函（格式自拟），未提供承诺函的不得分。</w:t>
            </w:r>
          </w:p>
        </w:tc>
      </w:tr>
      <w:tr>
        <w:tc>
          <w:tcPr>
            <w:tcW w:type="dxa" w:w="3322"/>
          </w:tcPr>
          <w:p>
            <w:pPr>
              <w:pStyle w:val="null3"/>
              <w:jc w:val="left"/>
            </w:pPr>
            <w:r>
              <w:rPr>
                <w:rFonts w:ascii="仿宋_GB2312" w:hAnsi="仿宋_GB2312" w:cs="仿宋_GB2312" w:eastAsia="仿宋_GB2312"/>
              </w:rPr>
              <w:t>2、企业实力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投标人具有质量管理体系认证证书、环境管理体系认证证书、职业健康与安全管理体系认证证书，且认证范围与物业相关, 每具有一项得1分，满分3分。须提供有效认证证书复印件，同时提供中国国家认证认可监督管理委员会(http://www.cnca.gov.cn)或中国合格评定国家认可委员会(https: //www.cnas.org.cn)网站的查询页面下载网页并注明网址。未提供或提供不全的不得分。</w:t>
            </w:r>
          </w:p>
        </w:tc>
      </w:tr>
      <w:tr>
        <w:tc>
          <w:tcPr>
            <w:tcW w:type="dxa" w:w="3322"/>
          </w:tcPr>
          <w:p>
            <w:pPr>
              <w:pStyle w:val="null3"/>
              <w:jc w:val="left"/>
            </w:pPr>
            <w:r>
              <w:rPr>
                <w:rFonts w:ascii="仿宋_GB2312" w:hAnsi="仿宋_GB2312" w:cs="仿宋_GB2312" w:eastAsia="仿宋_GB2312"/>
              </w:rPr>
              <w:t>3、企业合规经营</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自成立以来至开标当月的前一个月月底(以处分下达时间为准)在物业相关项目经营过程中除一般资格证明条件“重大违法记录”的情形外，未受过县（市、区）级及以上包括相关职能部门（包括但不限于公告、告知书、通知、通报、决定等）下达的挂牌警告或行政处罚或责令整改通报等处分的得3分。缺项或有违反任一项均不得分。投标人须提供承诺函（格式自拟），未提供承诺函的不得分。若发现投标人提供虚假承诺，采购人有权上报相关行政主管部门处罚并取消投标人中标资格。</w:t>
            </w:r>
          </w:p>
        </w:tc>
      </w:tr>
      <w:tr>
        <w:tc>
          <w:tcPr>
            <w:tcW w:type="dxa" w:w="3322"/>
          </w:tcPr>
          <w:p>
            <w:pPr>
              <w:pStyle w:val="null3"/>
              <w:jc w:val="left"/>
            </w:pPr>
            <w:r>
              <w:rPr>
                <w:rFonts w:ascii="仿宋_GB2312" w:hAnsi="仿宋_GB2312" w:cs="仿宋_GB2312" w:eastAsia="仿宋_GB2312"/>
              </w:rPr>
              <w:t>4、无劳动争议记录</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承诺：自成立至今未因劳动争议发生的败诉记录的得3分。投标人须提供承诺函（格式自拟），未提供承诺函的不得分。若发现投标人提供虚假承诺，采购人有权上报相关行政主管部门处罚并取消投标人中标资格。</w:t>
            </w:r>
          </w:p>
        </w:tc>
      </w:tr>
      <w:tr>
        <w:tc>
          <w:tcPr>
            <w:tcW w:type="dxa" w:w="3322"/>
          </w:tcPr>
          <w:p>
            <w:pPr>
              <w:pStyle w:val="null3"/>
              <w:jc w:val="left"/>
            </w:pPr>
            <w:r>
              <w:rPr>
                <w:rFonts w:ascii="仿宋_GB2312" w:hAnsi="仿宋_GB2312" w:cs="仿宋_GB2312" w:eastAsia="仿宋_GB2312"/>
              </w:rPr>
              <w:t>5、业绩</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投标人提供的自2023年1月1日至本次投标截止日期（日期以合同签订时间为准）的已完成或在管的与本项目同类相关业绩，每提供一份的得2分，满分2分。 注：投标人须同时提供该业绩项目的中标/成交公告、中标/成交通知书复印件、采购合同文本复印件，未提供或提供不完整的不得分，若发现投标人提供虚假材料，采购人有权上报相关行政主管部门处罚并取消投标人中标资格。</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（一）</w:t>
      </w:r>
      <w:r>
        <w:rPr>
          <w:rFonts w:ascii="仿宋_GB2312" w:hAnsi="仿宋_GB2312" w:cs="仿宋_GB2312" w:eastAsia="仿宋_GB2312"/>
          <w:sz w:val="24"/>
          <w:shd w:fill="FFFFFF" w:val="clear"/>
        </w:rPr>
        <w:t>本项目为</w:t>
      </w:r>
      <w:r>
        <w:rPr>
          <w:rFonts w:ascii="仿宋_GB2312" w:hAnsi="仿宋_GB2312" w:cs="仿宋_GB2312" w:eastAsia="仿宋_GB2312"/>
          <w:sz w:val="24"/>
          <w:shd w:fill="FFFFFF" w:val="clear"/>
        </w:rPr>
        <w:t>“2025年殡仪馆物业服务管理采购项目”，服务期限</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年</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福州市长乐区殡仪馆（以下简称</w:t>
      </w:r>
      <w:r>
        <w:rPr>
          <w:rFonts w:ascii="仿宋_GB2312" w:hAnsi="仿宋_GB2312" w:cs="仿宋_GB2312" w:eastAsia="仿宋_GB2312"/>
          <w:sz w:val="24"/>
          <w:shd w:fill="FFFFFF" w:val="clear"/>
        </w:rPr>
        <w:t>“殡仪馆”）位于吴航街道联村村莲柄港217号，原址占地32.04亩，新馆在原址基础上进行改扩建，新增用地76.87亩，总用地达108.91亩，建设项目总投资约1.5亿元，新建建筑面积12689.2平方米，总建筑面积约15690平方米，</w:t>
      </w:r>
      <w:r>
        <w:rPr>
          <w:rFonts w:ascii="仿宋_GB2312" w:hAnsi="仿宋_GB2312" w:cs="仿宋_GB2312" w:eastAsia="仿宋_GB2312"/>
          <w:sz w:val="24"/>
          <w:shd w:fill="FFFFFF" w:val="clear"/>
        </w:rPr>
        <w:t>配备</w:t>
      </w:r>
      <w:r>
        <w:rPr>
          <w:rFonts w:ascii="仿宋_GB2312" w:hAnsi="仿宋_GB2312" w:cs="仿宋_GB2312" w:eastAsia="仿宋_GB2312"/>
          <w:sz w:val="24"/>
          <w:shd w:fill="FFFFFF" w:val="clear"/>
        </w:rPr>
        <w:t>7台火化炉，设置5间告别厅、5间吊唁厅、8套守灵厅、5间守灵厅等设施。</w:t>
      </w:r>
      <w:r>
        <w:rPr>
          <w:rFonts w:ascii="仿宋_GB2312" w:hAnsi="仿宋_GB2312" w:cs="仿宋_GB2312" w:eastAsia="仿宋_GB2312"/>
          <w:sz w:val="24"/>
          <w:shd w:fill="FFFFFF" w:val="clear"/>
        </w:rPr>
        <w:t>作为本地区重要的殡葬服务机构，承担着为逝者提供尊严、肃穆、温馨的告别场所的重要任务，为满足全区群众优质的殡葬服务需求，改善环境卫生，提高服务效率，进一步提升殡仪馆的整体服务水平，特此面向国内公开招标殡仪馆物业管理服务项目。</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shd w:fill="FFFFFF" w:val="clear"/>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殡仪馆物业管理服务一览表</w:t>
      </w:r>
    </w:p>
    <w:tbl>
      <w:tblPr>
        <w:tblW w:w="0" w:type="auto"/>
        <w:tblBorders>
          <w:top w:val="none" w:color="000000" w:sz="4"/>
          <w:left w:val="none" w:color="000000" w:sz="4"/>
          <w:bottom w:val="none" w:color="000000" w:sz="4"/>
          <w:right w:val="none" w:color="000000" w:sz="4"/>
          <w:insideH w:val="none"/>
          <w:insideV w:val="none"/>
        </w:tblBorders>
      </w:tblPr>
      <w:tblGrid>
        <w:gridCol w:w="791"/>
        <w:gridCol w:w="1859"/>
        <w:gridCol w:w="4798"/>
        <w:gridCol w:w="855"/>
      </w:tblGrid>
      <w:tr>
        <w:tc>
          <w:tcPr>
            <w:tcW w:type="dxa" w:w="7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8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w:t>
            </w:r>
            <w:r>
              <w:rPr>
                <w:rFonts w:ascii="仿宋_GB2312" w:hAnsi="仿宋_GB2312" w:cs="仿宋_GB2312" w:eastAsia="仿宋_GB2312"/>
                <w:sz w:val="24"/>
                <w:b/>
              </w:rPr>
              <w:t>务</w:t>
            </w:r>
            <w:r>
              <w:rPr>
                <w:rFonts w:ascii="仿宋_GB2312" w:hAnsi="仿宋_GB2312" w:cs="仿宋_GB2312" w:eastAsia="仿宋_GB2312"/>
                <w:sz w:val="24"/>
                <w:b/>
              </w:rPr>
              <w:t>名</w:t>
            </w:r>
            <w:r>
              <w:rPr>
                <w:rFonts w:ascii="仿宋_GB2312" w:hAnsi="仿宋_GB2312" w:cs="仿宋_GB2312" w:eastAsia="仿宋_GB2312"/>
                <w:sz w:val="24"/>
                <w:b/>
              </w:rPr>
              <w:t>称</w:t>
            </w:r>
          </w:p>
        </w:tc>
        <w:tc>
          <w:tcPr>
            <w:tcW w:type="dxa" w:w="4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服务范围及具体内容</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年限</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安全秩序维护</w:t>
            </w:r>
          </w:p>
        </w:tc>
        <w:tc>
          <w:tcPr>
            <w:tcW w:type="dxa" w:w="479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包括但不限于殡仪馆办公楼、综合业务楼、吊唁厅、告别厅、守灵厅、火化车间、祭祀区等区域的安保、保洁、绿化、设施设备维护保养、房屋修缮养护等物业服务。</w:t>
            </w:r>
          </w:p>
        </w:tc>
        <w:tc>
          <w:tcPr>
            <w:tcW w:type="dxa" w:w="8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一年</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保洁绿化服务</w:t>
            </w:r>
          </w:p>
        </w:tc>
        <w:tc>
          <w:tcPr>
            <w:tcW w:type="dxa" w:w="4798"/>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后勤维保服务</w:t>
            </w:r>
          </w:p>
        </w:tc>
        <w:tc>
          <w:tcPr>
            <w:tcW w:type="dxa" w:w="4798"/>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8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房屋修缮养护</w:t>
            </w:r>
          </w:p>
        </w:tc>
        <w:tc>
          <w:tcPr>
            <w:tcW w:type="dxa" w:w="4798"/>
            <w:vMerge/>
            <w:tcBorders>
              <w:top w:val="none" w:color="000000" w:sz="4"/>
              <w:left w:val="single" w:color="000000" w:sz="4"/>
              <w:bottom w:val="single" w:color="000000" w:sz="4"/>
              <w:right w:val="single" w:color="000000" w:sz="4"/>
            </w:tcBorders>
          </w:tcPr>
          <w:p/>
        </w:tc>
        <w:tc>
          <w:tcPr>
            <w:tcW w:type="dxa" w:w="855"/>
            <w:vMerge/>
            <w:tcBorders>
              <w:top w:val="none" w:color="000000" w:sz="4"/>
              <w:left w:val="single" w:color="000000" w:sz="4"/>
              <w:bottom w:val="single" w:color="000000" w:sz="4"/>
              <w:right w:val="single" w:color="000000" w:sz="4"/>
            </w:tcBorders>
          </w:tcPr>
          <w:p/>
        </w:tc>
      </w:tr>
    </w:tbl>
    <w:p>
      <w:pPr>
        <w:pStyle w:val="null3"/>
        <w:ind w:firstLine="482"/>
        <w:jc w:val="left"/>
      </w:pPr>
      <w:r>
        <w:rPr>
          <w:rFonts w:ascii="仿宋_GB2312" w:hAnsi="仿宋_GB2312" w:cs="仿宋_GB2312" w:eastAsia="仿宋_GB2312"/>
          <w:sz w:val="24"/>
          <w:shd w:fill="FFFFFF" w:val="clear"/>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具体岗位配置</w:t>
      </w:r>
    </w:p>
    <w:tbl>
      <w:tblPr>
        <w:tblW w:w="0" w:type="auto"/>
        <w:tblBorders>
          <w:top w:val="none" w:color="000000" w:sz="4"/>
          <w:left w:val="none" w:color="000000" w:sz="4"/>
          <w:bottom w:val="none" w:color="000000" w:sz="4"/>
          <w:right w:val="none" w:color="000000" w:sz="4"/>
          <w:insideH w:val="none"/>
          <w:insideV w:val="none"/>
        </w:tblBorders>
      </w:tblPr>
      <w:tblGrid>
        <w:gridCol w:w="439"/>
        <w:gridCol w:w="550"/>
        <w:gridCol w:w="1897"/>
        <w:gridCol w:w="623"/>
        <w:gridCol w:w="4794"/>
      </w:tblGrid>
      <w:tr>
        <w:tc>
          <w:tcPr>
            <w:tcW w:type="dxa" w:w="43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p>
          <w:p>
            <w:pPr>
              <w:pStyle w:val="null3"/>
              <w:jc w:val="center"/>
            </w:pPr>
            <w:r>
              <w:rPr>
                <w:rFonts w:ascii="仿宋_GB2312" w:hAnsi="仿宋_GB2312" w:cs="仿宋_GB2312" w:eastAsia="仿宋_GB2312"/>
                <w:sz w:val="24"/>
              </w:rPr>
              <w:t>长乐区殡仪馆岗位配置</w:t>
            </w:r>
          </w:p>
          <w:p>
            <w:pPr>
              <w:pStyle w:val="null3"/>
              <w:jc w:val="center"/>
            </w:pPr>
            <w:r>
              <w:rPr>
                <w:rFonts w:ascii="仿宋_GB2312" w:hAnsi="仿宋_GB2312" w:cs="仿宋_GB2312" w:eastAsia="仿宋_GB2312"/>
                <w:sz w:val="24"/>
              </w:rPr>
              <w:t>长乐区殡仪馆岗位配置</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职务</w:t>
            </w:r>
          </w:p>
        </w:tc>
        <w:tc>
          <w:tcPr>
            <w:tcW w:type="dxa" w:w="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人数</w:t>
            </w:r>
          </w:p>
        </w:tc>
        <w:tc>
          <w:tcPr>
            <w:tcW w:type="dxa" w:w="47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岗位设置</w:t>
            </w:r>
          </w:p>
        </w:tc>
      </w:tr>
      <w:tr>
        <w:tc>
          <w:tcPr>
            <w:tcW w:type="dxa" w:w="439"/>
            <w:vMerge/>
            <w:tcBorders>
              <w:top w:val="single" w:color="000000" w:sz="4"/>
              <w:left w:val="single" w:color="000000" w:sz="4"/>
              <w:bottom w:val="single" w:color="000000" w:sz="4"/>
              <w:right w:val="single" w:color="000000" w:sz="4"/>
            </w:tcBorders>
          </w:tcPr>
          <w:p/>
        </w:tc>
        <w:tc>
          <w:tcPr>
            <w:tcW w:type="dxa" w:w="5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服务中心</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p>
            <w:pPr>
              <w:pStyle w:val="null3"/>
              <w:jc w:val="center"/>
            </w:pPr>
            <w:r>
              <w:rPr>
                <w:rFonts w:ascii="仿宋_GB2312" w:hAnsi="仿宋_GB2312" w:cs="仿宋_GB2312" w:eastAsia="仿宋_GB2312"/>
                <w:sz w:val="24"/>
              </w:rPr>
              <w:t>(管理人员)</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全面负责殡仪馆物业事务</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保安队长</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负责殡仪馆整体安保工作（含秩序引导、巡逻、消控）</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保洁主管</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负责殡仪馆整体保洁工作</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办公文员</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协助处理相关文字工作与物业后勤物资管理。</w:t>
            </w:r>
          </w:p>
        </w:tc>
      </w:tr>
      <w:tr>
        <w:tc>
          <w:tcPr>
            <w:tcW w:type="dxa" w:w="439"/>
            <w:vMerge/>
            <w:tcBorders>
              <w:top w:val="single" w:color="000000" w:sz="4"/>
              <w:left w:val="single" w:color="000000" w:sz="4"/>
              <w:bottom w:val="single" w:color="000000" w:sz="4"/>
              <w:right w:val="single" w:color="000000" w:sz="4"/>
            </w:tcBorders>
          </w:tcPr>
          <w:p/>
        </w:tc>
        <w:tc>
          <w:tcPr>
            <w:tcW w:type="dxa" w:w="5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大门岗</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早班</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c>
          <w:tcPr>
            <w:tcW w:type="dxa" w:w="4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1.维护大门口良好秩序，保持门口畅通，严格掌控进出人员动态。</w:t>
            </w:r>
          </w:p>
          <w:p>
            <w:pPr>
              <w:pStyle w:val="null3"/>
              <w:jc w:val="left"/>
            </w:pPr>
            <w:r>
              <w:rPr>
                <w:rFonts w:ascii="仿宋_GB2312" w:hAnsi="仿宋_GB2312" w:cs="仿宋_GB2312" w:eastAsia="仿宋_GB2312"/>
                <w:sz w:val="24"/>
              </w:rPr>
              <w:t>2.督导车辆有序停放，保障车辆停放安全，确保馆内交通畅顺，出入有序。</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中班</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vMerge/>
            <w:tcBorders>
              <w:top w:val="none" w:color="000000" w:sz="4"/>
              <w:left w:val="single" w:color="000000" w:sz="4"/>
              <w:bottom w:val="single" w:color="000000" w:sz="4"/>
              <w:right w:val="single" w:color="000000" w:sz="4"/>
            </w:tcBorders>
          </w:tcP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晚班</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vMerge/>
            <w:tcBorders>
              <w:top w:val="none" w:color="000000" w:sz="4"/>
              <w:left w:val="single" w:color="000000" w:sz="4"/>
              <w:bottom w:val="single" w:color="000000" w:sz="4"/>
              <w:right w:val="single" w:color="000000" w:sz="4"/>
            </w:tcBorders>
          </w:tcPr>
          <w:p/>
        </w:tc>
      </w:tr>
      <w:tr>
        <w:tc>
          <w:tcPr>
            <w:tcW w:type="dxa" w:w="439"/>
            <w:vMerge/>
            <w:tcBorders>
              <w:top w:val="single" w:color="000000" w:sz="4"/>
              <w:left w:val="single" w:color="000000" w:sz="4"/>
              <w:bottom w:val="single" w:color="000000" w:sz="4"/>
              <w:right w:val="single" w:color="000000" w:sz="4"/>
            </w:tcBorders>
          </w:tcPr>
          <w:p/>
        </w:tc>
        <w:tc>
          <w:tcPr>
            <w:tcW w:type="dxa" w:w="5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巡逻分队</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早班</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c>
          <w:tcPr>
            <w:tcW w:type="dxa" w:w="4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1.巡查殡仪馆区域内治安、公共设施设备、设备房、消防器材。</w:t>
            </w:r>
          </w:p>
          <w:p>
            <w:pPr>
              <w:pStyle w:val="null3"/>
              <w:jc w:val="left"/>
            </w:pPr>
            <w:r>
              <w:rPr>
                <w:rFonts w:ascii="仿宋_GB2312" w:hAnsi="仿宋_GB2312" w:cs="仿宋_GB2312" w:eastAsia="仿宋_GB2312"/>
                <w:sz w:val="24"/>
              </w:rPr>
              <w:t>2.引导丧属在指定区域内祭拜、燃放鞭炮等，确保祭拜用火安全。</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中班</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c>
          <w:tcPr>
            <w:tcW w:type="dxa" w:w="4794"/>
            <w:vMerge/>
            <w:tcBorders>
              <w:top w:val="none" w:color="000000" w:sz="4"/>
              <w:left w:val="single" w:color="000000" w:sz="4"/>
              <w:bottom w:val="single" w:color="000000" w:sz="4"/>
              <w:right w:val="single" w:color="000000" w:sz="4"/>
            </w:tcBorders>
          </w:tcP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晚班</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c>
          <w:tcPr>
            <w:tcW w:type="dxa" w:w="4794"/>
            <w:vMerge/>
            <w:tcBorders>
              <w:top w:val="none" w:color="000000" w:sz="4"/>
              <w:left w:val="single" w:color="000000" w:sz="4"/>
              <w:bottom w:val="single" w:color="000000" w:sz="4"/>
              <w:right w:val="single" w:color="000000" w:sz="4"/>
            </w:tcBorders>
          </w:tcPr>
          <w:p/>
        </w:tc>
      </w:tr>
      <w:tr>
        <w:tc>
          <w:tcPr>
            <w:tcW w:type="dxa" w:w="439"/>
            <w:vMerge/>
            <w:tcBorders>
              <w:top w:val="single" w:color="000000" w:sz="4"/>
              <w:left w:val="single" w:color="000000" w:sz="4"/>
              <w:bottom w:val="single" w:color="000000" w:sz="4"/>
              <w:right w:val="single" w:color="000000" w:sz="4"/>
            </w:tcBorders>
          </w:tcPr>
          <w:p/>
        </w:tc>
        <w:tc>
          <w:tcPr>
            <w:tcW w:type="dxa" w:w="5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秩序引导分队</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火化业务区</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6人</w:t>
            </w:r>
          </w:p>
        </w:tc>
        <w:tc>
          <w:tcPr>
            <w:tcW w:type="dxa" w:w="4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1.引导丧属办理火化手续，以及相关程序的对接与现场秩序维护。</w:t>
            </w:r>
          </w:p>
          <w:p>
            <w:pPr>
              <w:pStyle w:val="null3"/>
              <w:jc w:val="left"/>
            </w:pPr>
            <w:r>
              <w:rPr>
                <w:rFonts w:ascii="仿宋_GB2312" w:hAnsi="仿宋_GB2312" w:cs="仿宋_GB2312" w:eastAsia="仿宋_GB2312"/>
                <w:sz w:val="24"/>
              </w:rPr>
              <w:t>2.配合灵车在卸尸台做好遗体消毒和火化前的准备工作。</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收费业务区</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vMerge/>
            <w:tcBorders>
              <w:top w:val="none" w:color="000000" w:sz="4"/>
              <w:left w:val="single" w:color="000000" w:sz="4"/>
              <w:bottom w:val="single" w:color="000000" w:sz="4"/>
              <w:right w:val="single" w:color="000000" w:sz="4"/>
            </w:tcBorders>
          </w:tcP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吊唁厅</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c>
          <w:tcPr>
            <w:tcW w:type="dxa" w:w="4794"/>
            <w:vMerge/>
            <w:tcBorders>
              <w:top w:val="none" w:color="000000" w:sz="4"/>
              <w:left w:val="single" w:color="000000" w:sz="4"/>
              <w:bottom w:val="single" w:color="000000" w:sz="4"/>
              <w:right w:val="single" w:color="000000" w:sz="4"/>
            </w:tcBorders>
          </w:tcP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联排守灵厅</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vMerge/>
            <w:tcBorders>
              <w:top w:val="none" w:color="000000" w:sz="4"/>
              <w:left w:val="single" w:color="000000" w:sz="4"/>
              <w:bottom w:val="single" w:color="000000" w:sz="4"/>
              <w:right w:val="single" w:color="000000" w:sz="4"/>
            </w:tcBorders>
          </w:tcPr>
          <w:p/>
        </w:tc>
      </w:tr>
      <w:tr>
        <w:tc>
          <w:tcPr>
            <w:tcW w:type="dxa" w:w="439"/>
            <w:vMerge/>
            <w:tcBorders>
              <w:top w:val="single" w:color="000000" w:sz="4"/>
              <w:left w:val="single" w:color="000000" w:sz="4"/>
              <w:bottom w:val="single" w:color="000000" w:sz="4"/>
              <w:right w:val="single" w:color="000000" w:sz="4"/>
            </w:tcBorders>
          </w:tcPr>
          <w:p/>
        </w:tc>
        <w:tc>
          <w:tcPr>
            <w:tcW w:type="dxa" w:w="5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消控室</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早班</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c>
          <w:tcPr>
            <w:tcW w:type="dxa" w:w="4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注意观察监控范围内的各种动态情况，并及时报各有关岗位，并实时监控火灾自动报警系统、消防联动控制系统等设备的运行状况。接到报警电话应立即用对讲机通知就近的保安人员赶赴现场予以处置，同时做好详细记录。</w:t>
            </w:r>
          </w:p>
          <w:p>
            <w:pPr>
              <w:pStyle w:val="null3"/>
              <w:jc w:val="left"/>
            </w:pPr>
            <w:r>
              <w:rPr>
                <w:rFonts w:ascii="仿宋_GB2312" w:hAnsi="仿宋_GB2312" w:cs="仿宋_GB2312" w:eastAsia="仿宋_GB2312"/>
                <w:sz w:val="24"/>
              </w:rPr>
              <w:t>2.定期对消防设施设备进行检查、测试和保养，确保其处于良好状态，发现异常及时处理。</w:t>
            </w:r>
            <w:r>
              <w:rPr>
                <w:rFonts w:ascii="仿宋_GB2312" w:hAnsi="仿宋_GB2312" w:cs="仿宋_GB2312" w:eastAsia="仿宋_GB2312"/>
                <w:sz w:val="24"/>
                <w:b/>
              </w:rPr>
              <w:t>注：</w:t>
            </w:r>
            <w:r>
              <w:rPr>
                <w:rFonts w:ascii="仿宋_GB2312" w:hAnsi="仿宋_GB2312" w:cs="仿宋_GB2312" w:eastAsia="仿宋_GB2312"/>
                <w:sz w:val="24"/>
                <w:b/>
              </w:rPr>
              <w:t>需持有中级及以上</w:t>
            </w:r>
            <w:r>
              <w:rPr>
                <w:rFonts w:ascii="仿宋_GB2312" w:hAnsi="仿宋_GB2312" w:cs="仿宋_GB2312" w:eastAsia="仿宋_GB2312"/>
                <w:sz w:val="24"/>
                <w:b/>
              </w:rPr>
              <w:t>消防设施操作员</w:t>
            </w:r>
            <w:r>
              <w:rPr>
                <w:rFonts w:ascii="仿宋_GB2312" w:hAnsi="仿宋_GB2312" w:cs="仿宋_GB2312" w:eastAsia="仿宋_GB2312"/>
                <w:sz w:val="24"/>
                <w:b/>
              </w:rPr>
              <w:t>证书</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中班</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c>
          <w:tcPr>
            <w:tcW w:type="dxa" w:w="4794"/>
            <w:vMerge/>
            <w:tcBorders>
              <w:top w:val="none" w:color="000000" w:sz="4"/>
              <w:left w:val="single" w:color="000000" w:sz="4"/>
              <w:bottom w:val="single" w:color="000000" w:sz="4"/>
              <w:right w:val="single" w:color="000000" w:sz="4"/>
            </w:tcBorders>
          </w:tcP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晚班</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c>
          <w:tcPr>
            <w:tcW w:type="dxa" w:w="4794"/>
            <w:vMerge/>
            <w:tcBorders>
              <w:top w:val="none" w:color="000000" w:sz="4"/>
              <w:left w:val="single" w:color="000000" w:sz="4"/>
              <w:bottom w:val="single" w:color="000000" w:sz="4"/>
              <w:right w:val="single" w:color="000000" w:sz="4"/>
            </w:tcBorders>
          </w:tcPr>
          <w:p/>
        </w:tc>
      </w:tr>
      <w:tr>
        <w:tc>
          <w:tcPr>
            <w:tcW w:type="dxa" w:w="439"/>
            <w:vMerge/>
            <w:tcBorders>
              <w:top w:val="single" w:color="000000" w:sz="4"/>
              <w:left w:val="single" w:color="000000" w:sz="4"/>
              <w:bottom w:val="single" w:color="000000" w:sz="4"/>
              <w:right w:val="single" w:color="000000" w:sz="4"/>
            </w:tcBorders>
          </w:tcPr>
          <w:p/>
        </w:tc>
        <w:tc>
          <w:tcPr>
            <w:tcW w:type="dxa" w:w="5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保洁班</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综合业务楼</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负责楼内和楼外、公共区域卫生</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联排守灵厅</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负责楼内和楼外、公共区域卫生</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办公楼</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负责楼内、楼外和公共区域卫生</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骨灰楼（旧馆）</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负责楼内、楼外和公共区域卫生</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外围道路（含各类阶梯）</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负责殡仪馆外围主干道和阶梯区域卫生</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垃圾清运工</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负责馆内垃圾分类、清运</w:t>
            </w:r>
          </w:p>
        </w:tc>
      </w:tr>
      <w:tr>
        <w:tc>
          <w:tcPr>
            <w:tcW w:type="dxa" w:w="439"/>
            <w:vMerge/>
            <w:tcBorders>
              <w:top w:val="single" w:color="000000" w:sz="4"/>
              <w:left w:val="single" w:color="000000" w:sz="4"/>
              <w:bottom w:val="single" w:color="000000" w:sz="4"/>
              <w:right w:val="single" w:color="000000" w:sz="4"/>
            </w:tcBorders>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绿化班</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w:t>
            </w:r>
            <w:r>
              <w:rPr>
                <w:rFonts w:ascii="仿宋_GB2312" w:hAnsi="仿宋_GB2312" w:cs="仿宋_GB2312" w:eastAsia="仿宋_GB2312"/>
                <w:sz w:val="24"/>
              </w:rPr>
              <w:t>工</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负责殡仪馆整体绿化绿植养护、灌溉、修剪（含上下停车场区域卫生）</w:t>
            </w:r>
          </w:p>
        </w:tc>
      </w:tr>
      <w:tr>
        <w:tc>
          <w:tcPr>
            <w:tcW w:type="dxa" w:w="439"/>
            <w:vMerge/>
            <w:tcBorders>
              <w:top w:val="single" w:color="000000" w:sz="4"/>
              <w:left w:val="single" w:color="000000" w:sz="4"/>
              <w:bottom w:val="single" w:color="000000" w:sz="4"/>
              <w:right w:val="single" w:color="000000" w:sz="4"/>
            </w:tcBorders>
          </w:tcPr>
          <w:p/>
        </w:tc>
        <w:tc>
          <w:tcPr>
            <w:tcW w:type="dxa" w:w="5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后勤维保班</w:t>
            </w: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水电工</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负责殡仪馆水电设施的日常维护、维修和运行管理，包括供水、供电及水电设施的检查、保养和维修工作。</w:t>
            </w:r>
          </w:p>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需持有高压电工证</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维修工</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负责殡仪馆设施设备的日常维护和基础性维修工作，包括但不限于冷藏、消毒、告别厅音响灯光设备等，确保各项设备能够正常运转</w:t>
            </w:r>
            <w:r>
              <w:rPr>
                <w:rFonts w:ascii="仿宋_GB2312" w:hAnsi="仿宋_GB2312" w:cs="仿宋_GB2312" w:eastAsia="仿宋_GB2312"/>
                <w:sz w:val="24"/>
              </w:rPr>
              <w:t>。</w:t>
            </w:r>
            <w:r>
              <w:rPr>
                <w:rFonts w:ascii="仿宋_GB2312" w:hAnsi="仿宋_GB2312" w:cs="仿宋_GB2312" w:eastAsia="仿宋_GB2312"/>
                <w:sz w:val="24"/>
                <w:b/>
              </w:rPr>
              <w:t>注：</w:t>
            </w:r>
            <w:r>
              <w:rPr>
                <w:rFonts w:ascii="仿宋_GB2312" w:hAnsi="仿宋_GB2312" w:cs="仿宋_GB2312" w:eastAsia="仿宋_GB2312"/>
                <w:sz w:val="24"/>
                <w:b/>
              </w:rPr>
              <w:t>需持有低压电工证</w:t>
            </w:r>
          </w:p>
        </w:tc>
      </w:tr>
      <w:tr>
        <w:tc>
          <w:tcPr>
            <w:tcW w:type="dxa" w:w="439"/>
            <w:vMerge/>
            <w:tcBorders>
              <w:top w:val="single" w:color="000000" w:sz="4"/>
              <w:left w:val="single" w:color="000000" w:sz="4"/>
              <w:bottom w:val="single" w:color="000000" w:sz="4"/>
              <w:right w:val="single" w:color="000000" w:sz="4"/>
            </w:tcBorders>
          </w:tcPr>
          <w:p/>
        </w:tc>
        <w:tc>
          <w:tcPr>
            <w:tcW w:type="dxa" w:w="550"/>
            <w:vMerge/>
            <w:tcBorders>
              <w:top w:val="none" w:color="000000" w:sz="4"/>
              <w:left w:val="single" w:color="000000" w:sz="4"/>
              <w:bottom w:val="single" w:color="000000" w:sz="4"/>
              <w:right w:val="single" w:color="000000" w:sz="4"/>
            </w:tcBorders>
          </w:tc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消防维保员</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负责殡仪馆消防设施正常运行及维修维护</w:t>
            </w:r>
          </w:p>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需持有中级及以上</w:t>
            </w:r>
            <w:r>
              <w:rPr>
                <w:rFonts w:ascii="仿宋_GB2312" w:hAnsi="仿宋_GB2312" w:cs="仿宋_GB2312" w:eastAsia="仿宋_GB2312"/>
                <w:sz w:val="24"/>
                <w:b/>
              </w:rPr>
              <w:t>消防设施操作员</w:t>
            </w:r>
            <w:r>
              <w:rPr>
                <w:rFonts w:ascii="仿宋_GB2312" w:hAnsi="仿宋_GB2312" w:cs="仿宋_GB2312" w:eastAsia="仿宋_GB2312"/>
                <w:sz w:val="24"/>
                <w:b/>
              </w:rPr>
              <w:t>证书</w:t>
            </w:r>
          </w:p>
        </w:tc>
      </w:tr>
      <w:tr>
        <w:tc>
          <w:tcPr>
            <w:tcW w:type="dxa" w:w="439"/>
            <w:vMerge/>
            <w:tcBorders>
              <w:top w:val="single" w:color="000000" w:sz="4"/>
              <w:left w:val="single" w:color="000000" w:sz="4"/>
              <w:bottom w:val="single" w:color="000000" w:sz="4"/>
              <w:right w:val="single" w:color="000000" w:sz="4"/>
            </w:tcBorders>
          </w:tcP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总人数</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人</w:t>
            </w:r>
          </w:p>
        </w:tc>
        <w:tc>
          <w:tcPr>
            <w:tcW w:type="dxa" w:w="47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未经采购人书面同意，服务公司不得随意调整以上人员配备，否则，被调减的岗位人员以缺岗计算，扣除相应物业服务费；多出标配人数的岗位不予增加物业服务费</w:t>
            </w:r>
            <w:r>
              <w:rPr>
                <w:rFonts w:ascii="仿宋_GB2312" w:hAnsi="仿宋_GB2312" w:cs="仿宋_GB2312" w:eastAsia="仿宋_GB2312"/>
                <w:sz w:val="24"/>
              </w:rPr>
              <w:t>。</w:t>
            </w:r>
          </w:p>
        </w:tc>
      </w:tr>
      <w:tr>
        <w:tc>
          <w:tcPr>
            <w:tcW w:type="dxa" w:w="830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注：</w:t>
            </w:r>
            <w:r>
              <w:rPr>
                <w:rFonts w:ascii="仿宋_GB2312" w:hAnsi="仿宋_GB2312" w:cs="仿宋_GB2312" w:eastAsia="仿宋_GB2312"/>
                <w:sz w:val="24"/>
                <w:b/>
                <w:color w:val="000000"/>
              </w:rPr>
              <w:t>以上人员需要持证上岗的，投标人须承诺</w:t>
            </w:r>
            <w:r>
              <w:rPr>
                <w:rFonts w:ascii="仿宋_GB2312" w:hAnsi="仿宋_GB2312" w:cs="仿宋_GB2312" w:eastAsia="仿宋_GB2312"/>
                <w:sz w:val="24"/>
                <w:b/>
                <w:color w:val="000000"/>
              </w:rPr>
              <w:t>中标后</w:t>
            </w:r>
            <w:r>
              <w:rPr>
                <w:rFonts w:ascii="仿宋_GB2312" w:hAnsi="仿宋_GB2312" w:cs="仿宋_GB2312" w:eastAsia="仿宋_GB2312"/>
                <w:sz w:val="24"/>
                <w:b/>
                <w:color w:val="000000"/>
              </w:rPr>
              <w:t>人员上岗前能够提供证书核查</w:t>
            </w:r>
            <w:r>
              <w:rPr>
                <w:rFonts w:ascii="仿宋_GB2312" w:hAnsi="仿宋_GB2312" w:cs="仿宋_GB2312" w:eastAsia="仿宋_GB2312"/>
                <w:sz w:val="24"/>
                <w:b/>
                <w:color w:val="000000"/>
              </w:rPr>
              <w:t>，投标人须提供承诺函（格式自拟），未提供承诺函的按无效投标处理。</w:t>
            </w:r>
          </w:p>
        </w:tc>
      </w:tr>
    </w:tbl>
    <w:p>
      <w:pPr>
        <w:pStyle w:val="null3"/>
        <w:jc w:val="both"/>
      </w:pPr>
      <w:r>
        <w:rPr>
          <w:rFonts w:ascii="仿宋_GB2312" w:hAnsi="仿宋_GB2312" w:cs="仿宋_GB2312" w:eastAsia="仿宋_GB2312"/>
          <w:sz w:val="24"/>
          <w:b/>
          <w:color w:val="000000"/>
        </w:rPr>
        <w:t>★（三）总体要求：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中标人</w:t>
      </w:r>
      <w:r>
        <w:rPr>
          <w:rFonts w:ascii="仿宋_GB2312" w:hAnsi="仿宋_GB2312" w:cs="仿宋_GB2312" w:eastAsia="仿宋_GB2312"/>
          <w:sz w:val="24"/>
        </w:rPr>
        <w:t>拟投入本项目的所有人员在职年龄不超过法定延迟退休年龄，</w:t>
      </w:r>
      <w:r>
        <w:rPr>
          <w:rFonts w:ascii="仿宋_GB2312" w:hAnsi="仿宋_GB2312" w:cs="仿宋_GB2312" w:eastAsia="仿宋_GB2312"/>
          <w:sz w:val="24"/>
        </w:rPr>
        <w:t>按照国家有关规定取得相应职业资格证书或岗位证书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投标人须</w:t>
      </w:r>
      <w:r>
        <w:rPr>
          <w:rFonts w:ascii="仿宋_GB2312" w:hAnsi="仿宋_GB2312" w:cs="仿宋_GB2312" w:eastAsia="仿宋_GB2312"/>
          <w:sz w:val="24"/>
        </w:rPr>
        <w:t>明确所配人员结构、人员数量，每人每周工作</w:t>
      </w:r>
      <w:r>
        <w:rPr>
          <w:rFonts w:ascii="仿宋_GB2312" w:hAnsi="仿宋_GB2312" w:cs="仿宋_GB2312" w:eastAsia="仿宋_GB2312"/>
          <w:sz w:val="24"/>
        </w:rPr>
        <w:t>6天，每天八小时。消防控制室需保障一天三班值班人员，每班次2人，全年不间断工作。</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.所有人员上岗前要求提供无犯罪记录证明材料及健康证（需保证所有服务人员每年体检一次），由中标人</w:t>
      </w:r>
      <w:r>
        <w:rPr>
          <w:rFonts w:ascii="仿宋_GB2312" w:hAnsi="仿宋_GB2312" w:cs="仿宋_GB2312" w:eastAsia="仿宋_GB2312"/>
          <w:sz w:val="24"/>
          <w:color w:val="000000"/>
        </w:rPr>
        <w:t>登记造册</w:t>
      </w:r>
      <w:r>
        <w:rPr>
          <w:rFonts w:ascii="仿宋_GB2312" w:hAnsi="仿宋_GB2312" w:cs="仿宋_GB2312" w:eastAsia="仿宋_GB2312"/>
          <w:sz w:val="24"/>
          <w:color w:val="000000"/>
        </w:rPr>
        <w:t>（附聘用人员的身份证复印件）后报</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备案。服务人员每月变动更新信息应及时报采购人备案。</w:t>
      </w:r>
      <w:r>
        <w:rPr>
          <w:rFonts w:ascii="仿宋_GB2312" w:hAnsi="仿宋_GB2312" w:cs="仿宋_GB2312" w:eastAsia="仿宋_GB2312"/>
          <w:sz w:val="24"/>
          <w:color w:val="000000"/>
        </w:rPr>
        <w:t>未按要求提供无犯罪记录证明材料及健康证</w:t>
      </w:r>
      <w:r>
        <w:rPr>
          <w:rFonts w:ascii="仿宋_GB2312" w:hAnsi="仿宋_GB2312" w:cs="仿宋_GB2312" w:eastAsia="仿宋_GB2312"/>
          <w:sz w:val="24"/>
          <w:color w:val="000000"/>
        </w:rPr>
        <w:t>的</w:t>
      </w:r>
      <w:r>
        <w:rPr>
          <w:rFonts w:ascii="仿宋_GB2312" w:hAnsi="仿宋_GB2312" w:cs="仿宋_GB2312" w:eastAsia="仿宋_GB2312"/>
          <w:sz w:val="24"/>
          <w:color w:val="000000"/>
        </w:rPr>
        <w:t>人员扣</w:t>
      </w:r>
      <w:r>
        <w:rPr>
          <w:rFonts w:ascii="仿宋_GB2312" w:hAnsi="仿宋_GB2312" w:cs="仿宋_GB2312" w:eastAsia="仿宋_GB2312"/>
          <w:sz w:val="24"/>
          <w:color w:val="000000"/>
        </w:rPr>
        <w:t>100元，</w:t>
      </w:r>
      <w:r>
        <w:rPr>
          <w:rFonts w:ascii="仿宋_GB2312" w:hAnsi="仿宋_GB2312" w:cs="仿宋_GB2312" w:eastAsia="仿宋_GB2312"/>
          <w:sz w:val="24"/>
          <w:color w:val="000000"/>
        </w:rPr>
        <w:t>七个工作日内未补齐的扣除当季服务费的百分之</w:t>
      </w:r>
      <w:r>
        <w:rPr>
          <w:rFonts w:ascii="仿宋_GB2312" w:hAnsi="仿宋_GB2312" w:cs="仿宋_GB2312" w:eastAsia="仿宋_GB2312"/>
          <w:sz w:val="24"/>
          <w:color w:val="000000"/>
        </w:rPr>
        <w:t>5%违约金</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.所有人员要求统一着</w:t>
      </w:r>
      <w:r>
        <w:rPr>
          <w:rFonts w:ascii="仿宋_GB2312" w:hAnsi="仿宋_GB2312" w:cs="仿宋_GB2312" w:eastAsia="仿宋_GB2312"/>
          <w:sz w:val="24"/>
        </w:rPr>
        <w:t>装，持证上岗，</w:t>
      </w:r>
      <w:r>
        <w:rPr>
          <w:rFonts w:ascii="仿宋_GB2312" w:hAnsi="仿宋_GB2312" w:cs="仿宋_GB2312" w:eastAsia="仿宋_GB2312"/>
          <w:sz w:val="24"/>
          <w:color w:val="000000"/>
        </w:rPr>
        <w:t>佩带明显的标识，所有人员证件必须有工号、姓名、岗位职务与个人照片等信息，工作人员对应的责任区域要相对固定，人员岗前培训率达到</w:t>
      </w:r>
      <w:r>
        <w:rPr>
          <w:rFonts w:ascii="仿宋_GB2312" w:hAnsi="仿宋_GB2312" w:cs="仿宋_GB2312" w:eastAsia="仿宋_GB2312"/>
          <w:sz w:val="24"/>
          <w:color w:val="000000"/>
        </w:rPr>
        <w:t>100%，上岗人员合格率达到100%</w:t>
      </w:r>
      <w:r>
        <w:rPr>
          <w:rFonts w:ascii="仿宋_GB2312" w:hAnsi="仿宋_GB2312" w:cs="仿宋_GB2312" w:eastAsia="仿宋_GB2312"/>
          <w:sz w:val="24"/>
          <w:color w:val="000000"/>
        </w:rPr>
        <w:t>，</w:t>
      </w:r>
      <w:r>
        <w:rPr>
          <w:rFonts w:ascii="仿宋_GB2312" w:hAnsi="仿宋_GB2312" w:cs="仿宋_GB2312" w:eastAsia="仿宋_GB2312"/>
          <w:sz w:val="24"/>
          <w:color w:val="000000"/>
        </w:rPr>
        <w:t>安保人员中退役军人占比不低于</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.在日常工作中部门提出的问题和建议一般不超过4小时解决或解答，比较复杂问题，2天内予以解决。</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.完成</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临时要求的其它保障工作。如遇到活动或检查时要完成突击保洁任务。</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.中标人应根据各服务岗位人员需求量进行人员数量的合理配备，在履行合同过程中如出现人员配备量无法满足岗位需求的情况，应按岗位实际需要人数进行调整配备。</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.中标人必须配有足量通讯联系工具，能及时调度，二十四小时服务值班。</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中标人中标后，本项目所有人员需根据采购人实际需求进行岗位调配。</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）服务具体范围要求：</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1】</w:t>
      </w:r>
      <w:r>
        <w:rPr>
          <w:rFonts w:ascii="仿宋_GB2312" w:hAnsi="仿宋_GB2312" w:cs="仿宋_GB2312" w:eastAsia="仿宋_GB2312"/>
          <w:sz w:val="24"/>
          <w:b/>
        </w:rPr>
        <w:t>1.环境保洁：</w:t>
      </w:r>
    </w:p>
    <w:p>
      <w:pPr>
        <w:pStyle w:val="null3"/>
        <w:ind w:firstLine="480"/>
        <w:jc w:val="left"/>
      </w:pPr>
      <w:r>
        <w:rPr>
          <w:rFonts w:ascii="仿宋_GB2312" w:hAnsi="仿宋_GB2312" w:cs="仿宋_GB2312" w:eastAsia="仿宋_GB2312"/>
          <w:sz w:val="24"/>
        </w:rPr>
        <w:t>1.1负责馆内指定范围楼内和楼外、外围主干道和阶梯区域卫生、公共区域卫生。</w:t>
      </w:r>
    </w:p>
    <w:p>
      <w:pPr>
        <w:pStyle w:val="null3"/>
        <w:ind w:firstLine="480"/>
        <w:jc w:val="left"/>
      </w:pPr>
      <w:r>
        <w:rPr>
          <w:rFonts w:ascii="仿宋_GB2312" w:hAnsi="仿宋_GB2312" w:cs="仿宋_GB2312" w:eastAsia="仿宋_GB2312"/>
          <w:sz w:val="24"/>
        </w:rPr>
        <w:t>1.2及时收集垃圾并运送，垃圾做到日产日清。</w:t>
      </w:r>
    </w:p>
    <w:p>
      <w:pPr>
        <w:pStyle w:val="null3"/>
        <w:ind w:firstLine="480"/>
        <w:jc w:val="left"/>
      </w:pPr>
      <w:r>
        <w:rPr>
          <w:rFonts w:ascii="仿宋_GB2312" w:hAnsi="仿宋_GB2312" w:cs="仿宋_GB2312" w:eastAsia="仿宋_GB2312"/>
          <w:sz w:val="24"/>
        </w:rPr>
        <w:t>1.4为避免尘土飞扬，地面干拖应使用尘推加牵尘剂的方法进行处理。</w:t>
      </w:r>
    </w:p>
    <w:p>
      <w:pPr>
        <w:pStyle w:val="null3"/>
        <w:ind w:firstLine="480"/>
        <w:jc w:val="left"/>
      </w:pPr>
      <w:r>
        <w:rPr>
          <w:rFonts w:ascii="仿宋_GB2312" w:hAnsi="仿宋_GB2312" w:cs="仿宋_GB2312" w:eastAsia="仿宋_GB2312"/>
          <w:sz w:val="24"/>
        </w:rPr>
        <w:t>1.7中标人提供保洁用的清洁剂、洗涤剂、消毒剂材料，这些消耗品必须是通过国家卫生部审批准予使用，并符合相关的要求的产品。</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安全要求</w:t>
      </w:r>
    </w:p>
    <w:p>
      <w:pPr>
        <w:pStyle w:val="null3"/>
        <w:ind w:firstLine="480"/>
        <w:jc w:val="left"/>
      </w:pPr>
      <w:r>
        <w:rPr>
          <w:rFonts w:ascii="仿宋_GB2312" w:hAnsi="仿宋_GB2312" w:cs="仿宋_GB2312" w:eastAsia="仿宋_GB2312"/>
          <w:sz w:val="24"/>
          <w:color w:val="000000"/>
        </w:rPr>
        <w:t>2.1安全目标：文明管理、无安全事故；</w:t>
      </w:r>
    </w:p>
    <w:p>
      <w:pPr>
        <w:pStyle w:val="null3"/>
        <w:ind w:firstLine="480"/>
        <w:jc w:val="left"/>
      </w:pPr>
      <w:r>
        <w:rPr>
          <w:rFonts w:ascii="仿宋_GB2312" w:hAnsi="仿宋_GB2312" w:cs="仿宋_GB2312" w:eastAsia="仿宋_GB2312"/>
          <w:sz w:val="24"/>
          <w:color w:val="000000"/>
        </w:rPr>
        <w:t>2.2执行标准：《中华人民共和国安全生产法》；</w:t>
      </w:r>
    </w:p>
    <w:p>
      <w:pPr>
        <w:pStyle w:val="null3"/>
        <w:ind w:firstLine="482"/>
        <w:jc w:val="left"/>
      </w:pPr>
      <w:r>
        <w:rPr>
          <w:rFonts w:ascii="仿宋_GB2312" w:hAnsi="仿宋_GB2312" w:cs="仿宋_GB2312" w:eastAsia="仿宋_GB2312"/>
          <w:sz w:val="24"/>
          <w:b/>
        </w:rPr>
        <w:t>3.安保管理服务</w:t>
      </w:r>
      <w:r>
        <w:rPr>
          <w:rFonts w:ascii="仿宋_GB2312" w:hAnsi="仿宋_GB2312" w:cs="仿宋_GB2312" w:eastAsia="仿宋_GB2312"/>
        </w:rPr>
        <w:t xml:space="preserve"> </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rPr>
        <w:t>3</w:t>
      </w:r>
      <w:r>
        <w:rPr>
          <w:rFonts w:ascii="仿宋_GB2312" w:hAnsi="仿宋_GB2312" w:cs="仿宋_GB2312" w:eastAsia="仿宋_GB2312"/>
          <w:sz w:val="24"/>
        </w:rPr>
        <w:t>.1人员素质要求：</w:t>
      </w:r>
    </w:p>
    <w:p>
      <w:pPr>
        <w:pStyle w:val="null3"/>
        <w:ind w:firstLine="480"/>
        <w:jc w:val="left"/>
      </w:pPr>
      <w:r>
        <w:rPr>
          <w:rFonts w:ascii="仿宋_GB2312" w:hAnsi="仿宋_GB2312" w:cs="仿宋_GB2312" w:eastAsia="仿宋_GB2312"/>
          <w:sz w:val="24"/>
        </w:rPr>
        <w:t>3.1.1政审合格，品德良好，工作态度端正，责任心强，无不良记录；</w:t>
      </w:r>
    </w:p>
    <w:p>
      <w:pPr>
        <w:pStyle w:val="null3"/>
        <w:ind w:firstLine="480"/>
        <w:jc w:val="left"/>
      </w:pPr>
      <w:r>
        <w:rPr>
          <w:rFonts w:ascii="仿宋_GB2312" w:hAnsi="仿宋_GB2312" w:cs="仿宋_GB2312" w:eastAsia="仿宋_GB2312"/>
          <w:sz w:val="24"/>
        </w:rPr>
        <w:t>3.1.2接受过专业训练，业务熟练，机智勇敢；</w:t>
      </w:r>
    </w:p>
    <w:p>
      <w:pPr>
        <w:pStyle w:val="null3"/>
        <w:ind w:firstLine="480"/>
        <w:jc w:val="left"/>
      </w:pPr>
      <w:r>
        <w:rPr>
          <w:rFonts w:ascii="仿宋_GB2312" w:hAnsi="仿宋_GB2312" w:cs="仿宋_GB2312" w:eastAsia="仿宋_GB2312"/>
          <w:sz w:val="24"/>
        </w:rPr>
        <w:t>3.1.3消防监控室人员</w:t>
      </w:r>
      <w:r>
        <w:rPr>
          <w:rFonts w:ascii="仿宋_GB2312" w:hAnsi="仿宋_GB2312" w:cs="仿宋_GB2312" w:eastAsia="仿宋_GB2312"/>
          <w:sz w:val="24"/>
        </w:rPr>
        <w:t>需</w:t>
      </w:r>
      <w:r>
        <w:rPr>
          <w:rFonts w:ascii="仿宋_GB2312" w:hAnsi="仿宋_GB2312" w:cs="仿宋_GB2312" w:eastAsia="仿宋_GB2312"/>
          <w:sz w:val="24"/>
        </w:rPr>
        <w:t>业务熟练，按要求做好各种相关记录，能胜任本职工作；</w:t>
      </w:r>
    </w:p>
    <w:p>
      <w:pPr>
        <w:pStyle w:val="null3"/>
        <w:ind w:firstLine="480"/>
        <w:jc w:val="left"/>
      </w:pPr>
      <w:r>
        <w:rPr>
          <w:rFonts w:ascii="仿宋_GB2312" w:hAnsi="仿宋_GB2312" w:cs="仿宋_GB2312" w:eastAsia="仿宋_GB2312"/>
          <w:sz w:val="24"/>
        </w:rPr>
        <w:t>3.1.4精力充沛、身体健康，形体符合工作要求。</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rPr>
        <w:t>3.2工作岗位职责：</w:t>
      </w:r>
    </w:p>
    <w:p>
      <w:pPr>
        <w:pStyle w:val="null3"/>
        <w:ind w:firstLine="480"/>
        <w:jc w:val="left"/>
      </w:pPr>
      <w:r>
        <w:rPr>
          <w:rFonts w:ascii="仿宋_GB2312" w:hAnsi="仿宋_GB2312" w:cs="仿宋_GB2312" w:eastAsia="仿宋_GB2312"/>
          <w:sz w:val="24"/>
        </w:rPr>
        <w:t>3.2.</w:t>
      </w:r>
      <w:r>
        <w:rPr>
          <w:rFonts w:ascii="仿宋_GB2312" w:hAnsi="仿宋_GB2312" w:cs="仿宋_GB2312" w:eastAsia="仿宋_GB2312"/>
          <w:sz w:val="24"/>
        </w:rPr>
        <w:t>1</w:t>
      </w:r>
      <w:r>
        <w:rPr>
          <w:rFonts w:ascii="仿宋_GB2312" w:hAnsi="仿宋_GB2312" w:cs="仿宋_GB2312" w:eastAsia="仿宋_GB2312"/>
          <w:sz w:val="24"/>
        </w:rPr>
        <w:t>负责出门大件物品、进门不明物品的查验、登记；</w:t>
      </w:r>
    </w:p>
    <w:p>
      <w:pPr>
        <w:pStyle w:val="null3"/>
        <w:ind w:firstLine="480"/>
        <w:jc w:val="left"/>
      </w:pPr>
      <w:r>
        <w:rPr>
          <w:rFonts w:ascii="仿宋_GB2312" w:hAnsi="仿宋_GB2312" w:cs="仿宋_GB2312" w:eastAsia="仿宋_GB2312"/>
          <w:sz w:val="24"/>
        </w:rPr>
        <w:t>3.2.</w:t>
      </w:r>
      <w:r>
        <w:rPr>
          <w:rFonts w:ascii="仿宋_GB2312" w:hAnsi="仿宋_GB2312" w:cs="仿宋_GB2312" w:eastAsia="仿宋_GB2312"/>
          <w:sz w:val="24"/>
        </w:rPr>
        <w:t>2</w:t>
      </w:r>
      <w:r>
        <w:rPr>
          <w:rFonts w:ascii="仿宋_GB2312" w:hAnsi="仿宋_GB2312" w:cs="仿宋_GB2312" w:eastAsia="仿宋_GB2312"/>
          <w:sz w:val="24"/>
        </w:rPr>
        <w:t>负责消防、监控、安全等相关各项工作，</w:t>
      </w:r>
      <w:r>
        <w:rPr>
          <w:rFonts w:ascii="仿宋_GB2312" w:hAnsi="仿宋_GB2312" w:cs="仿宋_GB2312" w:eastAsia="仿宋_GB2312"/>
          <w:sz w:val="24"/>
        </w:rPr>
        <w:t>24小时对消防安全进行监控并巡查院区的消防安全；</w:t>
      </w:r>
    </w:p>
    <w:p>
      <w:pPr>
        <w:pStyle w:val="null3"/>
        <w:ind w:firstLine="480"/>
        <w:jc w:val="left"/>
      </w:pPr>
      <w:r>
        <w:rPr>
          <w:rFonts w:ascii="仿宋_GB2312" w:hAnsi="仿宋_GB2312" w:cs="仿宋_GB2312" w:eastAsia="仿宋_GB2312"/>
          <w:sz w:val="24"/>
        </w:rPr>
        <w:t>3.2.</w:t>
      </w:r>
      <w:r>
        <w:rPr>
          <w:rFonts w:ascii="仿宋_GB2312" w:hAnsi="仿宋_GB2312" w:cs="仿宋_GB2312" w:eastAsia="仿宋_GB2312"/>
          <w:sz w:val="24"/>
        </w:rPr>
        <w:t>3</w:t>
      </w:r>
      <w:r>
        <w:rPr>
          <w:rFonts w:ascii="仿宋_GB2312" w:hAnsi="仿宋_GB2312" w:cs="仿宋_GB2312" w:eastAsia="仿宋_GB2312"/>
          <w:sz w:val="24"/>
        </w:rPr>
        <w:t>接受上级相关部门的管理和检查，达到</w:t>
      </w:r>
      <w:r>
        <w:rPr>
          <w:rFonts w:ascii="仿宋_GB2312" w:hAnsi="仿宋_GB2312" w:cs="仿宋_GB2312" w:eastAsia="仿宋_GB2312"/>
          <w:sz w:val="24"/>
        </w:rPr>
        <w:t>要求</w:t>
      </w:r>
      <w:r>
        <w:rPr>
          <w:rFonts w:ascii="仿宋_GB2312" w:hAnsi="仿宋_GB2312" w:cs="仿宋_GB2312" w:eastAsia="仿宋_GB2312"/>
          <w:sz w:val="24"/>
        </w:rPr>
        <w:t>标准；</w:t>
      </w:r>
    </w:p>
    <w:p>
      <w:pPr>
        <w:pStyle w:val="null3"/>
        <w:ind w:firstLine="480"/>
        <w:jc w:val="left"/>
      </w:pPr>
      <w:r>
        <w:rPr>
          <w:rFonts w:ascii="仿宋_GB2312" w:hAnsi="仿宋_GB2312" w:cs="仿宋_GB2312" w:eastAsia="仿宋_GB2312"/>
          <w:sz w:val="24"/>
        </w:rPr>
        <w:t>3.2.</w:t>
      </w:r>
      <w:r>
        <w:rPr>
          <w:rFonts w:ascii="仿宋_GB2312" w:hAnsi="仿宋_GB2312" w:cs="仿宋_GB2312" w:eastAsia="仿宋_GB2312"/>
          <w:sz w:val="24"/>
        </w:rPr>
        <w:t>4</w:t>
      </w:r>
      <w:r>
        <w:rPr>
          <w:rFonts w:ascii="仿宋_GB2312" w:hAnsi="仿宋_GB2312" w:cs="仿宋_GB2312" w:eastAsia="仿宋_GB2312"/>
          <w:sz w:val="24"/>
        </w:rPr>
        <w:t>完成</w:t>
      </w:r>
      <w:r>
        <w:rPr>
          <w:rFonts w:ascii="仿宋_GB2312" w:hAnsi="仿宋_GB2312" w:cs="仿宋_GB2312" w:eastAsia="仿宋_GB2312"/>
          <w:sz w:val="24"/>
        </w:rPr>
        <w:t>采购人</w:t>
      </w:r>
      <w:r>
        <w:rPr>
          <w:rFonts w:ascii="仿宋_GB2312" w:hAnsi="仿宋_GB2312" w:cs="仿宋_GB2312" w:eastAsia="仿宋_GB2312"/>
          <w:sz w:val="24"/>
        </w:rPr>
        <w:t>交办的其它工作（如搬运零星物品</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rPr>
        <w:t>3.3服务要求：</w:t>
      </w:r>
    </w:p>
    <w:p>
      <w:pPr>
        <w:pStyle w:val="null3"/>
        <w:ind w:firstLine="480"/>
        <w:jc w:val="left"/>
      </w:pPr>
      <w:r>
        <w:rPr>
          <w:rFonts w:ascii="仿宋_GB2312" w:hAnsi="仿宋_GB2312" w:cs="仿宋_GB2312" w:eastAsia="仿宋_GB2312"/>
          <w:sz w:val="24"/>
        </w:rPr>
        <w:t>3.3.1按规定着装，举止文明，符合礼节；语言礼貌，态度热情；</w:t>
      </w:r>
    </w:p>
    <w:p>
      <w:pPr>
        <w:pStyle w:val="null3"/>
        <w:ind w:firstLine="480"/>
        <w:jc w:val="left"/>
      </w:pPr>
      <w:r>
        <w:rPr>
          <w:rFonts w:ascii="仿宋_GB2312" w:hAnsi="仿宋_GB2312" w:cs="仿宋_GB2312" w:eastAsia="仿宋_GB2312"/>
          <w:sz w:val="24"/>
        </w:rPr>
        <w:t>3.3.2保证</w:t>
      </w:r>
      <w:r>
        <w:rPr>
          <w:rFonts w:ascii="仿宋_GB2312" w:hAnsi="仿宋_GB2312" w:cs="仿宋_GB2312" w:eastAsia="仿宋_GB2312"/>
          <w:sz w:val="24"/>
        </w:rPr>
        <w:t>馆内</w:t>
      </w:r>
      <w:r>
        <w:rPr>
          <w:rFonts w:ascii="仿宋_GB2312" w:hAnsi="仿宋_GB2312" w:cs="仿宋_GB2312" w:eastAsia="仿宋_GB2312"/>
          <w:sz w:val="24"/>
        </w:rPr>
        <w:t>正常的办公秩序井然有序，不受任何干扰和影响，无吸烟、大声喧哗、推销、叫卖、携带宠物等现象；</w:t>
      </w:r>
    </w:p>
    <w:p>
      <w:pPr>
        <w:pStyle w:val="null3"/>
        <w:ind w:firstLine="480"/>
        <w:jc w:val="left"/>
      </w:pPr>
      <w:r>
        <w:rPr>
          <w:rFonts w:ascii="仿宋_GB2312" w:hAnsi="仿宋_GB2312" w:cs="仿宋_GB2312" w:eastAsia="仿宋_GB2312"/>
          <w:sz w:val="24"/>
        </w:rPr>
        <w:t>3.3.3确保整个区域内无火灾、无治安事件、无安全隐患；</w:t>
      </w:r>
    </w:p>
    <w:p>
      <w:pPr>
        <w:pStyle w:val="null3"/>
        <w:ind w:firstLine="480"/>
        <w:jc w:val="left"/>
      </w:pPr>
      <w:r>
        <w:rPr>
          <w:rFonts w:ascii="仿宋_GB2312" w:hAnsi="仿宋_GB2312" w:cs="仿宋_GB2312" w:eastAsia="仿宋_GB2312"/>
          <w:sz w:val="24"/>
        </w:rPr>
        <w:t>3.3.</w:t>
      </w:r>
      <w:r>
        <w:rPr>
          <w:rFonts w:ascii="仿宋_GB2312" w:hAnsi="仿宋_GB2312" w:cs="仿宋_GB2312" w:eastAsia="仿宋_GB2312"/>
          <w:sz w:val="24"/>
        </w:rPr>
        <w:t>4</w:t>
      </w:r>
      <w:r>
        <w:rPr>
          <w:rFonts w:ascii="仿宋_GB2312" w:hAnsi="仿宋_GB2312" w:cs="仿宋_GB2312" w:eastAsia="仿宋_GB2312"/>
          <w:sz w:val="24"/>
        </w:rPr>
        <w:t>有效地配合公安部门打击区域内违法犯罪行为。高效的巡视和值班制度：安保人员</w:t>
      </w:r>
      <w:r>
        <w:rPr>
          <w:rFonts w:ascii="仿宋_GB2312" w:hAnsi="仿宋_GB2312" w:cs="仿宋_GB2312" w:eastAsia="仿宋_GB2312"/>
          <w:sz w:val="24"/>
        </w:rPr>
        <w:t>24小时巡视、值班，分为门卫、电视监控和流动巡逻三方面；</w:t>
      </w:r>
    </w:p>
    <w:p>
      <w:pPr>
        <w:pStyle w:val="null3"/>
        <w:ind w:firstLine="480"/>
        <w:jc w:val="left"/>
      </w:pPr>
      <w:r>
        <w:rPr>
          <w:rFonts w:ascii="仿宋_GB2312" w:hAnsi="仿宋_GB2312" w:cs="仿宋_GB2312" w:eastAsia="仿宋_GB2312"/>
          <w:sz w:val="24"/>
        </w:rPr>
        <w:t>3.3.5</w:t>
      </w:r>
      <w:r>
        <w:rPr>
          <w:rFonts w:ascii="仿宋_GB2312" w:hAnsi="仿宋_GB2312" w:cs="仿宋_GB2312" w:eastAsia="仿宋_GB2312"/>
          <w:sz w:val="24"/>
        </w:rPr>
        <w:t>承担抢险救灾及社会治安责任</w:t>
      </w:r>
      <w:r>
        <w:rPr>
          <w:rFonts w:ascii="仿宋_GB2312" w:hAnsi="仿宋_GB2312" w:cs="仿宋_GB2312" w:eastAsia="仿宋_GB2312"/>
          <w:sz w:val="24"/>
        </w:rPr>
        <w:t>，</w:t>
      </w:r>
      <w:r>
        <w:rPr>
          <w:rFonts w:ascii="仿宋_GB2312" w:hAnsi="仿宋_GB2312" w:cs="仿宋_GB2312" w:eastAsia="仿宋_GB2312"/>
          <w:sz w:val="24"/>
        </w:rPr>
        <w:t>协助做好处置突发事件</w:t>
      </w:r>
      <w:r>
        <w:rPr>
          <w:rFonts w:ascii="仿宋_GB2312" w:hAnsi="仿宋_GB2312" w:cs="仿宋_GB2312" w:eastAsia="仿宋_GB2312"/>
          <w:sz w:val="24"/>
        </w:rPr>
        <w:t>、</w:t>
      </w:r>
      <w:r>
        <w:rPr>
          <w:rFonts w:ascii="仿宋_GB2312" w:hAnsi="仿宋_GB2312" w:cs="仿宋_GB2312" w:eastAsia="仿宋_GB2312"/>
          <w:sz w:val="24"/>
        </w:rPr>
        <w:t>具有急救知识及消防管理常识</w:t>
      </w:r>
      <w:r>
        <w:rPr>
          <w:rFonts w:ascii="仿宋_GB2312" w:hAnsi="仿宋_GB2312" w:cs="仿宋_GB2312" w:eastAsia="仿宋_GB2312"/>
          <w:sz w:val="24"/>
        </w:rPr>
        <w:t>相关工作等</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3.3.</w:t>
      </w:r>
      <w:r>
        <w:rPr>
          <w:rFonts w:ascii="仿宋_GB2312" w:hAnsi="仿宋_GB2312" w:cs="仿宋_GB2312" w:eastAsia="仿宋_GB2312"/>
          <w:sz w:val="24"/>
        </w:rPr>
        <w:t>6</w:t>
      </w:r>
      <w:r>
        <w:rPr>
          <w:rFonts w:ascii="仿宋_GB2312" w:hAnsi="仿宋_GB2312" w:cs="仿宋_GB2312" w:eastAsia="仿宋_GB2312"/>
          <w:sz w:val="24"/>
        </w:rPr>
        <w:t>建立相关制度，做好每日巡查记录。</w:t>
      </w:r>
    </w:p>
    <w:p>
      <w:pPr>
        <w:pStyle w:val="null3"/>
        <w:ind w:firstLine="482"/>
        <w:jc w:val="left"/>
      </w:pPr>
      <w:r>
        <w:rPr>
          <w:rFonts w:ascii="仿宋_GB2312" w:hAnsi="仿宋_GB2312" w:cs="仿宋_GB2312" w:eastAsia="仿宋_GB2312"/>
          <w:sz w:val="24"/>
          <w:b/>
        </w:rPr>
        <w:t>4</w:t>
      </w:r>
      <w:r>
        <w:rPr>
          <w:rFonts w:ascii="仿宋_GB2312" w:hAnsi="仿宋_GB2312" w:cs="仿宋_GB2312" w:eastAsia="仿宋_GB2312"/>
          <w:sz w:val="24"/>
          <w:b/>
        </w:rPr>
        <w:t>.卫生保洁服务标准</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rPr>
        <w:t>4</w:t>
      </w:r>
      <w:r>
        <w:rPr>
          <w:rFonts w:ascii="仿宋_GB2312" w:hAnsi="仿宋_GB2312" w:cs="仿宋_GB2312" w:eastAsia="仿宋_GB2312"/>
          <w:sz w:val="24"/>
        </w:rPr>
        <w:t>.1外围环境保洁标准</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.1.1外围道路</w:t>
      </w:r>
      <w:r>
        <w:rPr>
          <w:rFonts w:ascii="仿宋_GB2312" w:hAnsi="仿宋_GB2312" w:cs="仿宋_GB2312" w:eastAsia="仿宋_GB2312"/>
          <w:sz w:val="24"/>
        </w:rPr>
        <w:t>，</w:t>
      </w:r>
      <w:r>
        <w:rPr>
          <w:rFonts w:ascii="仿宋_GB2312" w:hAnsi="仿宋_GB2312" w:cs="仿宋_GB2312" w:eastAsia="仿宋_GB2312"/>
          <w:sz w:val="24"/>
        </w:rPr>
        <w:t>通道保洁无积尘、树叶、纸屑等；每</w:t>
      </w:r>
      <w:r>
        <w:rPr>
          <w:rFonts w:ascii="仿宋_GB2312" w:hAnsi="仿宋_GB2312" w:cs="仿宋_GB2312" w:eastAsia="仿宋_GB2312"/>
          <w:sz w:val="24"/>
        </w:rPr>
        <w:t>100平方米弃物不超过5个，滞留不超过30分钟；</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.1.2相关指示牌保洁表面污物，污痕等；玻璃保持整洁，无积尘土无附属物；室外的垃圾桶保持表面清洁，无积尘，无附属物；地面定期进行冲洗。</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rPr>
        <w:t>4</w:t>
      </w:r>
      <w:r>
        <w:rPr>
          <w:rFonts w:ascii="仿宋_GB2312" w:hAnsi="仿宋_GB2312" w:cs="仿宋_GB2312" w:eastAsia="仿宋_GB2312"/>
          <w:sz w:val="24"/>
        </w:rPr>
        <w:t>.2室内保洁标准</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.2.1地面要求无纸屑、烟头、果壳等杂物；</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.2.2地面保持无积水、无灰尘，大厅地面光亮清洁；</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.2.3垃圾筒表面清洁，经常更换垃圾袋，经常清洗；垃圾袋装量不得超过四分之三就需要更换；</w:t>
      </w:r>
    </w:p>
    <w:p>
      <w:pPr>
        <w:pStyle w:val="null3"/>
        <w:ind w:firstLine="480"/>
        <w:jc w:val="left"/>
      </w:pPr>
      <w:r>
        <w:rPr>
          <w:rFonts w:ascii="仿宋_GB2312" w:hAnsi="仿宋_GB2312" w:cs="仿宋_GB2312" w:eastAsia="仿宋_GB2312"/>
          <w:sz w:val="24"/>
        </w:rPr>
        <w:t>2.2.4各科室门窗保持清洁；卫生间内设施必须保持整洁，无积粪、无水锈，空气无异味；公共区域的桌椅定期擦洗、消毒；</w:t>
      </w:r>
    </w:p>
    <w:p>
      <w:pPr>
        <w:pStyle w:val="null3"/>
        <w:ind w:firstLine="480"/>
        <w:jc w:val="left"/>
      </w:pPr>
      <w:r>
        <w:rPr>
          <w:rFonts w:ascii="仿宋_GB2312" w:hAnsi="仿宋_GB2312" w:cs="仿宋_GB2312" w:eastAsia="仿宋_GB2312"/>
          <w:sz w:val="24"/>
        </w:rPr>
        <w:t>2.2.</w:t>
      </w:r>
      <w:r>
        <w:rPr>
          <w:rFonts w:ascii="仿宋_GB2312" w:hAnsi="仿宋_GB2312" w:cs="仿宋_GB2312" w:eastAsia="仿宋_GB2312"/>
          <w:sz w:val="24"/>
        </w:rPr>
        <w:t>5</w:t>
      </w:r>
      <w:r>
        <w:rPr>
          <w:rFonts w:ascii="仿宋_GB2312" w:hAnsi="仿宋_GB2312" w:cs="仿宋_GB2312" w:eastAsia="仿宋_GB2312"/>
          <w:sz w:val="24"/>
        </w:rPr>
        <w:t>办公桌椅摆放整齐，桌面保持整洁；灯具明亮，无直径</w:t>
      </w:r>
      <w:r>
        <w:rPr>
          <w:rFonts w:ascii="仿宋_GB2312" w:hAnsi="仿宋_GB2312" w:cs="仿宋_GB2312" w:eastAsia="仿宋_GB2312"/>
          <w:sz w:val="24"/>
        </w:rPr>
        <w:t>0.5厘米污渍、无死虫等黏附物。天花板、墙壁发现有污点，及时处理，保持没有蜘蛛网。</w:t>
      </w:r>
    </w:p>
    <w:p>
      <w:pPr>
        <w:pStyle w:val="null3"/>
        <w:ind w:firstLine="480"/>
        <w:jc w:val="left"/>
      </w:pPr>
      <w:r>
        <w:rPr>
          <w:rFonts w:ascii="仿宋_GB2312" w:hAnsi="仿宋_GB2312" w:cs="仿宋_GB2312" w:eastAsia="仿宋_GB2312"/>
          <w:sz w:val="24"/>
        </w:rPr>
        <w:t>2.2.</w:t>
      </w:r>
      <w:r>
        <w:rPr>
          <w:rFonts w:ascii="仿宋_GB2312" w:hAnsi="仿宋_GB2312" w:cs="仿宋_GB2312" w:eastAsia="仿宋_GB2312"/>
          <w:sz w:val="24"/>
        </w:rPr>
        <w:t>6</w:t>
      </w:r>
      <w:r>
        <w:rPr>
          <w:rFonts w:ascii="仿宋_GB2312" w:hAnsi="仿宋_GB2312" w:cs="仿宋_GB2312" w:eastAsia="仿宋_GB2312"/>
          <w:sz w:val="24"/>
        </w:rPr>
        <w:t>保洁工具以颜色、大小分开使用。</w:t>
      </w:r>
    </w:p>
    <w:p>
      <w:pPr>
        <w:pStyle w:val="null3"/>
        <w:ind w:firstLine="482"/>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.绿化养护管理要求</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.1绿化养护管理的对象包括：乔木、灌木、绿篱、花坛、垂直绿化、草坪及绿地附属设施。</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.2绿化养护管理的主要内容包括：绿地保洁、淋水、除草、修剪、施肥、除虫害、植保等。</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10</w:t>
      </w:r>
      <w:r>
        <w:rPr>
          <w:rFonts w:ascii="仿宋_GB2312" w:hAnsi="仿宋_GB2312" w:cs="仿宋_GB2312" w:eastAsia="仿宋_GB2312"/>
          <w:sz w:val="24"/>
          <w:b/>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.3要求有专业人员持证上岗对公共绿化进行养护管理。绿化管养服务要求为：</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.3.1草坪管理的要求：生长良好，草坪整齐雅观，四季常绿，覆盖率达95%以上，杂草率低于3%，无坑洼积水。</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.3.2灌木和花卉管理的要求：生长良好，花繁叶茂，造型美观，具有一定的艺术感和立体感。</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.3.3乔木管理的要求：生长良好，枝叶健壮，树形美观，行道树下缘线整齐，修剪适度，无死树缺株，无枯枝残叶，景观效果良好。</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.3.4垂直绿化管理的要求：攀缘植物生长良好，整齐雅观，覆盖率达95%以上，一年四季常绿(落叶植物除外)，有花攀缘植物要适时开花。</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.3.5园路管理的要求：路面保持清洁、美观、完好无损，要求及时清除路面垃圾，保持路面干净、美观，以增强园林美化。</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.3.6绿化垃圾要求摆放在隐蔽的地方，垃圾做到日产日清，不过夜、不焚烧。</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.3.7绿地维护管理的要求：绿地红线范围内不被侵占，绿地完整。花草树木不受破坏，无乱摆，乱停乱放的现象。</w:t>
      </w:r>
    </w:p>
    <w:p>
      <w:pPr>
        <w:pStyle w:val="null3"/>
        <w:ind w:firstLine="482"/>
        <w:jc w:val="left"/>
      </w:pPr>
      <w:r>
        <w:rPr>
          <w:rFonts w:ascii="仿宋_GB2312" w:hAnsi="仿宋_GB2312" w:cs="仿宋_GB2312" w:eastAsia="仿宋_GB2312"/>
          <w:sz w:val="24"/>
          <w:b/>
        </w:rPr>
        <w:t>6</w:t>
      </w:r>
      <w:r>
        <w:rPr>
          <w:rFonts w:ascii="仿宋_GB2312" w:hAnsi="仿宋_GB2312" w:cs="仿宋_GB2312" w:eastAsia="仿宋_GB2312"/>
          <w:sz w:val="24"/>
          <w:b/>
        </w:rPr>
        <w:t>.综合维修</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11</w:t>
      </w: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.1服务内容：</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.1.1负责</w:t>
      </w:r>
      <w:r>
        <w:rPr>
          <w:rFonts w:ascii="仿宋_GB2312" w:hAnsi="仿宋_GB2312" w:cs="仿宋_GB2312" w:eastAsia="仿宋_GB2312"/>
          <w:sz w:val="24"/>
        </w:rPr>
        <w:t>馆</w:t>
      </w:r>
      <w:r>
        <w:rPr>
          <w:rFonts w:ascii="仿宋_GB2312" w:hAnsi="仿宋_GB2312" w:cs="仿宋_GB2312" w:eastAsia="仿宋_GB2312"/>
          <w:sz w:val="24"/>
        </w:rPr>
        <w:t>内建筑物及院落的室内外维护修缮工作，包括门窗玻璃破损，地面修补维护，墙面、屋顶修补（墙角、踢脚）维护等，并做好相关记录。各类办公家具的小修，五金配件的更换工作，并做好相关记录；</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.1.2配合其他班组对责任区内的各种设备设施进行调整、检修、更换，并做好相关记录；</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对各种未签维保协议的设备，进行日常巡视，并做好相关记录；</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对所有设备出现故障时进行必要的应急检查、处理，并做好相关记录；</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根据工作需要持证上岗；</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负责发放停电、停水、停气等影响用户方面的各种通知，并做好相关记录；</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负责维护维修包括家用电器类、日常用具类及一些未详但属于后勤部门管辖的物业和设施。</w:t>
      </w:r>
    </w:p>
    <w:p>
      <w:pPr>
        <w:pStyle w:val="null3"/>
        <w:ind w:firstLine="480"/>
        <w:jc w:val="both"/>
      </w:pPr>
      <w:r>
        <w:rPr>
          <w:rFonts w:ascii="仿宋_GB2312" w:hAnsi="仿宋_GB2312" w:cs="仿宋_GB2312" w:eastAsia="仿宋_GB2312"/>
          <w:sz w:val="24"/>
          <w:color w:val="000000"/>
        </w:rPr>
        <w:t>6.1.8</w:t>
      </w:r>
      <w:r>
        <w:rPr>
          <w:rFonts w:ascii="仿宋_GB2312" w:hAnsi="仿宋_GB2312" w:cs="仿宋_GB2312" w:eastAsia="仿宋_GB2312"/>
          <w:sz w:val="24"/>
          <w:color w:val="000000"/>
        </w:rPr>
        <w:t>中标人应根据本项目的特点，提供切实可行的管理方案、人员配备情况、人员招聘计划、人员培训计划、确保人员相对稳定的措施，并承诺其方案将根据招标人的实际需要进行完善和补充，在工作内容和工作范围不改变的情况下不得追加任何费用。</w:t>
      </w:r>
    </w:p>
    <w:p>
      <w:pPr>
        <w:pStyle w:val="null3"/>
        <w:ind w:firstLine="480"/>
        <w:jc w:val="both"/>
      </w:pPr>
      <w:r>
        <w:rPr>
          <w:rFonts w:ascii="仿宋_GB2312" w:hAnsi="仿宋_GB2312" w:cs="仿宋_GB2312" w:eastAsia="仿宋_GB2312"/>
          <w:sz w:val="24"/>
          <w:color w:val="000000"/>
        </w:rPr>
        <w:t>6.1.9</w:t>
      </w:r>
      <w:r>
        <w:rPr>
          <w:rFonts w:ascii="仿宋_GB2312" w:hAnsi="仿宋_GB2312" w:cs="仿宋_GB2312" w:eastAsia="仿宋_GB2312"/>
          <w:sz w:val="24"/>
          <w:color w:val="000000"/>
        </w:rPr>
        <w:t>中标人应接受馆内制定的各种规章制度，并根据项目管理的需要建立各种规范化管理制度、各岗位工作标准及工作流程、考核制度及其他相关的工作制度。</w:t>
      </w:r>
    </w:p>
    <w:p>
      <w:pPr>
        <w:pStyle w:val="null3"/>
        <w:ind w:firstLine="482"/>
        <w:jc w:val="left"/>
      </w:pPr>
      <w:r>
        <w:rPr>
          <w:rFonts w:ascii="仿宋_GB2312" w:hAnsi="仿宋_GB2312" w:cs="仿宋_GB2312" w:eastAsia="仿宋_GB2312"/>
          <w:sz w:val="24"/>
          <w:b/>
        </w:rPr>
        <w:t>【评分项</w:t>
      </w:r>
      <w:r>
        <w:rPr>
          <w:rFonts w:ascii="仿宋_GB2312" w:hAnsi="仿宋_GB2312" w:cs="仿宋_GB2312" w:eastAsia="仿宋_GB2312"/>
          <w:sz w:val="24"/>
          <w:b/>
        </w:rPr>
        <w:t>12</w:t>
      </w: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.2服务要求</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.2.1重点突出“安全第一，经济运行”的运行方针；</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.2.2承诺日常维护98%执行，设备设施完好率98%，维修及时率98%，急修及时率100%；维修工程质量合格率98%；</w:t>
      </w:r>
      <w:r>
        <w:rPr>
          <w:rFonts w:ascii="仿宋_GB2312" w:hAnsi="仿宋_GB2312" w:cs="仿宋_GB2312" w:eastAsia="仿宋_GB2312"/>
          <w:sz w:val="24"/>
        </w:rPr>
        <w:t>馆内</w:t>
      </w:r>
      <w:r>
        <w:rPr>
          <w:rFonts w:ascii="仿宋_GB2312" w:hAnsi="仿宋_GB2312" w:cs="仿宋_GB2312" w:eastAsia="仿宋_GB2312"/>
          <w:sz w:val="24"/>
        </w:rPr>
        <w:t>职工满意度</w:t>
      </w:r>
      <w:r>
        <w:rPr>
          <w:rFonts w:ascii="仿宋_GB2312" w:hAnsi="仿宋_GB2312" w:cs="仿宋_GB2312" w:eastAsia="仿宋_GB2312"/>
          <w:sz w:val="24"/>
        </w:rPr>
        <w:t>90%以上；</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.2.3要求对报修等数据进行汇总和统计，能随时提供相应的数据，给采购人的决策进行支持；</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.2.4建立完善的规章制度和岗位职责、操作流程、应急预案；</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.2.5中标人对员工岗前培训，且每年至少对员工进行两次岗位培训并做好记录；</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中标人每天</w:t>
      </w:r>
      <w:r>
        <w:rPr>
          <w:rFonts w:ascii="仿宋_GB2312" w:hAnsi="仿宋_GB2312" w:cs="仿宋_GB2312" w:eastAsia="仿宋_GB2312"/>
          <w:sz w:val="24"/>
        </w:rPr>
        <w:t>24小时提供紧急维修服务，对紧急报修10分钟内作出响应并马上修复，常规报修2小时内作出响应并修复；</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积极配合</w:t>
      </w:r>
      <w:r>
        <w:rPr>
          <w:rFonts w:ascii="仿宋_GB2312" w:hAnsi="仿宋_GB2312" w:cs="仿宋_GB2312" w:eastAsia="仿宋_GB2312"/>
          <w:sz w:val="24"/>
        </w:rPr>
        <w:t>馆内</w:t>
      </w:r>
      <w:r>
        <w:rPr>
          <w:rFonts w:ascii="仿宋_GB2312" w:hAnsi="仿宋_GB2312" w:cs="仿宋_GB2312" w:eastAsia="仿宋_GB2312"/>
          <w:sz w:val="24"/>
        </w:rPr>
        <w:t>完成各项指令性任务和迎检工作</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shd w:fill="FFFFFF" w:val="clear"/>
        </w:rPr>
        <w:t>★</w:t>
      </w:r>
      <w:r>
        <w:rPr>
          <w:rFonts w:ascii="仿宋_GB2312" w:hAnsi="仿宋_GB2312" w:cs="仿宋_GB2312" w:eastAsia="仿宋_GB2312"/>
          <w:sz w:val="24"/>
          <w:b/>
        </w:rPr>
        <w:t>（五）设备要求</w:t>
      </w:r>
    </w:p>
    <w:p>
      <w:pPr>
        <w:pStyle w:val="null3"/>
        <w:ind w:firstLine="480"/>
        <w:jc w:val="left"/>
      </w:pPr>
      <w:r>
        <w:rPr>
          <w:rFonts w:ascii="仿宋_GB2312" w:hAnsi="仿宋_GB2312" w:cs="仿宋_GB2312" w:eastAsia="仿宋_GB2312"/>
          <w:sz w:val="24"/>
        </w:rPr>
        <w:t>投标人为完成垃圾清运保障任务</w:t>
      </w:r>
      <w:r>
        <w:rPr>
          <w:rFonts w:ascii="仿宋_GB2312" w:hAnsi="仿宋_GB2312" w:cs="仿宋_GB2312" w:eastAsia="仿宋_GB2312"/>
          <w:sz w:val="24"/>
        </w:rPr>
        <w:t>需提供</w:t>
      </w:r>
      <w:r>
        <w:rPr>
          <w:rFonts w:ascii="仿宋_GB2312" w:hAnsi="仿宋_GB2312" w:cs="仿宋_GB2312" w:eastAsia="仿宋_GB2312"/>
          <w:sz w:val="24"/>
        </w:rPr>
        <w:t>压缩式垃圾车、清洗吸污车、车厢可卸式垃圾车、餐厨垃圾车</w:t>
      </w:r>
      <w:r>
        <w:rPr>
          <w:rFonts w:ascii="仿宋_GB2312" w:hAnsi="仿宋_GB2312" w:cs="仿宋_GB2312" w:eastAsia="仿宋_GB2312"/>
          <w:sz w:val="24"/>
        </w:rPr>
        <w:t>各一辆。</w:t>
      </w:r>
      <w:r>
        <w:rPr>
          <w:rFonts w:ascii="仿宋_GB2312" w:hAnsi="仿宋_GB2312" w:cs="仿宋_GB2312" w:eastAsia="仿宋_GB2312"/>
          <w:sz w:val="24"/>
        </w:rPr>
        <w:t>投标人须提供承诺函（格式自拟），</w:t>
      </w:r>
      <w:r>
        <w:rPr>
          <w:rFonts w:ascii="仿宋_GB2312" w:hAnsi="仿宋_GB2312" w:cs="仿宋_GB2312" w:eastAsia="仿宋_GB2312"/>
          <w:sz w:val="24"/>
        </w:rPr>
        <w:t>未提供承诺函的按无效投标处理。</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自合同签订之日起365日</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福州市长乐区殡仪馆</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按招标文件及签订合同要求完成服务。</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1、期次1，说明：按招标文件、投标文件及合同要求。</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1、经季度考核后，待长乐区财政资金到位后，达到付款条件起5日内，支付合同总金额的25.00%</w:t>
            </w:r>
          </w:p>
          <w:p>
            <w:pPr>
              <w:pStyle w:val="null3"/>
              <w:jc w:val="left"/>
            </w:pPr>
            <w:r>
              <w:rPr>
                <w:rFonts w:ascii="仿宋_GB2312" w:hAnsi="仿宋_GB2312" w:cs="仿宋_GB2312" w:eastAsia="仿宋_GB2312"/>
              </w:rPr>
              <w:t>2、经季度考核后，待长乐区财政资金到位后，达到付款条件起5日内，支付合同总金额的25.00%</w:t>
            </w:r>
          </w:p>
          <w:p>
            <w:pPr>
              <w:pStyle w:val="null3"/>
              <w:jc w:val="left"/>
            </w:pPr>
            <w:r>
              <w:rPr>
                <w:rFonts w:ascii="仿宋_GB2312" w:hAnsi="仿宋_GB2312" w:cs="仿宋_GB2312" w:eastAsia="仿宋_GB2312"/>
              </w:rPr>
              <w:t>3、经季度考核后，待长乐区财政资金到位后，达到付款条件起5日内，支付合同总金额的25.00%</w:t>
            </w:r>
          </w:p>
          <w:p>
            <w:pPr>
              <w:pStyle w:val="null3"/>
              <w:jc w:val="left"/>
            </w:pPr>
            <w:r>
              <w:rPr>
                <w:rFonts w:ascii="仿宋_GB2312" w:hAnsi="仿宋_GB2312" w:cs="仿宋_GB2312" w:eastAsia="仿宋_GB2312"/>
              </w:rPr>
              <w:t>4、经季度考核后，待长乐区财政资金到位后，达到付款条件起5日内，支付合同总金额的25.00%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本采购包履约保证金为合同金额的10%</w:t>
            </w:r>
          </w:p>
          <w:p>
            <w:pPr>
              <w:pStyle w:val="null3"/>
              <w:jc w:val="left"/>
            </w:pPr>
            <w:r>
              <w:rPr>
                <w:rFonts w:ascii="仿宋_GB2312" w:hAnsi="仿宋_GB2312" w:cs="仿宋_GB2312" w:eastAsia="仿宋_GB2312"/>
              </w:rPr>
              <w:t>缴纳方式：银行转账，支票/汇票/本票，保函/保险</w:t>
            </w:r>
          </w:p>
          <w:p>
            <w:pPr>
              <w:pStyle w:val="null3"/>
              <w:jc w:val="left"/>
            </w:pPr>
            <w:r>
              <w:rPr>
                <w:rFonts w:ascii="仿宋_GB2312" w:hAnsi="仿宋_GB2312" w:cs="仿宋_GB2312" w:eastAsia="仿宋_GB2312"/>
              </w:rPr>
              <w:t>说明：本采购包履约保证金为合同金额的10% 说明：中标人在签订政府采购合同前三日内，以保函的形式向采购人缴纳合同总金额10%的履约保证金（符合政策规定的中小微企业缴纳合同总金额5%的履约保证金），该履约保证金将在合同期结束后且中标人无违约的前提下无息退还。</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shd w:fill="FFFFFF" w:val="clear"/>
        </w:rPr>
        <w:t>8、报价要求：</w:t>
      </w:r>
    </w:p>
    <w:p>
      <w:pPr>
        <w:pStyle w:val="null3"/>
        <w:ind w:firstLine="480"/>
        <w:jc w:val="both"/>
      </w:pPr>
      <w:r>
        <w:rPr>
          <w:rFonts w:ascii="仿宋_GB2312" w:hAnsi="仿宋_GB2312" w:cs="仿宋_GB2312" w:eastAsia="仿宋_GB2312"/>
          <w:sz w:val="24"/>
          <w:shd w:fill="FFFFFF" w:val="clear"/>
        </w:rPr>
        <w:t>1、本招标文件中所发生的一切费用均应包含在投标报价中，投标人须进行</w:t>
      </w:r>
      <w:r>
        <w:rPr>
          <w:rFonts w:ascii="仿宋_GB2312" w:hAnsi="仿宋_GB2312" w:cs="仿宋_GB2312" w:eastAsia="仿宋_GB2312"/>
          <w:sz w:val="24"/>
          <w:shd w:fill="FFFFFF" w:val="clear"/>
        </w:rPr>
        <w:t>分项报价，报价包含：</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1）房屋修缮养护及设施设备维护费用：7.845万元/年；</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2）人员经费（员工的基本工资应不低于福州市长乐区的法定最低工资标准）及缴纳社会保险金。</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3）其他费用等</w:t>
      </w:r>
    </w:p>
    <w:p>
      <w:pPr>
        <w:pStyle w:val="null3"/>
        <w:ind w:firstLine="480"/>
        <w:jc w:val="both"/>
      </w:pPr>
      <w:r>
        <w:rPr>
          <w:rFonts w:ascii="仿宋_GB2312" w:hAnsi="仿宋_GB2312" w:cs="仿宋_GB2312" w:eastAsia="仿宋_GB2312"/>
          <w:sz w:val="24"/>
          <w:shd w:fill="FFFFFF" w:val="clear"/>
        </w:rPr>
        <w:t>①投标人未按要求进行分项报价或分项报价未上传至节能、环境标志产品端口的按无效投标处理。</w:t>
      </w:r>
    </w:p>
    <w:p>
      <w:pPr>
        <w:pStyle w:val="null3"/>
        <w:ind w:firstLine="482"/>
        <w:jc w:val="both"/>
      </w:pPr>
      <w:r>
        <w:rPr>
          <w:rFonts w:ascii="仿宋_GB2312" w:hAnsi="仿宋_GB2312" w:cs="仿宋_GB2312" w:eastAsia="仿宋_GB2312"/>
          <w:sz w:val="24"/>
          <w:b/>
          <w:shd w:fill="FFFFFF" w:val="clear"/>
        </w:rPr>
        <w:t>②房屋修缮养护及设施设备维护费用由殡仪馆内设部门提出申请或中标人日常巡逻发现需维修维护情况报采购人同意后，中标人提交维修计划及费用清单，经采购人审批同意后进行维修支出使用，按实际维修费拨付。中标人事先未经采购人审批同意擅自进行维修的支出原则上不予确认。修缮费用包括但不限于以上维修服务内容及220V以上高压电气线路设备、220V以下的弱电电子设备、空调设备、网络设备、高压容器设备、指示牌匾、广告制作、垃圾分类设施及其他需要设备与设施的修复费用等。</w:t>
      </w:r>
    </w:p>
    <w:p>
      <w:pPr>
        <w:pStyle w:val="null3"/>
        <w:ind w:firstLine="482"/>
        <w:jc w:val="both"/>
      </w:pPr>
      <w:r>
        <w:rPr>
          <w:rFonts w:ascii="仿宋_GB2312" w:hAnsi="仿宋_GB2312" w:cs="仿宋_GB2312" w:eastAsia="仿宋_GB2312"/>
          <w:sz w:val="24"/>
          <w:b/>
          <w:shd w:fill="FFFFFF" w:val="clear"/>
        </w:rPr>
        <w:t>9.物业服务综合评估</w:t>
      </w:r>
    </w:p>
    <w:p>
      <w:pPr>
        <w:pStyle w:val="null3"/>
        <w:ind w:firstLine="480"/>
        <w:jc w:val="both"/>
      </w:pPr>
      <w:r>
        <w:rPr>
          <w:rFonts w:ascii="仿宋_GB2312" w:hAnsi="仿宋_GB2312" w:cs="仿宋_GB2312" w:eastAsia="仿宋_GB2312"/>
          <w:sz w:val="24"/>
          <w:shd w:fill="FFFFFF" w:val="clear"/>
        </w:rPr>
        <w:t>9.1在本项目合同期限内，采购人对中标人进行季度考核评估；</w:t>
      </w:r>
      <w:r>
        <w:rPr>
          <w:rFonts w:ascii="仿宋_GB2312" w:hAnsi="仿宋_GB2312" w:cs="仿宋_GB2312" w:eastAsia="仿宋_GB2312"/>
          <w:sz w:val="24"/>
          <w:shd w:fill="FFFFFF" w:val="clear"/>
        </w:rPr>
        <w:t>若季度考</w:t>
      </w:r>
      <w:r>
        <w:rPr>
          <w:rFonts w:ascii="仿宋_GB2312" w:hAnsi="仿宋_GB2312" w:cs="仿宋_GB2312" w:eastAsia="仿宋_GB2312"/>
          <w:sz w:val="24"/>
          <w:shd w:fill="FFFFFF" w:val="clear"/>
        </w:rPr>
        <w:t>核不合格的，采购人有权单方面终止合同。</w:t>
      </w:r>
    </w:p>
    <w:p>
      <w:pPr>
        <w:pStyle w:val="null3"/>
        <w:ind w:firstLine="480"/>
        <w:jc w:val="both"/>
      </w:pPr>
      <w:r>
        <w:rPr>
          <w:rFonts w:ascii="仿宋_GB2312" w:hAnsi="仿宋_GB2312" w:cs="仿宋_GB2312" w:eastAsia="仿宋_GB2312"/>
          <w:sz w:val="24"/>
          <w:shd w:fill="FFFFFF" w:val="clear"/>
        </w:rPr>
        <w:t>9.2由采购人委托第三方社会服务评估机构，根据合同约定，每季度对中标人履约情况进行季度评估，评估费用为年中标金额1.8%（含在招标总金额内），从中标人物业服务费中扣除，由采购人直接支付给第三方社会服务评估机构。</w:t>
      </w:r>
    </w:p>
    <w:p>
      <w:pPr>
        <w:pStyle w:val="null3"/>
        <w:ind w:firstLine="480"/>
        <w:jc w:val="both"/>
      </w:pPr>
      <w:r>
        <w:rPr>
          <w:rFonts w:ascii="仿宋_GB2312" w:hAnsi="仿宋_GB2312" w:cs="仿宋_GB2312" w:eastAsia="仿宋_GB2312"/>
          <w:sz w:val="24"/>
          <w:shd w:fill="FFFFFF" w:val="clear"/>
        </w:rPr>
        <w:t>9.3季度评估报告作为每季度物业服务费拨付的依据材料。</w:t>
      </w:r>
    </w:p>
    <w:p>
      <w:pPr>
        <w:pStyle w:val="null3"/>
        <w:ind w:firstLine="482"/>
        <w:jc w:val="both"/>
      </w:pPr>
      <w:r>
        <w:rPr>
          <w:rFonts w:ascii="仿宋_GB2312" w:hAnsi="仿宋_GB2312" w:cs="仿宋_GB2312" w:eastAsia="仿宋_GB2312"/>
          <w:sz w:val="24"/>
          <w:b/>
        </w:rPr>
        <w:t>10</w:t>
      </w:r>
      <w:r>
        <w:rPr>
          <w:rFonts w:ascii="仿宋_GB2312" w:hAnsi="仿宋_GB2312" w:cs="仿宋_GB2312" w:eastAsia="仿宋_GB2312"/>
          <w:sz w:val="24"/>
          <w:b/>
        </w:rPr>
        <w:t>、违约责任</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.1若</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的原因</w:t>
      </w:r>
      <w:r>
        <w:rPr>
          <w:rFonts w:ascii="仿宋_GB2312" w:hAnsi="仿宋_GB2312" w:cs="仿宋_GB2312" w:eastAsia="仿宋_GB2312"/>
          <w:sz w:val="24"/>
          <w:shd w:fill="FFFFFF" w:val="clear"/>
        </w:rPr>
        <w:t>(如管理不善或操作不当等)而造成的事件事故或案件的，采购人有权解除或终止合同，由此造成的一切法律后果，</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自行负责。</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.2若</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出现员工流动造成缺勤的，每</w:t>
      </w:r>
      <w:r>
        <w:rPr>
          <w:rFonts w:ascii="仿宋_GB2312" w:hAnsi="仿宋_GB2312" w:cs="仿宋_GB2312" w:eastAsia="仿宋_GB2312"/>
          <w:sz w:val="24"/>
          <w:shd w:fill="FFFFFF" w:val="clear"/>
        </w:rPr>
        <w:t>缺勤</w:t>
      </w:r>
      <w:r>
        <w:rPr>
          <w:rFonts w:ascii="仿宋_GB2312" w:hAnsi="仿宋_GB2312" w:cs="仿宋_GB2312" w:eastAsia="仿宋_GB2312"/>
          <w:sz w:val="24"/>
          <w:shd w:fill="FFFFFF" w:val="clear"/>
        </w:rPr>
        <w:t>一天按每人每天扣人民币</w:t>
      </w:r>
      <w:r>
        <w:rPr>
          <w:rFonts w:ascii="仿宋_GB2312" w:hAnsi="仿宋_GB2312" w:cs="仿宋_GB2312" w:eastAsia="仿宋_GB2312"/>
          <w:sz w:val="24"/>
          <w:shd w:fill="FFFFFF" w:val="clear"/>
        </w:rPr>
        <w:t>200</w:t>
      </w:r>
      <w:r>
        <w:rPr>
          <w:rFonts w:ascii="仿宋_GB2312" w:hAnsi="仿宋_GB2312" w:cs="仿宋_GB2312" w:eastAsia="仿宋_GB2312"/>
          <w:sz w:val="24"/>
          <w:shd w:fill="FFFFFF" w:val="clear"/>
        </w:rPr>
        <w:t>的违约金扣减服务费</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须在</w:t>
      </w:r>
      <w:r>
        <w:rPr>
          <w:rFonts w:ascii="仿宋_GB2312" w:hAnsi="仿宋_GB2312" w:cs="仿宋_GB2312" w:eastAsia="仿宋_GB2312"/>
          <w:sz w:val="24"/>
          <w:shd w:fill="FFFFFF" w:val="clear"/>
        </w:rPr>
        <w:t>5个工作日内招到相应职位的人员。</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.3若</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或</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服务人员有出现参与有偿服务、敲诈勒索</w:t>
      </w:r>
      <w:r>
        <w:rPr>
          <w:rFonts w:ascii="仿宋_GB2312" w:hAnsi="仿宋_GB2312" w:cs="仿宋_GB2312" w:eastAsia="仿宋_GB2312"/>
          <w:sz w:val="24"/>
          <w:shd w:fill="FFFFFF" w:val="clear"/>
        </w:rPr>
        <w:t>、索要红包等</w:t>
      </w:r>
      <w:r>
        <w:rPr>
          <w:rFonts w:ascii="仿宋_GB2312" w:hAnsi="仿宋_GB2312" w:cs="仿宋_GB2312" w:eastAsia="仿宋_GB2312"/>
          <w:sz w:val="24"/>
          <w:shd w:fill="FFFFFF" w:val="clear"/>
        </w:rPr>
        <w:t>，应向采购人支付人民币</w:t>
      </w:r>
      <w:r>
        <w:rPr>
          <w:rFonts w:ascii="仿宋_GB2312" w:hAnsi="仿宋_GB2312" w:cs="仿宋_GB2312" w:eastAsia="仿宋_GB2312"/>
          <w:sz w:val="24"/>
          <w:shd w:fill="FFFFFF" w:val="clear"/>
        </w:rPr>
        <w:t>10000</w:t>
      </w:r>
      <w:r>
        <w:rPr>
          <w:rFonts w:ascii="仿宋_GB2312" w:hAnsi="仿宋_GB2312" w:cs="仿宋_GB2312" w:eastAsia="仿宋_GB2312"/>
          <w:sz w:val="24"/>
          <w:shd w:fill="FFFFFF" w:val="clear"/>
        </w:rPr>
        <w:t>元的违约金</w:t>
      </w:r>
      <w:r>
        <w:rPr>
          <w:rFonts w:ascii="仿宋_GB2312" w:hAnsi="仿宋_GB2312" w:cs="仿宋_GB2312" w:eastAsia="仿宋_GB2312"/>
          <w:sz w:val="24"/>
          <w:shd w:fill="FFFFFF" w:val="clear"/>
        </w:rPr>
        <w:t>并责令整改</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经采购人指出仍未及时整改的，每发现一次</w:t>
      </w:r>
      <w:r>
        <w:rPr>
          <w:rFonts w:ascii="仿宋_GB2312" w:hAnsi="仿宋_GB2312" w:cs="仿宋_GB2312" w:eastAsia="仿宋_GB2312"/>
          <w:sz w:val="24"/>
          <w:shd w:fill="FFFFFF" w:val="clear"/>
        </w:rPr>
        <w:t>应向采购人支付</w:t>
      </w:r>
      <w:r>
        <w:rPr>
          <w:rFonts w:ascii="仿宋_GB2312" w:hAnsi="仿宋_GB2312" w:cs="仿宋_GB2312" w:eastAsia="仿宋_GB2312"/>
          <w:sz w:val="24"/>
          <w:shd w:fill="FFFFFF" w:val="clear"/>
        </w:rPr>
        <w:t>当季服务费</w:t>
      </w:r>
      <w:r>
        <w:rPr>
          <w:rFonts w:ascii="仿宋_GB2312" w:hAnsi="仿宋_GB2312" w:cs="仿宋_GB2312" w:eastAsia="仿宋_GB2312"/>
          <w:sz w:val="24"/>
          <w:shd w:fill="FFFFFF" w:val="clear"/>
        </w:rPr>
        <w:t>总额的</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违约金</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若给采购人造成的不良社会影响等损失的，</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须支付服务期内服务费总额的</w:t>
      </w:r>
      <w:r>
        <w:rPr>
          <w:rFonts w:ascii="仿宋_GB2312" w:hAnsi="仿宋_GB2312" w:cs="仿宋_GB2312" w:eastAsia="仿宋_GB2312"/>
          <w:sz w:val="24"/>
          <w:shd w:fill="FFFFFF" w:val="clear"/>
        </w:rPr>
        <w:t>10%违约金，由此造成的一切法律后果，</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自行负责。</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.4若</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或</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服务人员有出现监守自盗的、擅自使用采购人所有的办公设备的，视为</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违约，应向采购人支付人民币</w:t>
      </w:r>
      <w:r>
        <w:rPr>
          <w:rFonts w:ascii="仿宋_GB2312" w:hAnsi="仿宋_GB2312" w:cs="仿宋_GB2312" w:eastAsia="仿宋_GB2312"/>
          <w:sz w:val="24"/>
          <w:shd w:fill="FFFFFF" w:val="clear"/>
        </w:rPr>
        <w:t>10000</w:t>
      </w:r>
      <w:r>
        <w:rPr>
          <w:rFonts w:ascii="仿宋_GB2312" w:hAnsi="仿宋_GB2312" w:cs="仿宋_GB2312" w:eastAsia="仿宋_GB2312"/>
          <w:sz w:val="24"/>
          <w:shd w:fill="FFFFFF" w:val="clear"/>
        </w:rPr>
        <w:t>元的违约金</w:t>
      </w:r>
      <w:r>
        <w:rPr>
          <w:rFonts w:ascii="仿宋_GB2312" w:hAnsi="仿宋_GB2312" w:cs="仿宋_GB2312" w:eastAsia="仿宋_GB2312"/>
          <w:sz w:val="24"/>
          <w:shd w:fill="FFFFFF" w:val="clear"/>
        </w:rPr>
        <w:t>并责令整改</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经采购人指出仍未及时整改的，每发现一次</w:t>
      </w:r>
      <w:r>
        <w:rPr>
          <w:rFonts w:ascii="仿宋_GB2312" w:hAnsi="仿宋_GB2312" w:cs="仿宋_GB2312" w:eastAsia="仿宋_GB2312"/>
          <w:sz w:val="24"/>
          <w:shd w:fill="FFFFFF" w:val="clear"/>
        </w:rPr>
        <w:t>应向采购人支付</w:t>
      </w:r>
      <w:r>
        <w:rPr>
          <w:rFonts w:ascii="仿宋_GB2312" w:hAnsi="仿宋_GB2312" w:cs="仿宋_GB2312" w:eastAsia="仿宋_GB2312"/>
          <w:sz w:val="24"/>
          <w:shd w:fill="FFFFFF" w:val="clear"/>
        </w:rPr>
        <w:t>当季服务费</w:t>
      </w:r>
      <w:r>
        <w:rPr>
          <w:rFonts w:ascii="仿宋_GB2312" w:hAnsi="仿宋_GB2312" w:cs="仿宋_GB2312" w:eastAsia="仿宋_GB2312"/>
          <w:sz w:val="24"/>
          <w:shd w:fill="FFFFFF" w:val="clear"/>
        </w:rPr>
        <w:t>总额的</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违约金</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若给采购人造成严重损失的，</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须支付服务期内服务费总额的</w:t>
      </w:r>
      <w:r>
        <w:rPr>
          <w:rFonts w:ascii="仿宋_GB2312" w:hAnsi="仿宋_GB2312" w:cs="仿宋_GB2312" w:eastAsia="仿宋_GB2312"/>
          <w:sz w:val="24"/>
          <w:shd w:fill="FFFFFF" w:val="clear"/>
        </w:rPr>
        <w:t>10%违约金，由此造成的一切法律后果，</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自行负责。</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.5若</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有出现脱岗并造成严重后果的，视为</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违约，每脱岗一人应向采购人支付人民币</w:t>
      </w:r>
      <w:r>
        <w:rPr>
          <w:rFonts w:ascii="仿宋_GB2312" w:hAnsi="仿宋_GB2312" w:cs="仿宋_GB2312" w:eastAsia="仿宋_GB2312"/>
          <w:sz w:val="24"/>
          <w:shd w:fill="FFFFFF" w:val="clear"/>
        </w:rPr>
        <w:t>5000</w:t>
      </w:r>
      <w:r>
        <w:rPr>
          <w:rFonts w:ascii="仿宋_GB2312" w:hAnsi="仿宋_GB2312" w:cs="仿宋_GB2312" w:eastAsia="仿宋_GB2312"/>
          <w:sz w:val="24"/>
          <w:shd w:fill="FFFFFF" w:val="clear"/>
        </w:rPr>
        <w:t>元的违约金</w:t>
      </w:r>
      <w:r>
        <w:rPr>
          <w:rFonts w:ascii="仿宋_GB2312" w:hAnsi="仿宋_GB2312" w:cs="仿宋_GB2312" w:eastAsia="仿宋_GB2312"/>
          <w:sz w:val="24"/>
          <w:shd w:fill="FFFFFF" w:val="clear"/>
        </w:rPr>
        <w:t>并责令整改</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经采购人指出仍未及时整改的，每发现一次</w:t>
      </w:r>
      <w:r>
        <w:rPr>
          <w:rFonts w:ascii="仿宋_GB2312" w:hAnsi="仿宋_GB2312" w:cs="仿宋_GB2312" w:eastAsia="仿宋_GB2312"/>
          <w:sz w:val="24"/>
          <w:shd w:fill="FFFFFF" w:val="clear"/>
        </w:rPr>
        <w:t>应向采购人支付</w:t>
      </w:r>
      <w:r>
        <w:rPr>
          <w:rFonts w:ascii="仿宋_GB2312" w:hAnsi="仿宋_GB2312" w:cs="仿宋_GB2312" w:eastAsia="仿宋_GB2312"/>
          <w:sz w:val="24"/>
          <w:shd w:fill="FFFFFF" w:val="clear"/>
        </w:rPr>
        <w:t>当季服务费</w:t>
      </w:r>
      <w:r>
        <w:rPr>
          <w:rFonts w:ascii="仿宋_GB2312" w:hAnsi="仿宋_GB2312" w:cs="仿宋_GB2312" w:eastAsia="仿宋_GB2312"/>
          <w:sz w:val="24"/>
          <w:shd w:fill="FFFFFF" w:val="clear"/>
        </w:rPr>
        <w:t>总额的</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违约金</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若给采购人造成严重损失的，</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须支付服务期内服务费总额的</w:t>
      </w:r>
      <w:r>
        <w:rPr>
          <w:rFonts w:ascii="仿宋_GB2312" w:hAnsi="仿宋_GB2312" w:cs="仿宋_GB2312" w:eastAsia="仿宋_GB2312"/>
          <w:sz w:val="24"/>
          <w:shd w:fill="FFFFFF" w:val="clear"/>
        </w:rPr>
        <w:t>10%违约金，由此造成的一切法律后果，</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自行负责。</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.6若</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有出现因平常维护不到位，给采购人造成损失或不良影响的，</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须支付服务期内服务费总额的</w:t>
      </w:r>
      <w:r>
        <w:rPr>
          <w:rFonts w:ascii="仿宋_GB2312" w:hAnsi="仿宋_GB2312" w:cs="仿宋_GB2312" w:eastAsia="仿宋_GB2312"/>
          <w:sz w:val="24"/>
          <w:shd w:fill="FFFFFF" w:val="clear"/>
        </w:rPr>
        <w:t>10%违约金，由此造成的一切法律后果，</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自行负责。</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.7若</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违反物业管理合同的约定，未能达到约定的管理目标，采购人有权要求</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限期整改，逾期未整改的，或整改不符合合同约定的，</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应向采购人支付人民币</w:t>
      </w:r>
      <w:r>
        <w:rPr>
          <w:rFonts w:ascii="仿宋_GB2312" w:hAnsi="仿宋_GB2312" w:cs="仿宋_GB2312" w:eastAsia="仿宋_GB2312"/>
          <w:sz w:val="24"/>
          <w:shd w:fill="FFFFFF" w:val="clear"/>
        </w:rPr>
        <w:t>10000</w:t>
      </w:r>
      <w:r>
        <w:rPr>
          <w:rFonts w:ascii="仿宋_GB2312" w:hAnsi="仿宋_GB2312" w:cs="仿宋_GB2312" w:eastAsia="仿宋_GB2312"/>
          <w:sz w:val="24"/>
          <w:shd w:fill="FFFFFF" w:val="clear"/>
        </w:rPr>
        <w:t>元的违约金。若造成采购人损失的或不良影响的，</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须支付服务期内服务费总额的</w:t>
      </w:r>
      <w:r>
        <w:rPr>
          <w:rFonts w:ascii="仿宋_GB2312" w:hAnsi="仿宋_GB2312" w:cs="仿宋_GB2312" w:eastAsia="仿宋_GB2312"/>
          <w:sz w:val="24"/>
          <w:shd w:fill="FFFFFF" w:val="clear"/>
        </w:rPr>
        <w:t>10%违约金，并赔偿损失。</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.8在签定物业管理服务合同之后，</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要求解除合同的，视为</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违约，</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违约对采购人造成的损失的，应向采购人支付服务期内服务费总额</w:t>
      </w:r>
      <w:r>
        <w:rPr>
          <w:rFonts w:ascii="仿宋_GB2312" w:hAnsi="仿宋_GB2312" w:cs="仿宋_GB2312" w:eastAsia="仿宋_GB2312"/>
          <w:sz w:val="24"/>
          <w:shd w:fill="FFFFFF" w:val="clear"/>
        </w:rPr>
        <w:t>10%的违约金；若给采购人造成的经济损失超过违约金的，需另行支付相应的赔偿。</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.9因</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原因发生重大质量事故，除依约承担赔偿责任外，还将按有关质量管理办法规定执行</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并报相关行政主管部门处罚。</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10若发生死亡安全事故，除按国家有关安全管理规定及采购人有关安全管理办法执行外，并报相关行政主管部门处罚；发生重大安全事故或特大安全事故，除按国家有关安全管理规定及采购人有关安全管理办法执行外，给采购人造成的损失，还应承担赔偿责任。</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.11在明确违约责任后，</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应在接到书面通知书起七天内支付违约金、赔偿金等。</w:t>
      </w:r>
    </w:p>
    <w:p>
      <w:pPr>
        <w:pStyle w:val="null3"/>
        <w:ind w:firstLine="480"/>
        <w:jc w:val="left"/>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.12本</w:t>
      </w:r>
      <w:r>
        <w:rPr>
          <w:rFonts w:ascii="仿宋_GB2312" w:hAnsi="仿宋_GB2312" w:cs="仿宋_GB2312" w:eastAsia="仿宋_GB2312"/>
          <w:sz w:val="24"/>
          <w:shd w:fill="FFFFFF" w:val="clear"/>
        </w:rPr>
        <w:t>招标</w:t>
      </w:r>
      <w:r>
        <w:rPr>
          <w:rFonts w:ascii="仿宋_GB2312" w:hAnsi="仿宋_GB2312" w:cs="仿宋_GB2312" w:eastAsia="仿宋_GB2312"/>
          <w:sz w:val="24"/>
          <w:shd w:fill="FFFFFF" w:val="clear"/>
        </w:rPr>
        <w:t>文件未明确的其它约定事项或条款，待采购人与</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签订合同时，由双方协商订立。</w:t>
      </w:r>
    </w:p>
    <w:p>
      <w:pPr>
        <w:pStyle w:val="null3"/>
        <w:ind w:firstLine="482"/>
        <w:jc w:val="left"/>
      </w:pPr>
      <w:r>
        <w:rPr>
          <w:rFonts w:ascii="仿宋_GB2312" w:hAnsi="仿宋_GB2312" w:cs="仿宋_GB2312" w:eastAsia="仿宋_GB2312"/>
          <w:sz w:val="24"/>
          <w:b/>
          <w:shd w:fill="FFFFFF" w:val="clear"/>
        </w:rPr>
        <w:t>11</w:t>
      </w:r>
      <w:r>
        <w:rPr>
          <w:rFonts w:ascii="仿宋_GB2312" w:hAnsi="仿宋_GB2312" w:cs="仿宋_GB2312" w:eastAsia="仿宋_GB2312"/>
          <w:sz w:val="24"/>
          <w:b/>
          <w:shd w:fill="FFFFFF" w:val="clear"/>
        </w:rPr>
        <w:t>、诉讼相关费用承担</w:t>
      </w:r>
    </w:p>
    <w:p>
      <w:pPr>
        <w:pStyle w:val="null3"/>
        <w:ind w:firstLine="480"/>
        <w:jc w:val="left"/>
      </w:pPr>
      <w:r>
        <w:rPr>
          <w:rFonts w:ascii="仿宋_GB2312" w:hAnsi="仿宋_GB2312" w:cs="仿宋_GB2312" w:eastAsia="仿宋_GB2312"/>
          <w:sz w:val="24"/>
          <w:shd w:fill="FFFFFF" w:val="clear"/>
        </w:rPr>
        <w:t>若因</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为履行合同项下义务导致采购人所产生的一切损失（包括但不限于人身财产的损失、律师费、诉讼费、保全费、鉴定费等），均由</w:t>
      </w:r>
      <w:r>
        <w:rPr>
          <w:rFonts w:ascii="仿宋_GB2312" w:hAnsi="仿宋_GB2312" w:cs="仿宋_GB2312" w:eastAsia="仿宋_GB2312"/>
          <w:sz w:val="24"/>
          <w:shd w:fill="FFFFFF" w:val="clear"/>
        </w:rPr>
        <w:t>中标人</w:t>
      </w:r>
      <w:r>
        <w:rPr>
          <w:rFonts w:ascii="仿宋_GB2312" w:hAnsi="仿宋_GB2312" w:cs="仿宋_GB2312" w:eastAsia="仿宋_GB2312"/>
          <w:sz w:val="24"/>
          <w:shd w:fill="FFFFFF" w:val="clear"/>
        </w:rPr>
        <w:t>承担赔偿责任。</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[350182]HZZB[GK]2025001-1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2025年殡仪馆物业服务管理采购项目(二次)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1(2025年殡仪馆物业服务管理采购项目)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2025年殡仪馆物业服务管理采购项目</w:t>
            </w:r>
          </w:p>
        </w:tc>
        <w:tc>
          <w:tcPr>
            <w:tcW w:type="dxa" w:w="1661"/>
          </w:tcPr>
          <w:p>
            <w:pPr>
              <w:pStyle w:val="null3"/>
              <w:jc w:val="left"/>
            </w:pPr>
            <w:r>
              <w:rPr>
                <w:rFonts w:ascii="仿宋_GB2312" w:hAnsi="仿宋_GB2312" w:cs="仿宋_GB2312" w:eastAsia="仿宋_GB2312"/>
              </w:rPr>
              <w:t xml:space="preserve"> 2100930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[350182]HZZB[GK]2025001-1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2025年殡仪馆物业服务管理采购项目(二次)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2025年殡仪馆物业服务管理采购项目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物业管理服务采购</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物业管理服务采购</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2100930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年</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