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hd w:val="clear" w:color="auto" w:fill="FFFFFF"/>
        <w:spacing w:before="298" w:line="540" w:lineRule="atLeast"/>
        <w:jc w:val="center"/>
        <w:rPr>
          <w:rFonts w:ascii="方正小标宋_GBK" w:hAnsi="方正小标宋_GBK" w:eastAsia="方正小标宋_GBK" w:cs="方正小标宋_GBK"/>
          <w:bCs/>
          <w:color w:val="auto"/>
          <w:sz w:val="44"/>
          <w:szCs w:val="44"/>
        </w:rPr>
      </w:pPr>
      <w:bookmarkStart w:id="0" w:name="_GoBack"/>
      <w:bookmarkEnd w:id="0"/>
      <w:r>
        <w:rPr>
          <w:rStyle w:val="9"/>
          <w:rFonts w:hint="eastAsia" w:ascii="方正小标宋_GBK" w:hAnsi="方正小标宋_GBK" w:eastAsia="方正小标宋_GBK" w:cs="方正小标宋_GBK"/>
          <w:b w:val="0"/>
          <w:bCs/>
          <w:color w:val="auto"/>
          <w:kern w:val="0"/>
          <w:sz w:val="44"/>
          <w:szCs w:val="44"/>
          <w:shd w:val="clear" w:color="auto" w:fill="FFFFFF"/>
        </w:rPr>
        <w:t>福州市长乐区</w:t>
      </w:r>
      <w:r>
        <w:rPr>
          <w:rStyle w:val="9"/>
          <w:rFonts w:ascii="方正小标宋_GBK" w:hAnsi="方正小标宋_GBK" w:eastAsia="方正小标宋_GBK" w:cs="方正小标宋_GBK"/>
          <w:b w:val="0"/>
          <w:bCs/>
          <w:color w:val="auto"/>
          <w:kern w:val="0"/>
          <w:sz w:val="44"/>
          <w:szCs w:val="44"/>
          <w:shd w:val="clear" w:color="auto" w:fill="FFFFFF"/>
        </w:rPr>
        <w:t>2019</w:t>
      </w:r>
      <w:r>
        <w:rPr>
          <w:rStyle w:val="9"/>
          <w:rFonts w:hint="eastAsia" w:ascii="方正小标宋_GBK" w:hAnsi="方正小标宋_GBK" w:eastAsia="方正小标宋_GBK" w:cs="方正小标宋_GBK"/>
          <w:b w:val="0"/>
          <w:bCs/>
          <w:color w:val="auto"/>
          <w:kern w:val="0"/>
          <w:sz w:val="44"/>
          <w:szCs w:val="44"/>
          <w:shd w:val="clear" w:color="auto" w:fill="FFFFFF"/>
        </w:rPr>
        <w:t>年政务公开工作主要任务分解表</w:t>
      </w:r>
    </w:p>
    <w:tbl>
      <w:tblPr>
        <w:tblStyle w:val="6"/>
        <w:tblW w:w="13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480"/>
        <w:gridCol w:w="1392"/>
        <w:gridCol w:w="4315"/>
        <w:gridCol w:w="4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blHeader/>
          <w:jc w:val="center"/>
        </w:trPr>
        <w:tc>
          <w:tcPr>
            <w:tcW w:w="3480" w:type="dxa"/>
            <w:tcBorders>
              <w:top w:val="single" w:color="000000" w:sz="8" w:space="0"/>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Style w:val="9"/>
                <w:rFonts w:hint="eastAsia" w:ascii="宋体" w:hAnsi="宋体" w:eastAsia="宋体" w:cs="宋体"/>
                <w:color w:val="auto"/>
                <w:kern w:val="0"/>
                <w:sz w:val="21"/>
                <w:szCs w:val="21"/>
              </w:rPr>
              <w:t>工</w:t>
            </w:r>
            <w:r>
              <w:rPr>
                <w:rStyle w:val="9"/>
                <w:rFonts w:ascii="宋体" w:hAnsi="宋体" w:eastAsia="宋体" w:cs="宋体"/>
                <w:color w:val="auto"/>
                <w:kern w:val="0"/>
                <w:sz w:val="21"/>
                <w:szCs w:val="21"/>
              </w:rPr>
              <w:t> </w:t>
            </w:r>
            <w:r>
              <w:rPr>
                <w:rStyle w:val="9"/>
                <w:rFonts w:hint="eastAsia" w:ascii="宋体" w:hAnsi="宋体" w:eastAsia="宋体" w:cs="宋体"/>
                <w:color w:val="auto"/>
                <w:kern w:val="0"/>
                <w:sz w:val="21"/>
                <w:szCs w:val="21"/>
              </w:rPr>
              <w:t>作</w:t>
            </w:r>
            <w:r>
              <w:rPr>
                <w:rStyle w:val="9"/>
                <w:rFonts w:ascii="宋体" w:hAnsi="宋体" w:eastAsia="宋体" w:cs="宋体"/>
                <w:color w:val="auto"/>
                <w:kern w:val="0"/>
                <w:sz w:val="21"/>
                <w:szCs w:val="21"/>
              </w:rPr>
              <w:t> </w:t>
            </w:r>
            <w:r>
              <w:rPr>
                <w:rStyle w:val="9"/>
                <w:rFonts w:hint="eastAsia" w:ascii="宋体" w:hAnsi="宋体" w:eastAsia="宋体" w:cs="宋体"/>
                <w:color w:val="auto"/>
                <w:kern w:val="0"/>
                <w:sz w:val="21"/>
                <w:szCs w:val="21"/>
              </w:rPr>
              <w:t>任</w:t>
            </w:r>
            <w:r>
              <w:rPr>
                <w:rStyle w:val="9"/>
                <w:rFonts w:ascii="宋体" w:hAnsi="宋体" w:eastAsia="宋体" w:cs="宋体"/>
                <w:color w:val="auto"/>
                <w:kern w:val="0"/>
                <w:sz w:val="21"/>
                <w:szCs w:val="21"/>
              </w:rPr>
              <w:t> </w:t>
            </w:r>
            <w:r>
              <w:rPr>
                <w:rStyle w:val="9"/>
                <w:rFonts w:hint="eastAsia" w:ascii="宋体" w:hAnsi="宋体" w:eastAsia="宋体" w:cs="宋体"/>
                <w:color w:val="auto"/>
                <w:kern w:val="0"/>
                <w:sz w:val="21"/>
                <w:szCs w:val="21"/>
              </w:rPr>
              <w:t>务</w:t>
            </w:r>
          </w:p>
        </w:tc>
        <w:tc>
          <w:tcPr>
            <w:tcW w:w="1392" w:type="dxa"/>
            <w:tcBorders>
              <w:top w:val="single" w:color="000000" w:sz="8" w:space="0"/>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Style w:val="9"/>
                <w:rFonts w:hint="eastAsia" w:ascii="宋体" w:hAnsi="宋体" w:eastAsia="宋体" w:cs="宋体"/>
                <w:color w:val="auto"/>
                <w:kern w:val="0"/>
                <w:sz w:val="21"/>
                <w:szCs w:val="21"/>
              </w:rPr>
              <w:t>牵头单位</w:t>
            </w:r>
          </w:p>
        </w:tc>
        <w:tc>
          <w:tcPr>
            <w:tcW w:w="4315" w:type="dxa"/>
            <w:tcBorders>
              <w:top w:val="single" w:color="000000" w:sz="8" w:space="0"/>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Style w:val="9"/>
                <w:rFonts w:hint="eastAsia" w:ascii="宋体" w:hAnsi="宋体" w:eastAsia="宋体" w:cs="宋体"/>
                <w:color w:val="auto"/>
                <w:kern w:val="0"/>
                <w:sz w:val="21"/>
                <w:szCs w:val="21"/>
              </w:rPr>
              <w:t>责</w:t>
            </w:r>
            <w:r>
              <w:rPr>
                <w:rFonts w:ascii="宋体" w:hAnsi="宋体" w:eastAsia="宋体" w:cs="宋体"/>
                <w:color w:val="auto"/>
                <w:kern w:val="0"/>
                <w:sz w:val="21"/>
                <w:szCs w:val="21"/>
              </w:rPr>
              <w:t> </w:t>
            </w:r>
            <w:r>
              <w:rPr>
                <w:rStyle w:val="9"/>
                <w:rFonts w:hint="eastAsia" w:ascii="宋体" w:hAnsi="宋体" w:eastAsia="宋体" w:cs="宋体"/>
                <w:color w:val="auto"/>
                <w:kern w:val="0"/>
                <w:sz w:val="21"/>
                <w:szCs w:val="21"/>
              </w:rPr>
              <w:t>任</w:t>
            </w:r>
            <w:r>
              <w:rPr>
                <w:rFonts w:ascii="宋体" w:hAnsi="宋体" w:eastAsia="宋体" w:cs="宋体"/>
                <w:color w:val="auto"/>
                <w:kern w:val="0"/>
                <w:sz w:val="21"/>
                <w:szCs w:val="21"/>
              </w:rPr>
              <w:t> </w:t>
            </w:r>
            <w:r>
              <w:rPr>
                <w:rStyle w:val="9"/>
                <w:rFonts w:hint="eastAsia" w:ascii="宋体" w:hAnsi="宋体" w:eastAsia="宋体" w:cs="宋体"/>
                <w:color w:val="auto"/>
                <w:kern w:val="0"/>
                <w:sz w:val="21"/>
                <w:szCs w:val="21"/>
              </w:rPr>
              <w:t>单</w:t>
            </w:r>
            <w:r>
              <w:rPr>
                <w:rFonts w:ascii="宋体" w:hAnsi="宋体" w:eastAsia="宋体" w:cs="宋体"/>
                <w:color w:val="auto"/>
                <w:kern w:val="0"/>
                <w:sz w:val="21"/>
                <w:szCs w:val="21"/>
              </w:rPr>
              <w:t> </w:t>
            </w:r>
            <w:r>
              <w:rPr>
                <w:rStyle w:val="9"/>
                <w:rFonts w:hint="eastAsia" w:ascii="宋体" w:hAnsi="宋体" w:eastAsia="宋体" w:cs="宋体"/>
                <w:color w:val="auto"/>
                <w:kern w:val="0"/>
                <w:sz w:val="21"/>
                <w:szCs w:val="21"/>
              </w:rPr>
              <w:t>位</w:t>
            </w:r>
          </w:p>
        </w:tc>
        <w:tc>
          <w:tcPr>
            <w:tcW w:w="4733" w:type="dxa"/>
            <w:tcBorders>
              <w:top w:val="single" w:color="000000" w:sz="8" w:space="0"/>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Style w:val="9"/>
                <w:rFonts w:hint="eastAsia" w:ascii="宋体" w:hAnsi="宋体" w:eastAsia="宋体" w:cs="宋体"/>
                <w:color w:val="auto"/>
                <w:kern w:val="0"/>
                <w:sz w:val="21"/>
                <w:szCs w:val="21"/>
              </w:rPr>
              <w:t>工</w:t>
            </w:r>
            <w:r>
              <w:rPr>
                <w:rStyle w:val="9"/>
                <w:rFonts w:ascii="宋体" w:hAnsi="宋体" w:eastAsia="宋体" w:cs="宋体"/>
                <w:color w:val="auto"/>
                <w:kern w:val="0"/>
                <w:sz w:val="21"/>
                <w:szCs w:val="21"/>
              </w:rPr>
              <w:t xml:space="preserve"> </w:t>
            </w:r>
            <w:r>
              <w:rPr>
                <w:rStyle w:val="9"/>
                <w:rFonts w:hint="eastAsia" w:ascii="宋体" w:hAnsi="宋体" w:eastAsia="宋体" w:cs="宋体"/>
                <w:color w:val="auto"/>
                <w:kern w:val="0"/>
                <w:sz w:val="21"/>
                <w:szCs w:val="21"/>
              </w:rPr>
              <w:t>作</w:t>
            </w:r>
            <w:r>
              <w:rPr>
                <w:rStyle w:val="9"/>
                <w:rFonts w:ascii="宋体" w:hAnsi="宋体" w:eastAsia="宋体" w:cs="宋体"/>
                <w:color w:val="auto"/>
                <w:kern w:val="0"/>
                <w:sz w:val="21"/>
                <w:szCs w:val="21"/>
              </w:rPr>
              <w:t xml:space="preserve"> </w:t>
            </w:r>
            <w:r>
              <w:rPr>
                <w:rStyle w:val="9"/>
                <w:rFonts w:hint="eastAsia" w:ascii="宋体" w:hAnsi="宋体" w:eastAsia="宋体" w:cs="宋体"/>
                <w:color w:val="auto"/>
                <w:kern w:val="0"/>
                <w:sz w:val="21"/>
                <w:szCs w:val="21"/>
              </w:rPr>
              <w:t>要</w:t>
            </w:r>
            <w:r>
              <w:rPr>
                <w:rStyle w:val="9"/>
                <w:rFonts w:ascii="宋体" w:hAnsi="宋体" w:eastAsia="宋体" w:cs="宋体"/>
                <w:color w:val="auto"/>
                <w:kern w:val="0"/>
                <w:sz w:val="21"/>
                <w:szCs w:val="21"/>
              </w:rPr>
              <w:t xml:space="preserve"> </w:t>
            </w:r>
            <w:r>
              <w:rPr>
                <w:rStyle w:val="9"/>
                <w:rFonts w:hint="eastAsia" w:ascii="宋体" w:hAnsi="宋体" w:eastAsia="宋体" w:cs="宋体"/>
                <w:color w:val="auto"/>
                <w:kern w:val="0"/>
                <w:sz w:val="21"/>
                <w:szCs w:val="21"/>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Fonts w:hint="eastAsia" w:ascii="宋体" w:hAnsi="宋体" w:eastAsia="宋体" w:cs="宋体"/>
                <w:b/>
                <w:bCs/>
                <w:color w:val="auto"/>
                <w:kern w:val="0"/>
                <w:sz w:val="21"/>
                <w:szCs w:val="21"/>
              </w:rPr>
              <w:t>一、加强政策解读，主动引导预期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（一）深入解读重要政策措施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1.</w:t>
            </w:r>
            <w:r>
              <w:rPr>
                <w:rFonts w:hint="eastAsia" w:ascii="宋体" w:hAnsi="宋体" w:eastAsia="宋体" w:cs="宋体"/>
                <w:color w:val="auto"/>
                <w:kern w:val="0"/>
                <w:sz w:val="21"/>
                <w:szCs w:val="21"/>
              </w:rPr>
              <w:t>及时公开、精准解读政策措施，稳定社会预期，提振市场信心</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 </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围绕</w:t>
            </w:r>
            <w:r>
              <w:rPr>
                <w:rFonts w:ascii="宋体" w:hAnsi="宋体" w:eastAsia="宋体" w:cs="宋体"/>
                <w:color w:val="auto"/>
                <w:kern w:val="0"/>
                <w:sz w:val="21"/>
                <w:szCs w:val="21"/>
              </w:rPr>
              <w:t>2019</w:t>
            </w:r>
            <w:r>
              <w:rPr>
                <w:rFonts w:hint="eastAsia" w:ascii="宋体" w:hAnsi="宋体" w:eastAsia="宋体" w:cs="宋体"/>
                <w:color w:val="auto"/>
                <w:kern w:val="0"/>
                <w:sz w:val="21"/>
                <w:szCs w:val="21"/>
              </w:rPr>
              <w:t>年经济社会发展主要预期目标、重点任务、重大举措，围绕市委市政府重要部署，及时公开、精准解读相关政策措施，稳定社会预期，提振市场信心。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3"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坚持“谁起草谁解读”，做到“三同步”</w:t>
            </w:r>
          </w:p>
        </w:tc>
        <w:tc>
          <w:tcPr>
            <w:tcW w:w="1392"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 </w:t>
            </w: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坚持“谁起草谁解读”，切实做到政策性文件与解读方案、解读材料同步组织、同步审签、同步部署。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6"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部门主要负责人要带头解读政策、及时释疑解惑</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 </w:t>
            </w: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在重要政策出台、重点工作推进、重大事件发生时，相关部门主要负责同志要履行好信息发布、权威定调、自觉把关等职责，带头解读政策、及时释疑解惑。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（二）积极回应社会关切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1" w:hRule="atLeast"/>
          <w:jc w:val="center"/>
        </w:trPr>
        <w:tc>
          <w:tcPr>
            <w:tcW w:w="3480"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4.</w:t>
            </w:r>
            <w:r>
              <w:rPr>
                <w:rFonts w:hint="eastAsia" w:ascii="宋体" w:hAnsi="宋体" w:eastAsia="宋体" w:cs="宋体"/>
                <w:color w:val="auto"/>
                <w:kern w:val="0"/>
                <w:sz w:val="21"/>
                <w:szCs w:val="21"/>
              </w:rPr>
              <w:t>做好舆情风险评估研判，制定应对处置预案</w:t>
            </w:r>
          </w:p>
        </w:tc>
        <w:tc>
          <w:tcPr>
            <w:tcW w:w="1392" w:type="dxa"/>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p>
        </w:tc>
        <w:tc>
          <w:tcPr>
            <w:tcW w:w="4315"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牵头起草部门要做好教育、就业、医疗、养老、社会保障、公共卫生、公共安全等涉及群众切身利益、容易引起社会关注的重要改革措施和政策文件的舆情风险评估研判，制定应对处置预案。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5"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5.</w:t>
            </w:r>
            <w:r>
              <w:rPr>
                <w:rFonts w:hint="eastAsia" w:ascii="宋体" w:hAnsi="宋体" w:eastAsia="宋体" w:cs="宋体"/>
                <w:color w:val="auto"/>
                <w:kern w:val="0"/>
                <w:sz w:val="21"/>
                <w:szCs w:val="21"/>
              </w:rPr>
              <w:t>做好重大突发事件舆情风险源头研判，增强回应针对性</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加强重大突发事件舆情风险源头研判，增强回应针对性。加强与宣传等相关部门沟通联系，健全完善重大舆情信息共享、快速反应和协调联动工作机制。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6.</w:t>
            </w:r>
            <w:r>
              <w:rPr>
                <w:rFonts w:hint="eastAsia" w:ascii="宋体" w:hAnsi="宋体" w:eastAsia="宋体" w:cs="宋体"/>
                <w:color w:val="auto"/>
                <w:kern w:val="0"/>
                <w:sz w:val="21"/>
                <w:szCs w:val="21"/>
              </w:rPr>
              <w:t>落实政务舆情回应主体责任，加强对经济社会热点、办事创业堵点痛点的舆情监测、研判和回应</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将政务舆情回应作为网络舆情处置工作的重要环节，落实政务舆情回应主体责任。加强对经济社会热点、办事创业堵点痛点的舆情监测、研判和回应。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7"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7.</w:t>
            </w:r>
            <w:r>
              <w:rPr>
                <w:rFonts w:hint="eastAsia" w:ascii="宋体" w:hAnsi="宋体" w:eastAsia="宋体" w:cs="宋体"/>
                <w:color w:val="auto"/>
                <w:kern w:val="0"/>
                <w:sz w:val="21"/>
                <w:szCs w:val="21"/>
              </w:rPr>
              <w:t>做好人大代表建议和政协委员提案办理结果信息公开工作</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对于涉及公共利益、公众权益、社会关切及需要社会广泛知晓的建议和提案办理复文，原则上都应全文公开。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3920" w:type="dxa"/>
            <w:gridSpan w:val="4"/>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（三）增强解读回应效果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00"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8.</w:t>
            </w:r>
            <w:r>
              <w:rPr>
                <w:rFonts w:hint="eastAsia" w:ascii="宋体" w:hAnsi="宋体" w:eastAsia="宋体" w:cs="宋体"/>
                <w:color w:val="auto"/>
                <w:kern w:val="0"/>
                <w:sz w:val="21"/>
                <w:szCs w:val="21"/>
              </w:rPr>
              <w:t>推进政策解读形式多样化</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 </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出台专业性较强的政策时，牵头起草部门要注重运用客观数据、生动实例等，推广运用图表、图像、视频等多种形式进行形象化、通俗化解读，把政策解释好，避免误解误读。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18"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9.</w:t>
            </w:r>
            <w:r>
              <w:rPr>
                <w:rFonts w:hint="eastAsia" w:ascii="宋体" w:hAnsi="宋体" w:eastAsia="宋体" w:cs="宋体"/>
                <w:color w:val="auto"/>
                <w:kern w:val="0"/>
                <w:sz w:val="21"/>
                <w:szCs w:val="21"/>
              </w:rPr>
              <w:t>积极运用新技术和新媒体，扩大传播范围</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区大数据管理局</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发挥政府门户网站等重要载体作用，积极运用政务微博、微信、</w:t>
            </w:r>
            <w:r>
              <w:rPr>
                <w:rFonts w:ascii="宋体" w:hAnsi="宋体" w:eastAsia="宋体" w:cs="宋体"/>
                <w:color w:val="auto"/>
                <w:sz w:val="21"/>
                <w:szCs w:val="21"/>
              </w:rPr>
              <w:t>APP</w:t>
            </w:r>
            <w:r>
              <w:rPr>
                <w:rFonts w:hint="eastAsia" w:ascii="宋体" w:hAnsi="宋体" w:eastAsia="宋体" w:cs="宋体"/>
                <w:color w:val="auto"/>
                <w:sz w:val="21"/>
                <w:szCs w:val="21"/>
              </w:rPr>
              <w:t>等新技术和新媒体，扩大传播范围。开展送政策上门、政策宣讲等活动，主动将党和政府的好政策送到企业和群众手上，进一步扩大政策受益面。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7"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tabs>
                <w:tab w:val="left" w:pos="5753"/>
              </w:tabs>
              <w:spacing w:line="300" w:lineRule="exact"/>
              <w:textAlignment w:val="baseline"/>
              <w:rPr>
                <w:rFonts w:ascii="宋体" w:hAnsi="宋体" w:eastAsia="宋体" w:cs="宋体"/>
                <w:color w:val="auto"/>
                <w:sz w:val="21"/>
                <w:szCs w:val="21"/>
              </w:rPr>
            </w:pPr>
            <w:r>
              <w:rPr>
                <w:rFonts w:ascii="宋体" w:hAnsi="宋体" w:eastAsia="宋体" w:cs="宋体"/>
                <w:color w:val="auto"/>
                <w:sz w:val="21"/>
                <w:szCs w:val="21"/>
              </w:rPr>
              <w:tab/>
            </w:r>
            <w:r>
              <w:rPr>
                <w:rFonts w:hint="eastAsia" w:ascii="宋体" w:hAnsi="宋体" w:eastAsia="宋体" w:cs="宋体"/>
                <w:b/>
                <w:bCs/>
                <w:color w:val="auto"/>
                <w:kern w:val="0"/>
                <w:sz w:val="21"/>
                <w:szCs w:val="21"/>
              </w:rPr>
              <w:t>二、聚焦重点领域，促进政策落实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（四）推进重要决策公开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61"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10.</w:t>
            </w:r>
            <w:r>
              <w:rPr>
                <w:rFonts w:hint="eastAsia" w:ascii="宋体" w:hAnsi="宋体" w:eastAsia="宋体" w:cs="宋体"/>
                <w:color w:val="auto"/>
                <w:kern w:val="0"/>
                <w:sz w:val="21"/>
                <w:szCs w:val="21"/>
              </w:rPr>
              <w:t>推进重大决策预公开</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推进重大决策预公开，涉及公共利益和公众权益的重大事项，除依法应当保密的外，主动向社会公布决策草案、决策依据等，通过多种形式广泛听取意见。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1"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11.</w:t>
            </w:r>
            <w:r>
              <w:rPr>
                <w:rFonts w:hint="eastAsia" w:ascii="宋体" w:hAnsi="宋体" w:eastAsia="宋体" w:cs="宋体"/>
                <w:color w:val="auto"/>
                <w:kern w:val="0"/>
                <w:sz w:val="21"/>
                <w:szCs w:val="21"/>
              </w:rPr>
              <w:t>健全“政企直通车”和企业家参与涉企政策制定机制。全面推广“一企一议”服务企业协调机制。</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jc w:val="left"/>
              <w:textAlignment w:val="baseline"/>
              <w:rPr>
                <w:rFonts w:ascii="宋体" w:hAnsi="宋体" w:eastAsia="宋体" w:cs="宋体"/>
                <w:color w:val="auto"/>
                <w:sz w:val="21"/>
                <w:szCs w:val="21"/>
              </w:rPr>
            </w:pP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健全“政企直通车”和企业家参与涉企政策制定机制。全面推广“一企一议”服务企业协调机制，想方设法为企业解决审批、用地、用工、融资等问题，及时公开协调问题、采取措施、进展成效等内容。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13920" w:type="dxa"/>
            <w:gridSpan w:val="4"/>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（五）推进重要部署执行公开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4" w:hRule="atLeast"/>
          <w:jc w:val="center"/>
        </w:trPr>
        <w:tc>
          <w:tcPr>
            <w:tcW w:w="3480"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12.</w:t>
            </w:r>
            <w:r>
              <w:rPr>
                <w:rFonts w:hint="eastAsia" w:ascii="宋体" w:hAnsi="宋体" w:eastAsia="宋体" w:cs="宋体"/>
                <w:color w:val="auto"/>
                <w:kern w:val="0"/>
                <w:sz w:val="21"/>
                <w:szCs w:val="21"/>
              </w:rPr>
              <w:t>加大稳增长、促改革、调结构、惠民生、防风险、保稳定系列政策措施的执行和落实情况公开力度</w:t>
            </w:r>
          </w:p>
        </w:tc>
        <w:tc>
          <w:tcPr>
            <w:tcW w:w="1392" w:type="dxa"/>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p>
        </w:tc>
        <w:tc>
          <w:tcPr>
            <w:tcW w:w="4315"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进一步加强督查和审计发现问题及整改落实情况公开，跟踪重大行政决策实施情况，积极开展执行效果评估，及时调整完善，相关情况向社会公开。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3920" w:type="dxa"/>
            <w:gridSpan w:val="4"/>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（六）推进行政执法信息公开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74"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13.</w:t>
            </w:r>
            <w:r>
              <w:rPr>
                <w:rFonts w:hint="eastAsia" w:ascii="宋体" w:hAnsi="宋体" w:eastAsia="宋体" w:cs="宋体"/>
                <w:color w:val="auto"/>
                <w:kern w:val="0"/>
                <w:sz w:val="21"/>
                <w:szCs w:val="21"/>
              </w:rPr>
              <w:t>严格落实《福建省全面推行行政执法公示制度执法</w:t>
            </w:r>
            <w:r>
              <w:rPr>
                <w:rFonts w:hint="eastAsia" w:ascii="宋体" w:hAnsi="宋体" w:eastAsia="宋体" w:cs="宋体"/>
                <w:color w:val="auto"/>
                <w:kern w:val="0"/>
                <w:sz w:val="21"/>
                <w:szCs w:val="21"/>
                <w:lang w:val="en-US" w:eastAsia="zh-CN"/>
              </w:rPr>
              <w:t>全过程记录制度</w:t>
            </w:r>
            <w:r>
              <w:rPr>
                <w:rFonts w:hint="eastAsia" w:ascii="宋体" w:hAnsi="宋体" w:eastAsia="宋体" w:cs="宋体"/>
                <w:color w:val="auto"/>
                <w:kern w:val="0"/>
                <w:sz w:val="21"/>
                <w:szCs w:val="21"/>
              </w:rPr>
              <w:t>重大执法决定法制审核制度实施方案》</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left"/>
              <w:textAlignment w:val="baseline"/>
              <w:rPr>
                <w:rFonts w:ascii="Times New Roman" w:hAnsi="Times New Roman"/>
                <w:color w:val="auto"/>
                <w:sz w:val="21"/>
                <w:szCs w:val="21"/>
              </w:rPr>
            </w:pP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各乡镇人民政府、街道办事处，区各级行政执法机关</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按照“谁执法谁公开”原则，严格落实《福建省全面推行行政执法公示制度执法全过程记录制度重大执法决定法制审核制度实施方案》精神，在行政处罚、行政强制、行政检查、行政征收征用、行政许可等行为中全面推行“三项制度”，着力规范行政执法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1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14.</w:t>
            </w:r>
            <w:r>
              <w:rPr>
                <w:rFonts w:hint="eastAsia" w:ascii="宋体" w:hAnsi="宋体" w:eastAsia="宋体" w:cs="宋体"/>
                <w:color w:val="auto"/>
                <w:kern w:val="0"/>
                <w:sz w:val="21"/>
                <w:szCs w:val="21"/>
              </w:rPr>
              <w:t>建立健全统一的执法信息公示平台，集中向社会依法公开行政执法相关信息</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left"/>
              <w:textAlignment w:val="baseline"/>
              <w:rPr>
                <w:rFonts w:ascii="Times New Roman" w:hAnsi="Times New Roman"/>
                <w:color w:val="auto"/>
                <w:sz w:val="21"/>
                <w:szCs w:val="21"/>
              </w:rPr>
            </w:pP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区司法局</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建立健全统一的执法信息公示平台，集中向社会依法公开行政执法相关信息探索建立群众意见反馈互动机制和执法信息公示平台管理维护机制，强化行政执法社会监督。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9" w:hRule="atLeast"/>
          <w:jc w:val="center"/>
        </w:trPr>
        <w:tc>
          <w:tcPr>
            <w:tcW w:w="13920" w:type="dxa"/>
            <w:gridSpan w:val="4"/>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（七）加强三大攻坚战信息公开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3"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15.</w:t>
            </w:r>
            <w:r>
              <w:rPr>
                <w:rFonts w:hint="eastAsia" w:ascii="宋体" w:hAnsi="宋体" w:eastAsia="宋体" w:cs="宋体"/>
                <w:color w:val="auto"/>
                <w:kern w:val="0"/>
                <w:sz w:val="21"/>
                <w:szCs w:val="21"/>
              </w:rPr>
              <w:t>围绕打好防范化解重大风险攻坚战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区工信局</w:t>
            </w:r>
          </w:p>
          <w:p>
            <w:pPr>
              <w:widowControl/>
              <w:spacing w:line="300" w:lineRule="exact"/>
              <w:jc w:val="center"/>
              <w:textAlignment w:val="baseline"/>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区</w:t>
            </w:r>
            <w:r>
              <w:rPr>
                <w:rFonts w:hint="eastAsia" w:ascii="宋体" w:hAnsi="宋体" w:eastAsia="宋体" w:cs="宋体"/>
                <w:b w:val="0"/>
                <w:bCs w:val="0"/>
                <w:color w:val="auto"/>
                <w:kern w:val="0"/>
                <w:sz w:val="21"/>
                <w:szCs w:val="21"/>
                <w:lang w:val="en-US" w:eastAsia="zh-CN"/>
              </w:rPr>
              <w:t>住建</w:t>
            </w:r>
            <w:r>
              <w:rPr>
                <w:rFonts w:hint="eastAsia" w:ascii="宋体" w:hAnsi="宋体" w:eastAsia="宋体" w:cs="宋体"/>
                <w:b w:val="0"/>
                <w:bCs w:val="0"/>
                <w:color w:val="auto"/>
                <w:kern w:val="0"/>
                <w:sz w:val="21"/>
                <w:szCs w:val="21"/>
              </w:rPr>
              <w:t>局</w:t>
            </w:r>
          </w:p>
          <w:p>
            <w:pPr>
              <w:widowControl/>
              <w:spacing w:line="300" w:lineRule="exact"/>
              <w:jc w:val="center"/>
              <w:textAlignment w:val="baseline"/>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金融</w:t>
            </w:r>
            <w:r>
              <w:rPr>
                <w:rFonts w:hint="eastAsia" w:ascii="宋体" w:hAnsi="宋体" w:eastAsia="宋体" w:cs="宋体"/>
                <w:b w:val="0"/>
                <w:bCs w:val="0"/>
                <w:color w:val="auto"/>
                <w:kern w:val="0"/>
                <w:sz w:val="21"/>
                <w:szCs w:val="21"/>
                <w:lang w:val="en-US" w:eastAsia="zh-CN"/>
              </w:rPr>
              <w:t>办</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围绕打好防范化解重大风险攻坚战，强化底线思维，及时依法公开化解政治、经济、科技、社会、外部环境、</w:t>
            </w:r>
            <w:r>
              <w:rPr>
                <w:rFonts w:hint="eastAsia" w:ascii="宋体" w:hAnsi="宋体" w:eastAsia="宋体" w:cs="宋体"/>
                <w:color w:val="auto"/>
                <w:kern w:val="0"/>
                <w:sz w:val="21"/>
                <w:szCs w:val="21"/>
                <w:lang w:val="en-US" w:eastAsia="zh-CN"/>
              </w:rPr>
              <w:t>党的建设</w:t>
            </w:r>
            <w:r>
              <w:rPr>
                <w:rFonts w:hint="eastAsia" w:ascii="宋体" w:hAnsi="宋体" w:eastAsia="宋体" w:cs="宋体"/>
                <w:color w:val="auto"/>
                <w:kern w:val="0"/>
                <w:sz w:val="21"/>
                <w:szCs w:val="21"/>
              </w:rPr>
              <w:t>等领域重大风险的相关信息。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16.</w:t>
            </w:r>
            <w:r>
              <w:rPr>
                <w:rFonts w:hint="eastAsia" w:ascii="宋体" w:hAnsi="宋体" w:eastAsia="宋体" w:cs="宋体"/>
                <w:color w:val="auto"/>
                <w:kern w:val="0"/>
                <w:sz w:val="21"/>
                <w:szCs w:val="21"/>
              </w:rPr>
              <w:t>围绕打好精准脱贫攻坚战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区财政局</w:t>
            </w:r>
          </w:p>
          <w:p>
            <w:pPr>
              <w:widowControl/>
              <w:spacing w:line="300" w:lineRule="exact"/>
              <w:jc w:val="center"/>
              <w:textAlignment w:val="baseline"/>
              <w:rPr>
                <w:rFonts w:hint="eastAsia" w:ascii="宋体" w:hAnsi="宋体" w:eastAsia="宋体" w:cs="宋体"/>
                <w:b w:val="0"/>
                <w:bCs w:val="0"/>
                <w:color w:val="auto"/>
                <w:kern w:val="0"/>
                <w:sz w:val="21"/>
                <w:szCs w:val="21"/>
                <w:lang w:val="en-US" w:eastAsia="zh-CN"/>
              </w:rPr>
            </w:pPr>
            <w:r>
              <w:rPr>
                <w:rFonts w:hint="eastAsia" w:ascii="宋体" w:hAnsi="宋体" w:eastAsia="宋体" w:cs="宋体"/>
                <w:b w:val="0"/>
                <w:bCs w:val="0"/>
                <w:color w:val="auto"/>
                <w:kern w:val="0"/>
                <w:sz w:val="21"/>
                <w:szCs w:val="21"/>
              </w:rPr>
              <w:t>区</w:t>
            </w:r>
            <w:r>
              <w:rPr>
                <w:rFonts w:hint="eastAsia" w:ascii="宋体" w:hAnsi="宋体" w:eastAsia="宋体" w:cs="宋体"/>
                <w:b w:val="0"/>
                <w:bCs w:val="0"/>
                <w:color w:val="auto"/>
                <w:kern w:val="0"/>
                <w:sz w:val="21"/>
                <w:szCs w:val="21"/>
                <w:lang w:val="en-US" w:eastAsia="zh-CN"/>
              </w:rPr>
              <w:t>农业局</w:t>
            </w:r>
          </w:p>
          <w:p>
            <w:pPr>
              <w:widowControl/>
              <w:spacing w:line="300" w:lineRule="exact"/>
              <w:jc w:val="center"/>
              <w:textAlignment w:val="baseline"/>
              <w:rPr>
                <w:rFonts w:ascii="Times New Roman" w:hAnsi="Times New Roman"/>
                <w:b w:val="0"/>
                <w:bCs w:val="0"/>
                <w:color w:val="auto"/>
                <w:sz w:val="21"/>
                <w:szCs w:val="21"/>
              </w:rPr>
            </w:pPr>
            <w:r>
              <w:rPr>
                <w:rFonts w:hint="eastAsia" w:ascii="宋体" w:hAnsi="宋体" w:eastAsia="宋体" w:cs="宋体"/>
                <w:b w:val="0"/>
                <w:bCs w:val="0"/>
                <w:color w:val="auto"/>
                <w:kern w:val="0"/>
                <w:sz w:val="21"/>
                <w:szCs w:val="21"/>
                <w:lang w:val="en-US" w:eastAsia="zh-CN"/>
              </w:rPr>
              <w:t>（扶贫办）</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围绕打好精准脱贫攻坚战，重点做好产业扶贫、就业扶贫、山海协作、东西部扶贫协作和对口支援等相关政策举措、扶贫项目、扶贫资金等信息公开工作。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16"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17.</w:t>
            </w:r>
            <w:r>
              <w:rPr>
                <w:rFonts w:hint="eastAsia" w:ascii="宋体" w:hAnsi="宋体" w:eastAsia="宋体" w:cs="宋体"/>
                <w:color w:val="auto"/>
                <w:kern w:val="0"/>
                <w:sz w:val="21"/>
                <w:szCs w:val="21"/>
              </w:rPr>
              <w:t>围绕打好污染防治攻坚战</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rPr>
                <w:rFonts w:ascii="Times New Roman" w:hAnsi="Times New Roman"/>
                <w:color w:val="auto"/>
                <w:sz w:val="21"/>
                <w:szCs w:val="21"/>
              </w:rPr>
            </w:pPr>
            <w:r>
              <w:rPr>
                <w:rFonts w:hint="eastAsia" w:ascii="宋体" w:hAnsi="宋体" w:eastAsia="宋体" w:cs="宋体"/>
                <w:b w:val="0"/>
                <w:bCs w:val="0"/>
                <w:color w:val="auto"/>
                <w:sz w:val="21"/>
                <w:szCs w:val="21"/>
                <w:lang w:val="en-US" w:eastAsia="zh-CN"/>
              </w:rPr>
              <w:t>福州市长乐</w:t>
            </w:r>
            <w:r>
              <w:rPr>
                <w:rFonts w:hint="eastAsia" w:ascii="宋体" w:hAnsi="宋体" w:eastAsia="宋体" w:cs="宋体"/>
                <w:b w:val="0"/>
                <w:bCs w:val="0"/>
                <w:color w:val="auto"/>
                <w:sz w:val="21"/>
                <w:szCs w:val="21"/>
              </w:rPr>
              <w:t>生态环境局</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lef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围绕打好污染防治攻坚战，进一步做好大气污染防治、土壤污染防治、水污染防治、固体废弃物处置等生态环境信息公开。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5"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（八）深化“放管服”改革信息公开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7"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18.</w:t>
            </w:r>
            <w:r>
              <w:rPr>
                <w:rFonts w:hint="eastAsia" w:ascii="宋体" w:hAnsi="宋体" w:eastAsia="宋体" w:cs="宋体"/>
                <w:color w:val="auto"/>
                <w:kern w:val="0"/>
                <w:sz w:val="21"/>
                <w:szCs w:val="21"/>
              </w:rPr>
              <w:t>不断完善福州市政务清单管理系统，推进“互联网</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政务服务”工作</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区发改</w:t>
            </w:r>
            <w:r>
              <w:rPr>
                <w:rFonts w:hint="eastAsia" w:ascii="宋体" w:hAnsi="宋体" w:eastAsia="宋体" w:cs="宋体"/>
                <w:color w:val="auto"/>
                <w:kern w:val="0"/>
                <w:sz w:val="21"/>
                <w:szCs w:val="21"/>
                <w:lang w:val="en-US" w:eastAsia="zh-CN"/>
              </w:rPr>
              <w:t>局</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区行政服务</w:t>
            </w:r>
          </w:p>
          <w:p>
            <w:pPr>
              <w:widowControl/>
              <w:spacing w:line="300" w:lineRule="exact"/>
              <w:jc w:val="center"/>
              <w:textAlignment w:val="baseline"/>
              <w:rPr>
                <w:rFonts w:ascii="Times New Roman" w:hAnsi="Times New Roman"/>
                <w:color w:val="auto"/>
                <w:sz w:val="21"/>
                <w:szCs w:val="21"/>
              </w:rPr>
            </w:pPr>
            <w:r>
              <w:rPr>
                <w:rFonts w:hint="eastAsia" w:ascii="宋体" w:hAnsi="宋体" w:eastAsia="宋体" w:cs="宋体"/>
                <w:color w:val="auto"/>
                <w:kern w:val="0"/>
                <w:sz w:val="21"/>
                <w:szCs w:val="21"/>
              </w:rPr>
              <w:t>中心管委会</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b w:val="0"/>
                <w:bCs w:val="0"/>
                <w:color w:val="auto"/>
                <w:kern w:val="0"/>
                <w:sz w:val="21"/>
                <w:szCs w:val="21"/>
              </w:rPr>
              <w:t>围绕“放管服”改革新任务新举措，用活用足“六区叠加”政策优势，不断完善福州市政务清单管理系统，推进“互联网</w:t>
            </w:r>
            <w:r>
              <w:rPr>
                <w:rFonts w:ascii="宋体" w:hAnsi="宋体" w:eastAsia="宋体" w:cs="宋体"/>
                <w:b w:val="0"/>
                <w:bCs w:val="0"/>
                <w:color w:val="auto"/>
                <w:kern w:val="0"/>
                <w:sz w:val="21"/>
                <w:szCs w:val="21"/>
              </w:rPr>
              <w:t>+</w:t>
            </w:r>
            <w:r>
              <w:rPr>
                <w:rFonts w:hint="eastAsia" w:ascii="宋体" w:hAnsi="宋体" w:eastAsia="宋体" w:cs="宋体"/>
                <w:b w:val="0"/>
                <w:bCs w:val="0"/>
                <w:color w:val="auto"/>
                <w:kern w:val="0"/>
                <w:sz w:val="21"/>
                <w:szCs w:val="21"/>
              </w:rPr>
              <w:t>政务服务”工作，着力做好实施更大规模的减税降费、“证照分离”改革、工程建设项目审批制度改革、压缩企业开办时间、优化企业注销办理流程、压减行政许可、市场准入负面清单动态调整、清理规范基层各类涉企乱收费项目、深入推进大众创业万众创新等方面的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96"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19.</w:t>
            </w:r>
            <w:r>
              <w:rPr>
                <w:rFonts w:hint="eastAsia" w:ascii="宋体" w:hAnsi="宋体" w:eastAsia="宋体" w:cs="宋体"/>
                <w:color w:val="auto"/>
                <w:kern w:val="0"/>
                <w:sz w:val="21"/>
                <w:szCs w:val="21"/>
              </w:rPr>
              <w:t>推动网上办事服务事项标准化</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区行政服务</w:t>
            </w:r>
          </w:p>
          <w:p>
            <w:pPr>
              <w:widowControl/>
              <w:spacing w:line="300" w:lineRule="exact"/>
              <w:jc w:val="center"/>
              <w:textAlignment w:val="baseline"/>
              <w:rPr>
                <w:rFonts w:ascii="Times New Roman" w:hAnsi="Times New Roman"/>
                <w:color w:val="auto"/>
                <w:sz w:val="21"/>
                <w:szCs w:val="21"/>
              </w:rPr>
            </w:pPr>
            <w:r>
              <w:rPr>
                <w:rFonts w:hint="eastAsia" w:ascii="宋体" w:hAnsi="宋体" w:eastAsia="宋体" w:cs="宋体"/>
                <w:color w:val="auto"/>
                <w:kern w:val="0"/>
                <w:sz w:val="21"/>
                <w:szCs w:val="21"/>
              </w:rPr>
              <w:t>中心管委会</w:t>
            </w: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b w:val="0"/>
                <w:bCs w:val="0"/>
                <w:color w:val="auto"/>
                <w:kern w:val="0"/>
                <w:sz w:val="21"/>
                <w:szCs w:val="21"/>
              </w:rPr>
              <w:t>立足于方便企业和群众办事，从审批事项设立、审查审核规则、服务场所建设、网上审批运行、办理机制创新、监督检查及评价等方面推进落实行政审批标准化改革。扎实推进</w:t>
            </w:r>
            <w:r>
              <w:rPr>
                <w:rFonts w:hint="eastAsia" w:ascii="宋体" w:hAnsi="宋体" w:eastAsia="宋体" w:cs="宋体"/>
                <w:b w:val="0"/>
                <w:bCs w:val="0"/>
                <w:color w:val="auto"/>
                <w:sz w:val="21"/>
                <w:szCs w:val="21"/>
              </w:rPr>
              <w:t>各乡镇人民政府、街道办事处，区直各有关单位</w:t>
            </w:r>
            <w:r>
              <w:rPr>
                <w:rFonts w:hint="eastAsia" w:ascii="宋体" w:hAnsi="宋体" w:eastAsia="宋体" w:cs="宋体"/>
                <w:b w:val="0"/>
                <w:bCs w:val="0"/>
                <w:color w:val="auto"/>
                <w:kern w:val="0"/>
                <w:sz w:val="21"/>
                <w:szCs w:val="21"/>
              </w:rPr>
              <w:t>行政审批标准化改革示范试点工作，将条件成熟的示范试点经验上升为地方标准。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74"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20.</w:t>
            </w:r>
            <w:r>
              <w:rPr>
                <w:rFonts w:hint="eastAsia" w:ascii="宋体" w:hAnsi="宋体" w:eastAsia="宋体" w:cs="宋体"/>
                <w:color w:val="auto"/>
                <w:kern w:val="0"/>
                <w:sz w:val="21"/>
                <w:szCs w:val="21"/>
              </w:rPr>
              <w:t>加快建立健全以“双随机、一公开”监管为基本手段、以重点监管为补充、以信用监管为基础的新型监管机制</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区市场监管局</w:t>
            </w:r>
          </w:p>
          <w:p>
            <w:pPr>
              <w:widowControl/>
              <w:spacing w:line="300" w:lineRule="exact"/>
              <w:jc w:val="center"/>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区发改</w:t>
            </w:r>
            <w:r>
              <w:rPr>
                <w:rFonts w:hint="eastAsia" w:ascii="宋体" w:hAnsi="宋体" w:eastAsia="宋体" w:cs="宋体"/>
                <w:color w:val="auto"/>
                <w:kern w:val="0"/>
                <w:sz w:val="21"/>
                <w:szCs w:val="21"/>
                <w:lang w:val="en-US" w:eastAsia="zh-CN"/>
              </w:rPr>
              <w:t>局</w:t>
            </w:r>
          </w:p>
          <w:p>
            <w:pPr>
              <w:widowControl/>
              <w:spacing w:line="300" w:lineRule="exact"/>
              <w:jc w:val="center"/>
              <w:textAlignment w:val="baseline"/>
              <w:rPr>
                <w:rFonts w:hint="eastAsia" w:ascii="Times New Roman" w:hAnsi="Times New Roman" w:eastAsia="宋体"/>
                <w:color w:val="auto"/>
                <w:sz w:val="21"/>
                <w:szCs w:val="21"/>
                <w:lang w:eastAsia="zh-CN"/>
              </w:rPr>
            </w:pP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b w:val="0"/>
                <w:bCs w:val="0"/>
                <w:color w:val="auto"/>
                <w:kern w:val="0"/>
                <w:sz w:val="21"/>
                <w:szCs w:val="21"/>
              </w:rPr>
              <w:t>定期、不定期开展“双随机、一公开”抽查工作，加快建立健全以“双随机、一公开”监管为基本手段、以重点监管为补充、以信用监管为基础的新型监管机制，将检查处置结果全部通过国家企业信用信息公示系统和“信用福州”网站公开。推进《政府部门“双随机、一公开”监管工作规范（</w:t>
            </w:r>
            <w:r>
              <w:rPr>
                <w:rFonts w:ascii="宋体" w:hAnsi="宋体" w:eastAsia="宋体" w:cs="宋体"/>
                <w:b w:val="0"/>
                <w:bCs w:val="0"/>
                <w:color w:val="auto"/>
                <w:kern w:val="0"/>
                <w:sz w:val="21"/>
                <w:szCs w:val="21"/>
              </w:rPr>
              <w:t>DB35/T1792-2018</w:t>
            </w:r>
            <w:r>
              <w:rPr>
                <w:rFonts w:hint="eastAsia" w:ascii="宋体" w:hAnsi="宋体" w:eastAsia="宋体" w:cs="宋体"/>
                <w:b w:val="0"/>
                <w:bCs w:val="0"/>
                <w:color w:val="auto"/>
                <w:kern w:val="0"/>
                <w:sz w:val="21"/>
                <w:szCs w:val="21"/>
              </w:rPr>
              <w:t>）》省地方标准的宣传贯彻实施，让随机不随意、监管不任性、公开更公正。推行市场主体和个人“全生命周期”的办事服务事项集成式、一站式公开</w:t>
            </w:r>
            <w:r>
              <w:rPr>
                <w:rFonts w:hint="eastAsia" w:ascii="宋体" w:hAnsi="宋体" w:eastAsia="宋体" w:cs="宋体"/>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2"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21.</w:t>
            </w:r>
            <w:r>
              <w:rPr>
                <w:rFonts w:hint="eastAsia" w:ascii="宋体" w:hAnsi="宋体" w:eastAsia="宋体" w:cs="宋体"/>
                <w:color w:val="auto"/>
                <w:kern w:val="0"/>
                <w:sz w:val="21"/>
                <w:szCs w:val="21"/>
              </w:rPr>
              <w:t>加大各类证明事项清理减并力度</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区发改</w:t>
            </w:r>
            <w:r>
              <w:rPr>
                <w:rFonts w:hint="eastAsia" w:ascii="宋体" w:hAnsi="宋体" w:eastAsia="宋体" w:cs="宋体"/>
                <w:color w:val="auto"/>
                <w:kern w:val="0"/>
                <w:sz w:val="21"/>
                <w:szCs w:val="21"/>
                <w:lang w:val="en-US" w:eastAsia="zh-CN"/>
              </w:rPr>
              <w:t>局</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区行政服务</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中心管委会</w:t>
            </w: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加大各类证明事项清理减并力度，对确需保留的证明事项实行清单管理并向社会公开。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0"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b/>
                <w:color w:val="auto"/>
                <w:kern w:val="0"/>
                <w:sz w:val="21"/>
                <w:szCs w:val="21"/>
              </w:rPr>
              <w:t>（九）强化重点民生领域信息公开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22.</w:t>
            </w:r>
            <w:r>
              <w:rPr>
                <w:rFonts w:hint="eastAsia" w:ascii="宋体" w:hAnsi="宋体" w:eastAsia="宋体" w:cs="宋体"/>
                <w:color w:val="auto"/>
                <w:kern w:val="0"/>
                <w:sz w:val="21"/>
                <w:szCs w:val="21"/>
              </w:rPr>
              <w:t>及时公开促进就业创业的政策措施</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区人社局</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区退役军人</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事务局</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及时公开促进就业创业的政策措施、就业供求信息，做好面向高校毕业生、退役军人、下岗职工、农民工等重点群体的就业专项活动和高职院校考试招生信息、奖助学金政策的公开工作。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41"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23.</w:t>
            </w:r>
            <w:r>
              <w:rPr>
                <w:rFonts w:hint="eastAsia" w:ascii="宋体" w:hAnsi="宋体" w:eastAsia="宋体" w:cs="宋体"/>
                <w:color w:val="auto"/>
                <w:kern w:val="0"/>
                <w:sz w:val="21"/>
                <w:szCs w:val="21"/>
              </w:rPr>
              <w:t>做好教育领域的信息公开工作</w:t>
            </w:r>
          </w:p>
        </w:tc>
        <w:tc>
          <w:tcPr>
            <w:tcW w:w="1392" w:type="dxa"/>
            <w:tcBorders>
              <w:top w:val="nil"/>
              <w:left w:val="nil"/>
              <w:right w:val="single" w:color="000000" w:sz="8" w:space="0"/>
            </w:tcBorders>
            <w:tcMar>
              <w:left w:w="28" w:type="dxa"/>
              <w:right w:w="28" w:type="dxa"/>
            </w:tcMar>
            <w:vAlign w:val="center"/>
          </w:tcPr>
          <w:p>
            <w:pPr>
              <w:widowControl/>
              <w:spacing w:line="300" w:lineRule="exact"/>
              <w:ind w:firstLine="208" w:firstLineChars="100"/>
              <w:jc w:val="both"/>
              <w:textAlignment w:val="baseline"/>
              <w:rPr>
                <w:rFonts w:ascii="Times New Roman" w:hAnsi="Times New Roman"/>
                <w:color w:val="auto"/>
                <w:sz w:val="21"/>
                <w:szCs w:val="21"/>
              </w:rPr>
            </w:pPr>
            <w:r>
              <w:rPr>
                <w:rFonts w:hint="eastAsia" w:ascii="宋体" w:hAnsi="宋体" w:eastAsia="宋体" w:cs="宋体"/>
                <w:color w:val="auto"/>
                <w:kern w:val="0"/>
                <w:sz w:val="21"/>
                <w:szCs w:val="21"/>
              </w:rPr>
              <w:t>区教育局</w:t>
            </w:r>
            <w:r>
              <w:rPr>
                <w:rFonts w:ascii="宋体" w:hAnsi="宋体" w:eastAsia="宋体" w:cs="宋体"/>
                <w:color w:val="auto"/>
                <w:kern w:val="0"/>
                <w:sz w:val="21"/>
                <w:szCs w:val="21"/>
              </w:rPr>
              <w:t> </w:t>
            </w: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通过多种形式及时公开义务教育招生政策、招生范围、招生程序、报名条件、学校情况、录取结果、咨询方式等信息，以及多渠道扩大学前教育供给的相关信息，促进发展更加公平更有质量的教育。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67"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24.</w:t>
            </w:r>
            <w:r>
              <w:rPr>
                <w:rFonts w:hint="eastAsia" w:ascii="宋体" w:hAnsi="宋体" w:eastAsia="宋体" w:cs="宋体"/>
                <w:color w:val="auto"/>
                <w:kern w:val="0"/>
                <w:sz w:val="21"/>
                <w:szCs w:val="21"/>
              </w:rPr>
              <w:t>做好医疗领域信息公开工作</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区卫健</w:t>
            </w:r>
            <w:r>
              <w:rPr>
                <w:rFonts w:hint="eastAsia" w:ascii="宋体" w:hAnsi="宋体" w:eastAsia="宋体" w:cs="宋体"/>
                <w:color w:val="auto"/>
                <w:kern w:val="0"/>
                <w:sz w:val="21"/>
                <w:szCs w:val="21"/>
                <w:lang w:val="en-US" w:eastAsia="zh-CN"/>
              </w:rPr>
              <w:t>局</w:t>
            </w:r>
          </w:p>
          <w:p>
            <w:pPr>
              <w:widowControl/>
              <w:spacing w:line="300" w:lineRule="exact"/>
              <w:jc w:val="center"/>
              <w:textAlignment w:val="baseline"/>
              <w:rPr>
                <w:rFonts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福州市长乐医疗保障局</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区市场监管局</w:t>
            </w: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围绕保障人民群众身体健康，加大医疗服务、药品安全、医保监管、疫苗监管、公立医疗卫生机构绩效考核结果等方面信息公开力度。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4"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25.</w:t>
            </w:r>
            <w:r>
              <w:rPr>
                <w:rFonts w:hint="eastAsia" w:ascii="宋体" w:hAnsi="宋体" w:eastAsia="宋体" w:cs="宋体"/>
                <w:color w:val="auto"/>
                <w:kern w:val="0"/>
                <w:sz w:val="21"/>
                <w:szCs w:val="21"/>
              </w:rPr>
              <w:t>推进征地信息主动公开</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区自然资源和</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规划局</w:t>
            </w: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按照自然资源部征地信息公开指引及相关要求，进一步推进征地信息主动公开。乡镇人民政府应当根据本地方具体情况，主动公开贯彻落实农业农村政策、农田水利工程建设运营、农村土地承包经营权流转、宅基地使用情况审核、土地征收、房屋征收、筹资筹劳、社会救助等方面的政府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6"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26.</w:t>
            </w:r>
            <w:r>
              <w:rPr>
                <w:rFonts w:hint="eastAsia" w:ascii="宋体" w:hAnsi="宋体" w:eastAsia="宋体" w:cs="宋体"/>
                <w:color w:val="auto"/>
                <w:kern w:val="0"/>
                <w:sz w:val="21"/>
                <w:szCs w:val="21"/>
              </w:rPr>
              <w:t>做好公共服务、公益事业、社会救助等民生领域信息公开工作</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jc w:val="lef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做好公共服务、公益事业、社会救助等民生领域信息公开工作。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0" w:hRule="atLeast"/>
          <w:jc w:val="center"/>
        </w:trPr>
        <w:tc>
          <w:tcPr>
            <w:tcW w:w="13920" w:type="dxa"/>
            <w:gridSpan w:val="4"/>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b/>
                <w:color w:val="auto"/>
                <w:kern w:val="0"/>
                <w:sz w:val="21"/>
                <w:szCs w:val="21"/>
              </w:rPr>
              <w:t>（十）细化财政信息公开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92"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bCs/>
                <w:color w:val="auto"/>
                <w:kern w:val="0"/>
                <w:sz w:val="21"/>
                <w:szCs w:val="21"/>
              </w:rPr>
              <w:t>27.</w:t>
            </w:r>
            <w:r>
              <w:rPr>
                <w:rFonts w:hint="eastAsia" w:ascii="宋体" w:hAnsi="宋体" w:eastAsia="宋体" w:cs="宋体"/>
                <w:bCs/>
                <w:color w:val="auto"/>
                <w:kern w:val="0"/>
                <w:sz w:val="21"/>
                <w:szCs w:val="21"/>
              </w:rPr>
              <w:t>细化财政信息公开</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区财政局</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全面公开专项资金立项依据、实施主体、预算安排、绩效目标、绩效自评结果、绩效评价报告等情况。推进地方政府债务信息公开，各级财政部门定期公开地方政府债务限额、余额、使用安排及还本付息等信息。除涉密信息外，各级政府和部门要及时主动公开预决算情况和政府集中采购项目的目录、标准和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jc w:val="center"/>
        </w:trPr>
        <w:tc>
          <w:tcPr>
            <w:tcW w:w="13920" w:type="dxa"/>
            <w:gridSpan w:val="4"/>
            <w:tcBorders>
              <w:top w:val="nil"/>
              <w:left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Times New Roman" w:hAnsi="Times New Roman"/>
                <w:color w:val="auto"/>
                <w:sz w:val="21"/>
                <w:szCs w:val="21"/>
              </w:rPr>
            </w:pPr>
            <w:r>
              <w:rPr>
                <w:rFonts w:hint="eastAsia" w:ascii="宋体" w:hAnsi="宋体" w:eastAsia="宋体" w:cs="宋体"/>
                <w:b/>
                <w:bCs/>
                <w:color w:val="auto"/>
                <w:sz w:val="21"/>
                <w:szCs w:val="21"/>
              </w:rPr>
              <w:t>三、规范公开平台，优化服务功能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6" w:hRule="atLeast"/>
          <w:jc w:val="center"/>
        </w:trPr>
        <w:tc>
          <w:tcPr>
            <w:tcW w:w="13920" w:type="dxa"/>
            <w:gridSpan w:val="4"/>
            <w:tcBorders>
              <w:top w:val="nil"/>
              <w:left w:val="single" w:color="000000" w:sz="8" w:space="0"/>
              <w:right w:val="single" w:color="000000" w:sz="8" w:space="0"/>
            </w:tcBorders>
            <w:tcMar>
              <w:left w:w="28" w:type="dxa"/>
              <w:right w:w="28" w:type="dxa"/>
            </w:tcMar>
            <w:vAlign w:val="center"/>
          </w:tcPr>
          <w:p>
            <w:pPr>
              <w:widowControl/>
              <w:spacing w:line="300" w:lineRule="exact"/>
              <w:jc w:val="left"/>
              <w:textAlignment w:val="baseline"/>
              <w:rPr>
                <w:rFonts w:ascii="宋体" w:hAnsi="宋体" w:eastAsia="宋体" w:cs="宋体"/>
                <w:b/>
                <w:bCs/>
                <w:color w:val="auto"/>
                <w:sz w:val="21"/>
                <w:szCs w:val="21"/>
              </w:rPr>
            </w:pPr>
            <w:r>
              <w:rPr>
                <w:rFonts w:hint="eastAsia" w:ascii="宋体" w:hAnsi="宋体" w:eastAsia="宋体" w:cs="宋体"/>
                <w:b/>
                <w:bCs/>
                <w:color w:val="auto"/>
                <w:kern w:val="0"/>
                <w:sz w:val="21"/>
                <w:szCs w:val="21"/>
              </w:rPr>
              <w:t>（十一）推进政府网站优质规范发展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5" w:hRule="atLeast"/>
          <w:jc w:val="center"/>
        </w:trPr>
        <w:tc>
          <w:tcPr>
            <w:tcW w:w="3480" w:type="dxa"/>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28.</w:t>
            </w:r>
            <w:r>
              <w:rPr>
                <w:rFonts w:hint="eastAsia" w:ascii="宋体" w:hAnsi="宋体" w:eastAsia="宋体" w:cs="宋体"/>
                <w:color w:val="auto"/>
                <w:kern w:val="0"/>
                <w:sz w:val="21"/>
                <w:szCs w:val="21"/>
              </w:rPr>
              <w:t>提高政府网站管理服务水平</w:t>
            </w:r>
          </w:p>
        </w:tc>
        <w:tc>
          <w:tcPr>
            <w:tcW w:w="1392" w:type="dxa"/>
            <w:tcMar>
              <w:left w:w="28" w:type="dxa"/>
              <w:right w:w="28" w:type="dxa"/>
            </w:tcMar>
            <w:vAlign w:val="center"/>
          </w:tcPr>
          <w:p>
            <w:pPr>
              <w:widowControl/>
              <w:spacing w:line="30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区大数据</w:t>
            </w:r>
          </w:p>
          <w:p>
            <w:pPr>
              <w:widowControl/>
              <w:spacing w:line="300" w:lineRule="exact"/>
              <w:jc w:val="center"/>
              <w:textAlignment w:val="baseline"/>
              <w:rPr>
                <w:rFonts w:hint="eastAsia" w:ascii="Times New Roman" w:hAnsi="Times New Roman" w:eastAsia="宋体"/>
                <w:color w:val="auto"/>
                <w:sz w:val="21"/>
                <w:szCs w:val="21"/>
                <w:lang w:eastAsia="zh-CN"/>
              </w:rPr>
            </w:pPr>
            <w:r>
              <w:rPr>
                <w:rFonts w:hint="eastAsia" w:ascii="宋体" w:hAnsi="宋体" w:eastAsia="宋体" w:cs="宋体"/>
                <w:color w:val="auto"/>
                <w:sz w:val="21"/>
                <w:szCs w:val="21"/>
                <w:lang w:val="en-US" w:eastAsia="zh-CN"/>
              </w:rPr>
              <w:t>管理局</w:t>
            </w:r>
          </w:p>
        </w:tc>
        <w:tc>
          <w:tcPr>
            <w:tcW w:w="4315" w:type="dxa"/>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贯彻落实《福建省人民政府办公厅转发国务院办公厅关于印发政府网站发展指引的通知》（闽政办〔</w:t>
            </w:r>
            <w:r>
              <w:rPr>
                <w:rFonts w:ascii="宋体" w:hAnsi="宋体" w:eastAsia="宋体" w:cs="宋体"/>
                <w:color w:val="auto"/>
                <w:kern w:val="0"/>
                <w:sz w:val="21"/>
                <w:szCs w:val="21"/>
              </w:rPr>
              <w:t>2017</w:t>
            </w:r>
            <w:r>
              <w:rPr>
                <w:rFonts w:hint="eastAsia" w:ascii="宋体" w:hAnsi="宋体" w:eastAsia="宋体" w:cs="宋体"/>
                <w:color w:val="auto"/>
                <w:kern w:val="0"/>
                <w:sz w:val="21"/>
                <w:szCs w:val="21"/>
              </w:rPr>
              <w:t>〕</w:t>
            </w:r>
            <w:r>
              <w:rPr>
                <w:rFonts w:ascii="宋体" w:hAnsi="宋体" w:eastAsia="宋体" w:cs="宋体"/>
                <w:color w:val="auto"/>
                <w:kern w:val="0"/>
                <w:sz w:val="21"/>
                <w:szCs w:val="21"/>
              </w:rPr>
              <w:t>65</w:t>
            </w:r>
            <w:r>
              <w:rPr>
                <w:rFonts w:hint="eastAsia" w:ascii="宋体" w:hAnsi="宋体" w:eastAsia="宋体" w:cs="宋体"/>
                <w:color w:val="auto"/>
                <w:kern w:val="0"/>
                <w:sz w:val="21"/>
                <w:szCs w:val="21"/>
              </w:rPr>
              <w:t>号），强化责任管理，做好常态化抽查通报，不断提高政府网站管理服务水平。完善政府网站安全保障机制，做好防攻击、防篡改、防病毒等工作。建立健全政府网站用户信息保护制度，确保用户信息安全。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80"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29.</w:t>
            </w:r>
            <w:r>
              <w:rPr>
                <w:rFonts w:hint="eastAsia" w:ascii="宋体" w:hAnsi="宋体" w:eastAsia="宋体" w:cs="宋体"/>
                <w:color w:val="auto"/>
                <w:kern w:val="0"/>
                <w:sz w:val="21"/>
                <w:szCs w:val="21"/>
              </w:rPr>
              <w:t>加快推进政府网站集约化，持续提升政府网上履职能力和服务水平</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区大数据</w:t>
            </w:r>
          </w:p>
          <w:p>
            <w:pPr>
              <w:widowControl/>
              <w:spacing w:line="300" w:lineRule="exact"/>
              <w:jc w:val="center"/>
              <w:textAlignment w:val="baseline"/>
              <w:rPr>
                <w:rFonts w:ascii="Times New Roman" w:hAnsi="Times New Roman"/>
                <w:color w:val="auto"/>
                <w:sz w:val="21"/>
                <w:szCs w:val="21"/>
              </w:rPr>
            </w:pPr>
            <w:r>
              <w:rPr>
                <w:rFonts w:hint="eastAsia" w:ascii="宋体" w:hAnsi="宋体" w:eastAsia="宋体" w:cs="宋体"/>
                <w:color w:val="auto"/>
                <w:sz w:val="21"/>
                <w:szCs w:val="21"/>
                <w:lang w:val="en-US" w:eastAsia="zh-CN"/>
              </w:rPr>
              <w:t>管理局</w:t>
            </w:r>
          </w:p>
        </w:tc>
        <w:tc>
          <w:tcPr>
            <w:tcW w:w="4315" w:type="dxa"/>
            <w:tcBorders>
              <w:top w:val="nil"/>
              <w:left w:val="nil"/>
              <w:right w:val="single" w:color="000000" w:sz="8" w:space="0"/>
            </w:tcBorders>
            <w:tcMar>
              <w:left w:w="28" w:type="dxa"/>
              <w:right w:w="28" w:type="dxa"/>
            </w:tcMar>
            <w:vAlign w:val="center"/>
          </w:tcPr>
          <w:p>
            <w:pPr>
              <w:widowControl/>
              <w:spacing w:line="300" w:lineRule="exact"/>
              <w:jc w:val="left"/>
              <w:textAlignment w:val="baseline"/>
              <w:rPr>
                <w:rFonts w:ascii="宋体" w:hAnsi="宋体" w:eastAsia="宋体" w:cs="宋体"/>
                <w:color w:val="auto"/>
                <w:kern w:val="0"/>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抓紧完成政府网站域名集中清理。平稳做好机构改革后政府网站新建、整合、改版、迁移等工作。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5"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ascii="宋体" w:hAnsi="宋体" w:eastAsia="宋体" w:cs="宋体"/>
                <w:color w:val="auto"/>
                <w:kern w:val="0"/>
                <w:sz w:val="21"/>
                <w:szCs w:val="21"/>
              </w:rPr>
              <w:t>30.</w:t>
            </w:r>
            <w:r>
              <w:rPr>
                <w:rFonts w:hint="eastAsia" w:ascii="宋体" w:hAnsi="宋体" w:eastAsia="宋体" w:cs="宋体"/>
                <w:color w:val="auto"/>
                <w:kern w:val="0"/>
                <w:sz w:val="21"/>
                <w:szCs w:val="21"/>
              </w:rPr>
              <w:t>推进政府网站部署互联网协议第六版（</w:t>
            </w:r>
            <w:r>
              <w:rPr>
                <w:rFonts w:ascii="宋体" w:hAnsi="宋体" w:eastAsia="宋体" w:cs="宋体"/>
                <w:color w:val="auto"/>
                <w:kern w:val="0"/>
                <w:sz w:val="21"/>
                <w:szCs w:val="21"/>
              </w:rPr>
              <w:t>IPv6</w:t>
            </w:r>
            <w:r>
              <w:rPr>
                <w:rFonts w:hint="eastAsia" w:ascii="宋体" w:hAnsi="宋体" w:eastAsia="宋体" w:cs="宋体"/>
                <w:color w:val="auto"/>
                <w:kern w:val="0"/>
                <w:sz w:val="21"/>
                <w:szCs w:val="21"/>
              </w:rPr>
              <w:t>）</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区大数据</w:t>
            </w:r>
          </w:p>
          <w:p>
            <w:pPr>
              <w:widowControl/>
              <w:spacing w:line="300" w:lineRule="exact"/>
              <w:jc w:val="center"/>
              <w:textAlignment w:val="baseline"/>
              <w:rPr>
                <w:rFonts w:ascii="Times New Roman" w:hAnsi="Times New Roman"/>
                <w:color w:val="auto"/>
                <w:sz w:val="21"/>
                <w:szCs w:val="21"/>
              </w:rPr>
            </w:pPr>
            <w:r>
              <w:rPr>
                <w:rFonts w:hint="eastAsia" w:ascii="宋体" w:hAnsi="宋体" w:eastAsia="宋体" w:cs="宋体"/>
                <w:color w:val="auto"/>
                <w:sz w:val="21"/>
                <w:szCs w:val="21"/>
                <w:lang w:val="en-US" w:eastAsia="zh-CN"/>
              </w:rPr>
              <w:t>管理局</w:t>
            </w: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Times New Roman" w:hAnsi="Times New Roman"/>
                <w:color w:val="auto"/>
                <w:sz w:val="21"/>
                <w:szCs w:val="21"/>
              </w:rPr>
            </w:pPr>
            <w:r>
              <w:rPr>
                <w:rFonts w:hint="eastAsia" w:ascii="宋体" w:hAnsi="宋体" w:eastAsia="宋体" w:cs="宋体"/>
                <w:color w:val="auto"/>
                <w:kern w:val="0"/>
                <w:sz w:val="21"/>
                <w:szCs w:val="21"/>
              </w:rPr>
              <w:t>加快各级政府门户网站及其附属应用系统、移动互联网应用升级改造</w:t>
            </w:r>
            <w:r>
              <w:rPr>
                <w:rFonts w:hint="eastAsia" w:ascii="宋体" w:hAnsi="宋体" w:eastAsia="宋体" w:cs="宋体"/>
                <w:b w:val="0"/>
                <w:bCs w:val="0"/>
                <w:color w:val="auto"/>
                <w:kern w:val="0"/>
                <w:sz w:val="21"/>
                <w:szCs w:val="21"/>
              </w:rPr>
              <w:t>，全面支持</w:t>
            </w:r>
            <w:r>
              <w:rPr>
                <w:rFonts w:ascii="宋体" w:hAnsi="宋体" w:eastAsia="宋体" w:cs="宋体"/>
                <w:b w:val="0"/>
                <w:bCs w:val="0"/>
                <w:color w:val="auto"/>
                <w:kern w:val="0"/>
                <w:sz w:val="21"/>
                <w:szCs w:val="21"/>
              </w:rPr>
              <w:t>IPv6</w:t>
            </w:r>
            <w:r>
              <w:rPr>
                <w:rFonts w:hint="eastAsia" w:ascii="宋体" w:hAnsi="宋体" w:eastAsia="宋体" w:cs="宋体"/>
                <w:b w:val="0"/>
                <w:bCs w:val="0"/>
                <w:color w:val="auto"/>
                <w:kern w:val="0"/>
                <w:sz w:val="21"/>
                <w:szCs w:val="21"/>
              </w:rPr>
              <w:t>，</w:t>
            </w:r>
            <w:r>
              <w:rPr>
                <w:rFonts w:hint="eastAsia" w:ascii="宋体" w:hAnsi="宋体" w:eastAsia="宋体" w:cs="宋体"/>
                <w:color w:val="auto"/>
                <w:kern w:val="0"/>
                <w:sz w:val="21"/>
                <w:szCs w:val="21"/>
              </w:rPr>
              <w:t>发挥政府网站示范带头作用。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4" w:hRule="atLeast"/>
          <w:jc w:val="center"/>
        </w:trPr>
        <w:tc>
          <w:tcPr>
            <w:tcW w:w="13920" w:type="dxa"/>
            <w:gridSpan w:val="4"/>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（十二）推进政务新媒体健康有序发展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49" w:hRule="atLeast"/>
          <w:jc w:val="center"/>
        </w:trPr>
        <w:tc>
          <w:tcPr>
            <w:tcW w:w="3480" w:type="dxa"/>
            <w:tcBorders>
              <w:top w:val="nil"/>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31.</w:t>
            </w:r>
            <w:r>
              <w:rPr>
                <w:rFonts w:hint="eastAsia" w:ascii="宋体" w:hAnsi="宋体" w:eastAsia="宋体" w:cs="宋体"/>
                <w:color w:val="auto"/>
                <w:kern w:val="0"/>
                <w:sz w:val="21"/>
                <w:szCs w:val="21"/>
              </w:rPr>
              <w:t>充分发挥新媒体平台作用</w:t>
            </w:r>
          </w:p>
        </w:tc>
        <w:tc>
          <w:tcPr>
            <w:tcW w:w="1392"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区大数据</w:t>
            </w:r>
          </w:p>
          <w:p>
            <w:pPr>
              <w:widowControl/>
              <w:spacing w:line="300" w:lineRule="exact"/>
              <w:jc w:val="center"/>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管理局</w:t>
            </w:r>
          </w:p>
        </w:tc>
        <w:tc>
          <w:tcPr>
            <w:tcW w:w="4315"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统筹推进政务新媒体与政府网站的协同联动、融合发展，加强各乡镇政务新媒体与本地区融媒体中心的沟通协调，提高信息发布、解读回应、政民互动、办事服务的整体水平。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9" w:hRule="atLeast"/>
          <w:jc w:val="center"/>
        </w:trPr>
        <w:tc>
          <w:tcPr>
            <w:tcW w:w="3480" w:type="dxa"/>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kern w:val="0"/>
                <w:sz w:val="21"/>
                <w:szCs w:val="21"/>
              </w:rPr>
              <w:t>32.</w:t>
            </w:r>
            <w:r>
              <w:rPr>
                <w:rFonts w:hint="eastAsia" w:ascii="宋体" w:hAnsi="宋体" w:eastAsia="宋体" w:cs="宋体"/>
                <w:color w:val="auto"/>
                <w:kern w:val="0"/>
                <w:sz w:val="21"/>
                <w:szCs w:val="21"/>
              </w:rPr>
              <w:t>加强新媒体平台维护管理</w:t>
            </w:r>
          </w:p>
        </w:tc>
        <w:tc>
          <w:tcPr>
            <w:tcW w:w="1392" w:type="dxa"/>
            <w:tcBorders>
              <w:top w:val="nil"/>
              <w:left w:val="nil"/>
              <w:right w:val="single" w:color="000000" w:sz="8" w:space="0"/>
            </w:tcBorders>
            <w:tcMar>
              <w:left w:w="28" w:type="dxa"/>
              <w:right w:w="28" w:type="dxa"/>
            </w:tcMar>
            <w:vAlign w:val="center"/>
          </w:tcPr>
          <w:p>
            <w:pPr>
              <w:widowControl/>
              <w:spacing w:line="300" w:lineRule="exact"/>
              <w:jc w:val="center"/>
              <w:textAlignment w:val="baseline"/>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区大数据</w:t>
            </w:r>
          </w:p>
          <w:p>
            <w:pPr>
              <w:widowControl/>
              <w:spacing w:line="300" w:lineRule="exact"/>
              <w:jc w:val="center"/>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管理局</w:t>
            </w:r>
          </w:p>
        </w:tc>
        <w:tc>
          <w:tcPr>
            <w:tcW w:w="4315"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top w:val="nil"/>
              <w:left w:val="nil"/>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kern w:val="0"/>
                <w:sz w:val="21"/>
                <w:szCs w:val="21"/>
              </w:rPr>
              <w:t>理顺“</w:t>
            </w:r>
            <w:r>
              <w:rPr>
                <w:rFonts w:ascii="宋体" w:hAnsi="宋体" w:eastAsia="宋体" w:cs="宋体"/>
                <w:color w:val="auto"/>
                <w:kern w:val="0"/>
                <w:sz w:val="21"/>
                <w:szCs w:val="21"/>
              </w:rPr>
              <w:t>e</w:t>
            </w:r>
            <w:r>
              <w:rPr>
                <w:rFonts w:hint="eastAsia" w:ascii="宋体" w:hAnsi="宋体" w:eastAsia="宋体" w:cs="宋体"/>
                <w:color w:val="auto"/>
                <w:kern w:val="0"/>
                <w:sz w:val="21"/>
                <w:szCs w:val="21"/>
              </w:rPr>
              <w:t>福州”</w:t>
            </w:r>
            <w:r>
              <w:rPr>
                <w:rFonts w:ascii="宋体" w:hAnsi="宋体" w:eastAsia="宋体" w:cs="宋体"/>
                <w:color w:val="auto"/>
                <w:kern w:val="0"/>
                <w:sz w:val="21"/>
                <w:szCs w:val="21"/>
              </w:rPr>
              <w:t>APP</w:t>
            </w:r>
            <w:r>
              <w:rPr>
                <w:rFonts w:hint="eastAsia" w:ascii="宋体" w:hAnsi="宋体" w:eastAsia="宋体" w:cs="宋体"/>
                <w:color w:val="auto"/>
                <w:kern w:val="0"/>
                <w:sz w:val="21"/>
                <w:szCs w:val="21"/>
              </w:rPr>
              <w:t>、微信公众号、政务微博等政务新媒体管理机制，建立健全相关工作制度，做好开设整合、内容保障、信息联动、安全防护、监督管理等工作。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2" w:hRule="atLeast"/>
          <w:jc w:val="center"/>
        </w:trPr>
        <w:tc>
          <w:tcPr>
            <w:tcW w:w="13920" w:type="dxa"/>
            <w:gridSpan w:val="4"/>
            <w:tcBorders>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（十</w:t>
            </w:r>
            <w:r>
              <w:rPr>
                <w:rFonts w:hint="eastAsia" w:ascii="宋体" w:hAnsi="宋体" w:eastAsia="宋体" w:cs="宋体"/>
                <w:b/>
                <w:color w:val="auto"/>
                <w:kern w:val="0"/>
                <w:sz w:val="21"/>
                <w:szCs w:val="21"/>
                <w:lang w:val="en-US" w:eastAsia="zh-CN"/>
              </w:rPr>
              <w:t>三</w:t>
            </w:r>
            <w:r>
              <w:rPr>
                <w:rFonts w:hint="eastAsia" w:ascii="宋体" w:hAnsi="宋体" w:eastAsia="宋体" w:cs="宋体"/>
                <w:b/>
                <w:color w:val="auto"/>
                <w:kern w:val="0"/>
                <w:sz w:val="21"/>
                <w:szCs w:val="21"/>
              </w:rPr>
              <w:t>）加快办事大厅线上线下融合发展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78"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tabs>
                <w:tab w:val="left" w:pos="893"/>
              </w:tabs>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3</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及时梳理并公开审批服务事项、办事指南、办事流程</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区行政服务</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中心管委会</w:t>
            </w: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结合机构改革后的职责调整变化情况，及时梳理编制并公开进驻办事大厅的审批服务事项、办事指南、办事流程等。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4</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不断深化“一窗受理、集成服务”改革，进一步整合优化实体办事大厅“一站式”功能，加快实现“一个窗口”“一次办理”</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区行政服务</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中心管委会</w:t>
            </w:r>
          </w:p>
          <w:p>
            <w:pPr>
              <w:widowControl/>
              <w:spacing w:line="300" w:lineRule="exact"/>
              <w:jc w:val="center"/>
              <w:textAlignment w:val="baseline"/>
              <w:rPr>
                <w:rFonts w:ascii="宋体" w:hAnsi="宋体" w:eastAsia="宋体" w:cs="宋体"/>
                <w:color w:val="auto"/>
                <w:kern w:val="0"/>
                <w:sz w:val="21"/>
                <w:szCs w:val="21"/>
              </w:rPr>
            </w:pP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对部门进驻行政服务中心的办事窗口进行有效整合，依事项性质和类别设立综合窗口，实行前台综合受理、后台分类审批、统一窗口出件模式。对涉及多个部门的复杂事项，建立部门联办机制，探索推行全程代办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88" w:hRule="atLeast"/>
          <w:jc w:val="center"/>
        </w:trPr>
        <w:tc>
          <w:tcPr>
            <w:tcW w:w="3480" w:type="dxa"/>
            <w:tcBorders>
              <w:left w:val="single" w:color="000000" w:sz="8" w:space="0"/>
              <w:bottom w:val="single" w:color="000000" w:sz="8" w:space="0"/>
              <w:right w:val="single" w:color="000000" w:sz="8" w:space="0"/>
            </w:tcBorders>
            <w:tcMar>
              <w:left w:w="28" w:type="dxa"/>
              <w:right w:w="28" w:type="dxa"/>
            </w:tcMar>
            <w:vAlign w:val="center"/>
          </w:tcPr>
          <w:p>
            <w:pPr>
              <w:widowControl/>
              <w:tabs>
                <w:tab w:val="left" w:pos="998"/>
              </w:tabs>
              <w:spacing w:line="300" w:lineRule="exact"/>
              <w:textAlignment w:val="baseline"/>
              <w:rPr>
                <w:rFonts w:ascii="宋体" w:hAnsi="宋体" w:eastAsia="宋体" w:cs="宋体"/>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lang w:val="en-US" w:eastAsia="zh-CN"/>
              </w:rPr>
              <w:t>5</w:t>
            </w:r>
            <w:r>
              <w:rPr>
                <w:rFonts w:ascii="宋体" w:hAnsi="宋体" w:eastAsia="宋体" w:cs="宋体"/>
                <w:color w:val="auto"/>
                <w:kern w:val="0"/>
                <w:sz w:val="21"/>
                <w:szCs w:val="21"/>
              </w:rPr>
              <w:t>.</w:t>
            </w:r>
            <w:r>
              <w:rPr>
                <w:rFonts w:hint="eastAsia" w:ascii="宋体" w:hAnsi="宋体" w:eastAsia="宋体" w:cs="宋体"/>
                <w:color w:val="auto"/>
                <w:kern w:val="0"/>
                <w:sz w:val="21"/>
                <w:szCs w:val="21"/>
              </w:rPr>
              <w:t>全面清理整合政务热线电话</w:t>
            </w:r>
          </w:p>
        </w:tc>
        <w:tc>
          <w:tcPr>
            <w:tcW w:w="1392" w:type="dxa"/>
            <w:tcBorders>
              <w:left w:val="nil"/>
              <w:bottom w:val="single" w:color="000000" w:sz="8" w:space="0"/>
              <w:right w:val="single" w:color="000000" w:sz="8" w:space="0"/>
            </w:tcBorders>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lang w:val="en-US" w:eastAsia="zh-CN"/>
              </w:rPr>
              <w:t>区</w:t>
            </w:r>
            <w:r>
              <w:rPr>
                <w:rFonts w:hint="eastAsia" w:ascii="宋体" w:hAnsi="宋体" w:eastAsia="宋体" w:cs="宋体"/>
                <w:color w:val="auto"/>
                <w:kern w:val="0"/>
                <w:sz w:val="21"/>
                <w:szCs w:val="21"/>
              </w:rPr>
              <w:t>“智慧</w:t>
            </w:r>
            <w:r>
              <w:rPr>
                <w:rFonts w:hint="eastAsia" w:ascii="宋体" w:hAnsi="宋体" w:eastAsia="宋体" w:cs="宋体"/>
                <w:color w:val="auto"/>
                <w:kern w:val="0"/>
                <w:sz w:val="21"/>
                <w:szCs w:val="21"/>
                <w:lang w:val="en-US" w:eastAsia="zh-CN"/>
              </w:rPr>
              <w:t>长乐</w:t>
            </w:r>
            <w:r>
              <w:rPr>
                <w:rFonts w:hint="eastAsia" w:ascii="宋体" w:hAnsi="宋体" w:eastAsia="宋体" w:cs="宋体"/>
                <w:color w:val="auto"/>
                <w:kern w:val="0"/>
                <w:sz w:val="21"/>
                <w:szCs w:val="21"/>
              </w:rPr>
              <w:t>”</w:t>
            </w:r>
          </w:p>
          <w:p>
            <w:pPr>
              <w:widowControl/>
              <w:spacing w:line="300" w:lineRule="exact"/>
              <w:jc w:val="center"/>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管理服务中心</w:t>
            </w:r>
          </w:p>
        </w:tc>
        <w:tc>
          <w:tcPr>
            <w:tcW w:w="4315"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Borders>
              <w:left w:val="nil"/>
              <w:bottom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kern w:val="0"/>
                <w:sz w:val="21"/>
                <w:szCs w:val="21"/>
              </w:rPr>
            </w:pPr>
            <w:r>
              <w:rPr>
                <w:rFonts w:hint="eastAsia" w:ascii="宋体" w:hAnsi="宋体" w:eastAsia="宋体" w:cs="宋体"/>
                <w:color w:val="auto"/>
                <w:kern w:val="0"/>
                <w:sz w:val="21"/>
                <w:szCs w:val="21"/>
              </w:rPr>
              <w:t>进一步清理整合政务热线，推动政务热线与政府网站互动交流系统互联互通，除因专业性强、咨询服务量大确需保留的政务热线外，加快将各部门、各类便民公开电话专线统一整合到</w:t>
            </w:r>
            <w:r>
              <w:rPr>
                <w:rFonts w:ascii="宋体" w:hAnsi="宋体" w:eastAsia="宋体" w:cs="宋体"/>
                <w:color w:val="auto"/>
                <w:kern w:val="0"/>
                <w:sz w:val="21"/>
                <w:szCs w:val="21"/>
              </w:rPr>
              <w:t>12345</w:t>
            </w:r>
            <w:r>
              <w:rPr>
                <w:rFonts w:hint="eastAsia" w:ascii="宋体" w:hAnsi="宋体" w:eastAsia="宋体" w:cs="宋体"/>
                <w:color w:val="auto"/>
                <w:kern w:val="0"/>
                <w:sz w:val="21"/>
                <w:szCs w:val="21"/>
              </w:rPr>
              <w:t>热线电话，实现“一号对外”。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13920" w:type="dxa"/>
            <w:gridSpan w:val="4"/>
            <w:tcBorders>
              <w:top w:val="nil"/>
              <w:left w:val="single" w:color="000000" w:sz="8" w:space="0"/>
              <w:right w:val="single" w:color="000000" w:sz="8" w:space="0"/>
            </w:tcBorders>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b/>
                <w:color w:val="auto"/>
                <w:kern w:val="0"/>
                <w:sz w:val="21"/>
                <w:szCs w:val="21"/>
              </w:rPr>
              <w:t>（十</w:t>
            </w:r>
            <w:r>
              <w:rPr>
                <w:rFonts w:hint="eastAsia" w:ascii="宋体" w:hAnsi="宋体" w:eastAsia="宋体" w:cs="宋体"/>
                <w:b/>
                <w:color w:val="auto"/>
                <w:kern w:val="0"/>
                <w:sz w:val="21"/>
                <w:szCs w:val="21"/>
                <w:lang w:val="en-US" w:eastAsia="zh-CN"/>
              </w:rPr>
              <w:t>四</w:t>
            </w:r>
            <w:r>
              <w:rPr>
                <w:rFonts w:hint="eastAsia" w:ascii="宋体" w:hAnsi="宋体" w:eastAsia="宋体" w:cs="宋体"/>
                <w:b/>
                <w:color w:val="auto"/>
                <w:kern w:val="0"/>
                <w:sz w:val="21"/>
                <w:szCs w:val="21"/>
              </w:rPr>
              <w:t>）健全制度规范，提升公开质量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90" w:hRule="atLeast"/>
          <w:jc w:val="center"/>
        </w:trPr>
        <w:tc>
          <w:tcPr>
            <w:tcW w:w="3480"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val="en-US" w:eastAsia="zh-CN"/>
              </w:rPr>
              <w:t>6</w:t>
            </w:r>
            <w:r>
              <w:rPr>
                <w:rFonts w:ascii="宋体" w:hAnsi="宋体" w:eastAsia="宋体" w:cs="宋体"/>
                <w:color w:val="auto"/>
                <w:sz w:val="21"/>
                <w:szCs w:val="21"/>
              </w:rPr>
              <w:t>.</w:t>
            </w:r>
            <w:r>
              <w:rPr>
                <w:rFonts w:hint="eastAsia" w:ascii="宋体" w:hAnsi="宋体" w:eastAsia="宋体" w:cs="宋体"/>
                <w:color w:val="auto"/>
                <w:sz w:val="21"/>
                <w:szCs w:val="21"/>
              </w:rPr>
              <w:t>贯彻落实政府信息公开新条例</w:t>
            </w:r>
          </w:p>
        </w:tc>
        <w:tc>
          <w:tcPr>
            <w:tcW w:w="1392" w:type="dxa"/>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p>
        </w:tc>
        <w:tc>
          <w:tcPr>
            <w:tcW w:w="4315"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加强对新条例的宣传解读，加强对政府工作人员培训，不断优化提升公开的数量和质量。进一步做好依申请公开工作。建立健全公共企事业单位信息公开制度，组织编制公共企事业公开事项目录，为公共企事业信息公开提供标准、规范、遵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2" w:hRule="atLeast"/>
          <w:jc w:val="center"/>
        </w:trPr>
        <w:tc>
          <w:tcPr>
            <w:tcW w:w="3480"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val="en-US" w:eastAsia="zh-CN"/>
              </w:rPr>
              <w:t>7</w:t>
            </w:r>
            <w:r>
              <w:rPr>
                <w:rFonts w:ascii="宋体" w:hAnsi="宋体" w:eastAsia="宋体" w:cs="宋体"/>
                <w:color w:val="auto"/>
                <w:sz w:val="21"/>
                <w:szCs w:val="21"/>
              </w:rPr>
              <w:t>.</w:t>
            </w:r>
            <w:r>
              <w:rPr>
                <w:rFonts w:hint="eastAsia" w:ascii="宋体" w:hAnsi="宋体" w:eastAsia="宋体" w:cs="宋体"/>
                <w:color w:val="auto"/>
                <w:sz w:val="21"/>
                <w:szCs w:val="21"/>
              </w:rPr>
              <w:t>学习借鉴基层政务公开试点经验</w:t>
            </w:r>
          </w:p>
        </w:tc>
        <w:tc>
          <w:tcPr>
            <w:tcW w:w="1392" w:type="dxa"/>
            <w:tcMar>
              <w:left w:w="28" w:type="dxa"/>
              <w:right w:w="28" w:type="dxa"/>
            </w:tcMar>
            <w:vAlign w:val="center"/>
          </w:tcPr>
          <w:p>
            <w:pPr>
              <w:widowControl/>
              <w:spacing w:line="300" w:lineRule="exact"/>
              <w:jc w:val="center"/>
              <w:textAlignment w:val="baseline"/>
              <w:rPr>
                <w:rFonts w:ascii="宋体" w:hAnsi="宋体" w:eastAsia="宋体" w:cs="宋体"/>
                <w:color w:val="auto"/>
                <w:kern w:val="0"/>
                <w:sz w:val="21"/>
                <w:szCs w:val="21"/>
              </w:rPr>
            </w:pPr>
          </w:p>
        </w:tc>
        <w:tc>
          <w:tcPr>
            <w:tcW w:w="4315"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积极借鉴全国基层政务公开标准化、规范化试点工作经验，进一步提高基层政务公开的针对性、实效性。立足基层实际，坚持以公开为常态、不公开为例外，积极探索创新，创造更多可复制可推广的经验。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8" w:hRule="atLeast"/>
          <w:jc w:val="center"/>
        </w:trPr>
        <w:tc>
          <w:tcPr>
            <w:tcW w:w="3480"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ascii="宋体" w:hAnsi="宋体" w:eastAsia="宋体" w:cs="宋体"/>
                <w:color w:val="auto"/>
                <w:sz w:val="21"/>
                <w:szCs w:val="21"/>
              </w:rPr>
              <w:t>3</w:t>
            </w:r>
            <w:r>
              <w:rPr>
                <w:rFonts w:hint="eastAsia" w:ascii="宋体" w:hAnsi="宋体" w:eastAsia="宋体" w:cs="宋体"/>
                <w:color w:val="auto"/>
                <w:sz w:val="21"/>
                <w:szCs w:val="21"/>
                <w:lang w:val="en-US" w:eastAsia="zh-CN"/>
              </w:rPr>
              <w:t>8</w:t>
            </w:r>
            <w:r>
              <w:rPr>
                <w:rFonts w:ascii="宋体" w:hAnsi="宋体" w:eastAsia="宋体" w:cs="宋体"/>
                <w:color w:val="auto"/>
                <w:sz w:val="21"/>
                <w:szCs w:val="21"/>
              </w:rPr>
              <w:t>.</w:t>
            </w:r>
            <w:r>
              <w:rPr>
                <w:rFonts w:hint="eastAsia" w:ascii="宋体" w:hAnsi="宋体" w:eastAsia="宋体" w:cs="宋体"/>
                <w:color w:val="auto"/>
                <w:sz w:val="21"/>
                <w:szCs w:val="21"/>
              </w:rPr>
              <w:t>强化组织领导</w:t>
            </w:r>
          </w:p>
        </w:tc>
        <w:tc>
          <w:tcPr>
            <w:tcW w:w="1392" w:type="dxa"/>
            <w:tcMar>
              <w:left w:w="28" w:type="dxa"/>
              <w:right w:w="28" w:type="dxa"/>
            </w:tcMar>
            <w:vAlign w:val="center"/>
          </w:tcPr>
          <w:p>
            <w:pPr>
              <w:widowControl/>
              <w:spacing w:line="300" w:lineRule="exact"/>
              <w:jc w:val="center"/>
              <w:textAlignment w:val="baseline"/>
              <w:rPr>
                <w:rFonts w:ascii="宋体" w:hAnsi="宋体" w:eastAsia="宋体" w:cs="宋体"/>
                <w:color w:val="auto"/>
                <w:sz w:val="21"/>
                <w:szCs w:val="21"/>
              </w:rPr>
            </w:pPr>
            <w:r>
              <w:rPr>
                <w:rFonts w:ascii="宋体" w:hAnsi="宋体" w:eastAsia="宋体" w:cs="宋体"/>
                <w:color w:val="auto"/>
                <w:kern w:val="0"/>
                <w:sz w:val="21"/>
                <w:szCs w:val="21"/>
              </w:rPr>
              <w:t> </w:t>
            </w:r>
          </w:p>
        </w:tc>
        <w:tc>
          <w:tcPr>
            <w:tcW w:w="4315"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各乡镇人民政府、街道办事处，区直各有关单位</w:t>
            </w:r>
          </w:p>
        </w:tc>
        <w:tc>
          <w:tcPr>
            <w:tcW w:w="4733" w:type="dxa"/>
            <w:tcMar>
              <w:left w:w="28" w:type="dxa"/>
              <w:right w:w="28" w:type="dxa"/>
            </w:tcMar>
            <w:vAlign w:val="center"/>
          </w:tcPr>
          <w:p>
            <w:pPr>
              <w:widowControl/>
              <w:spacing w:line="300" w:lineRule="exact"/>
              <w:textAlignment w:val="baseline"/>
              <w:rPr>
                <w:rFonts w:ascii="宋体" w:hAnsi="宋体" w:eastAsia="宋体" w:cs="宋体"/>
                <w:color w:val="auto"/>
                <w:sz w:val="21"/>
                <w:szCs w:val="21"/>
              </w:rPr>
            </w:pPr>
            <w:r>
              <w:rPr>
                <w:rFonts w:hint="eastAsia" w:ascii="宋体" w:hAnsi="宋体" w:eastAsia="宋体" w:cs="宋体"/>
                <w:color w:val="auto"/>
                <w:sz w:val="21"/>
                <w:szCs w:val="21"/>
              </w:rPr>
              <w:t>完善政务公开工作机制，加强政务公开机构建设、专职人员配备和经费保障。机构改革涉及的各级政府部门要在符合保密要求的前提下，依法公开本机关的“三定”规定等信息，及时制定更新主动公开基本目录。建立行政规章和规范性文件公开台账，做好与公文管理系统和合法性审核管理信息平台的衔接。</w:t>
            </w:r>
          </w:p>
        </w:tc>
      </w:tr>
    </w:tbl>
    <w:p>
      <w:pPr>
        <w:spacing w:line="600" w:lineRule="exact"/>
        <w:textAlignment w:val="baseline"/>
        <w:rPr>
          <w:rFonts w:hint="default" w:hAnsi="方正仿宋_GBK" w:eastAsia="仿宋_GB2312"/>
          <w:color w:val="auto"/>
          <w:sz w:val="28"/>
          <w:lang w:val="en-US" w:eastAsia="zh-CN"/>
        </w:rPr>
        <w:sectPr>
          <w:footerReference r:id="rId3" w:type="default"/>
          <w:footerReference r:id="rId4" w:type="even"/>
          <w:pgSz w:w="16838" w:h="11906" w:orient="landscape"/>
          <w:pgMar w:top="1587" w:right="2097" w:bottom="1417" w:left="1587" w:header="850" w:footer="1361" w:gutter="0"/>
          <w:pgNumType w:fmt="numberInDash"/>
          <w:cols w:space="720" w:num="1"/>
          <w:docGrid w:type="linesAndChars" w:linePitch="593" w:charSpace="-614"/>
        </w:sectPr>
      </w:pPr>
      <w:r>
        <w:rPr>
          <w:rFonts w:hint="eastAsia" w:hAnsi="方正仿宋_GBK"/>
          <w:color w:val="auto"/>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0" w:lineRule="exact"/>
        <w:textAlignment w:val="auto"/>
        <w:rPr>
          <w:color w:val="auto"/>
        </w:rPr>
      </w:pPr>
    </w:p>
    <w:sectPr>
      <w:pgSz w:w="11906" w:h="16838"/>
      <w:pgMar w:top="2098" w:right="1417" w:bottom="1587" w:left="1587" w:header="850" w:footer="1361" w:gutter="0"/>
      <w:pgNumType w:fmt="numberInDash"/>
      <w:cols w:space="720" w:num="1"/>
      <w:docGrid w:type="linesAndChars" w:linePitch="593" w:char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Microsoft YaHei UI"/>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right="11"/>
      <w:rPr>
        <w:rFonts w:ascii="楷体_GB2312" w:eastAsia="楷体_GB2312"/>
        <w:sz w:val="28"/>
      </w:rPr>
    </w:pPr>
    <w:r>
      <w:rPr>
        <w:sz w:val="2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rPr>
        <w:rFonts w:ascii="楷体_GB2312" w:eastAsia="楷体_GB2312"/>
        <w:sz w:val="28"/>
      </w:rPr>
    </w:pPr>
    <w:r>
      <w:rPr>
        <w:sz w:val="2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dit="trackedChanges" w:enforcement="0"/>
  <w:defaultTabStop w:val="720"/>
  <w:evenAndOddHeaders w:val="1"/>
  <w:drawingGridHorizontalSpacing w:val="159"/>
  <w:drawingGridVerticalSpacing w:val="296"/>
  <w:displayHorizontalDrawingGridEvery w:val="1"/>
  <w:displayVerticalDrawingGridEvery w:val="1"/>
  <w:doNotShadeFormData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ulTrailSpac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Time" w:val="2018-06-21 17:01:41"/>
    <w:docVar w:name="SessionId" w:val="LtpaToken=AAECAzVCMkI2QkM4NUIyQzU2MjhDTj1VMDAwMTI1L089RlVaSE9Vajr+CHE9TZKcPsV1yeRlaPlF6CA="/>
  </w:docVars>
  <w:rsids>
    <w:rsidRoot w:val="00172A27"/>
    <w:rsid w:val="00077C0A"/>
    <w:rsid w:val="00172A27"/>
    <w:rsid w:val="002E74EC"/>
    <w:rsid w:val="003E71F9"/>
    <w:rsid w:val="006375BC"/>
    <w:rsid w:val="00667652"/>
    <w:rsid w:val="009256B9"/>
    <w:rsid w:val="00937E84"/>
    <w:rsid w:val="00BD6043"/>
    <w:rsid w:val="00C17673"/>
    <w:rsid w:val="00D7610C"/>
    <w:rsid w:val="00F16D69"/>
    <w:rsid w:val="02D10479"/>
    <w:rsid w:val="03180C26"/>
    <w:rsid w:val="05011346"/>
    <w:rsid w:val="05685450"/>
    <w:rsid w:val="06005DF5"/>
    <w:rsid w:val="062E51F8"/>
    <w:rsid w:val="06367A59"/>
    <w:rsid w:val="07E65B2C"/>
    <w:rsid w:val="0A691766"/>
    <w:rsid w:val="0CE92568"/>
    <w:rsid w:val="0E186062"/>
    <w:rsid w:val="0F1F2651"/>
    <w:rsid w:val="11802604"/>
    <w:rsid w:val="11D40195"/>
    <w:rsid w:val="11F35DD7"/>
    <w:rsid w:val="12215914"/>
    <w:rsid w:val="133D42DF"/>
    <w:rsid w:val="140E6531"/>
    <w:rsid w:val="15413EBC"/>
    <w:rsid w:val="166770CB"/>
    <w:rsid w:val="171E4435"/>
    <w:rsid w:val="177257A3"/>
    <w:rsid w:val="17B95986"/>
    <w:rsid w:val="19874BB5"/>
    <w:rsid w:val="1C882585"/>
    <w:rsid w:val="1DC44A8F"/>
    <w:rsid w:val="1DC83073"/>
    <w:rsid w:val="1DFFACA8"/>
    <w:rsid w:val="1E814858"/>
    <w:rsid w:val="1F915480"/>
    <w:rsid w:val="1FEA7B03"/>
    <w:rsid w:val="21F20D44"/>
    <w:rsid w:val="243C783C"/>
    <w:rsid w:val="252D5986"/>
    <w:rsid w:val="25C35CE6"/>
    <w:rsid w:val="277A7C7D"/>
    <w:rsid w:val="289D63F0"/>
    <w:rsid w:val="29042877"/>
    <w:rsid w:val="29F15D13"/>
    <w:rsid w:val="2A0571B3"/>
    <w:rsid w:val="2A7739EB"/>
    <w:rsid w:val="2C54372F"/>
    <w:rsid w:val="2C5D250D"/>
    <w:rsid w:val="2E472E2A"/>
    <w:rsid w:val="2E590717"/>
    <w:rsid w:val="31160052"/>
    <w:rsid w:val="31CD7502"/>
    <w:rsid w:val="32505714"/>
    <w:rsid w:val="34244926"/>
    <w:rsid w:val="34A846E3"/>
    <w:rsid w:val="36405014"/>
    <w:rsid w:val="36D32EEE"/>
    <w:rsid w:val="370B54CF"/>
    <w:rsid w:val="37A34E7F"/>
    <w:rsid w:val="395A05FE"/>
    <w:rsid w:val="3BA336C6"/>
    <w:rsid w:val="3E384C82"/>
    <w:rsid w:val="3E666D8D"/>
    <w:rsid w:val="3E9526D3"/>
    <w:rsid w:val="3ECD0416"/>
    <w:rsid w:val="3F2E2CDD"/>
    <w:rsid w:val="40A9305E"/>
    <w:rsid w:val="40F93A09"/>
    <w:rsid w:val="433626F1"/>
    <w:rsid w:val="435629C7"/>
    <w:rsid w:val="43FB4B9D"/>
    <w:rsid w:val="445519D4"/>
    <w:rsid w:val="447B3D2A"/>
    <w:rsid w:val="45D071A5"/>
    <w:rsid w:val="45DFC111"/>
    <w:rsid w:val="465969A3"/>
    <w:rsid w:val="473B0C54"/>
    <w:rsid w:val="4AF07B07"/>
    <w:rsid w:val="4B273201"/>
    <w:rsid w:val="4C042895"/>
    <w:rsid w:val="4CA63FA8"/>
    <w:rsid w:val="4CDB2129"/>
    <w:rsid w:val="4F2E75D5"/>
    <w:rsid w:val="4F3D56AF"/>
    <w:rsid w:val="505B47C4"/>
    <w:rsid w:val="50C14087"/>
    <w:rsid w:val="51F307F6"/>
    <w:rsid w:val="52371ED7"/>
    <w:rsid w:val="52BA3DC5"/>
    <w:rsid w:val="534D0359"/>
    <w:rsid w:val="53B4545A"/>
    <w:rsid w:val="57665A03"/>
    <w:rsid w:val="57D31615"/>
    <w:rsid w:val="57FC037D"/>
    <w:rsid w:val="58157547"/>
    <w:rsid w:val="590D54DD"/>
    <w:rsid w:val="5B304689"/>
    <w:rsid w:val="5BC20041"/>
    <w:rsid w:val="5DF45A66"/>
    <w:rsid w:val="60F72650"/>
    <w:rsid w:val="62B67D84"/>
    <w:rsid w:val="63396E21"/>
    <w:rsid w:val="634A1BC4"/>
    <w:rsid w:val="641842A7"/>
    <w:rsid w:val="64C11AA5"/>
    <w:rsid w:val="65B914EA"/>
    <w:rsid w:val="67A42116"/>
    <w:rsid w:val="67A977B4"/>
    <w:rsid w:val="68903CFD"/>
    <w:rsid w:val="68B52BD3"/>
    <w:rsid w:val="6964239D"/>
    <w:rsid w:val="697B0808"/>
    <w:rsid w:val="6BD7727D"/>
    <w:rsid w:val="6C604EEE"/>
    <w:rsid w:val="6C953151"/>
    <w:rsid w:val="6ED1753D"/>
    <w:rsid w:val="6F715C11"/>
    <w:rsid w:val="6FDE28F2"/>
    <w:rsid w:val="70723AFF"/>
    <w:rsid w:val="72671930"/>
    <w:rsid w:val="730E38E4"/>
    <w:rsid w:val="739D28B9"/>
    <w:rsid w:val="755A1615"/>
    <w:rsid w:val="761F0A21"/>
    <w:rsid w:val="766C4009"/>
    <w:rsid w:val="77174D9F"/>
    <w:rsid w:val="781B1AA6"/>
    <w:rsid w:val="782A3E0E"/>
    <w:rsid w:val="785B1EC8"/>
    <w:rsid w:val="79446DF9"/>
    <w:rsid w:val="79AE01F6"/>
    <w:rsid w:val="7BDF59FD"/>
    <w:rsid w:val="7D676AF6"/>
    <w:rsid w:val="7E9F53D0"/>
    <w:rsid w:val="7F6F4595"/>
    <w:rsid w:val="7FF8BA28"/>
    <w:rsid w:val="B7FDF2D2"/>
    <w:rsid w:val="DBB72A1E"/>
    <w:rsid w:val="EEFFD663"/>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nhideWhenUsed="0" w:uiPriority="99" w:semiHidden="0"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nhideWhenUsed="0" w:uiPriority="0" w:semiHidden="0" w:name="Table Simple 1" w:locked="1"/>
    <w:lsdException w:unhideWhenUsed="0" w:uiPriority="0" w:semiHidden="0" w:name="Table Simple 2" w:locked="1"/>
    <w:lsdException w:unhideWhenUsed="0" w:uiPriority="0" w:semiHidden="0" w:name="Table Simple 3" w:locked="1"/>
    <w:lsdException w:unhideWhenUsed="0" w:uiPriority="0" w:semiHidden="0" w:name="Table Classic 1" w:locked="1"/>
    <w:lsdException w:unhideWhenUsed="0" w:uiPriority="0" w:semiHidden="0" w:name="Table Classic 2" w:locked="1"/>
    <w:lsdException w:unhideWhenUsed="0" w:uiPriority="0" w:semiHidden="0" w:name="Table Classic 3" w:locked="1"/>
    <w:lsdException w:unhideWhenUsed="0" w:uiPriority="0" w:semiHidden="0" w:name="Table Classic 4" w:locked="1"/>
    <w:lsdException w:unhideWhenUsed="0" w:uiPriority="0" w:semiHidden="0" w:name="Table Colorful 1" w:locked="1"/>
    <w:lsdException w:unhideWhenUsed="0" w:uiPriority="0" w:semiHidden="0" w:name="Table Colorful 2" w:locked="1"/>
    <w:lsdException w:unhideWhenUsed="0" w:uiPriority="0" w:semiHidden="0" w:name="Table Colorful 3" w:locked="1"/>
    <w:lsdException w:unhideWhenUsed="0" w:uiPriority="0" w:semiHidden="0" w:name="Table Columns 1" w:locked="1"/>
    <w:lsdException w:unhideWhenUsed="0" w:uiPriority="0" w:semiHidden="0" w:name="Table Columns 2" w:locked="1"/>
    <w:lsdException w:unhideWhenUsed="0" w:uiPriority="0" w:semiHidden="0" w:name="Table Columns 3" w:locked="1"/>
    <w:lsdException w:unhideWhenUsed="0" w:uiPriority="0" w:semiHidden="0" w:name="Table Columns 4" w:locked="1"/>
    <w:lsdException w:unhideWhenUsed="0" w:uiPriority="0" w:semiHidden="0" w:name="Table Columns 5" w:locked="1"/>
    <w:lsdException w:unhideWhenUsed="0" w:uiPriority="0" w:semiHidden="0" w:name="Table Grid 1" w:locked="1"/>
    <w:lsdException w:unhideWhenUsed="0" w:uiPriority="0" w:semiHidden="0" w:name="Table Grid 2" w:locked="1"/>
    <w:lsdException w:unhideWhenUsed="0" w:uiPriority="0" w:semiHidden="0" w:name="Table Grid 3" w:locked="1"/>
    <w:lsdException w:unhideWhenUsed="0" w:uiPriority="0" w:semiHidden="0" w:name="Table Grid 4" w:locked="1"/>
    <w:lsdException w:unhideWhenUsed="0" w:uiPriority="0" w:semiHidden="0" w:name="Table Grid 5" w:locked="1"/>
    <w:lsdException w:unhideWhenUsed="0" w:uiPriority="0" w:semiHidden="0" w:name="Table Grid 6" w:locked="1"/>
    <w:lsdException w:unhideWhenUsed="0" w:uiPriority="0" w:semiHidden="0" w:name="Table Grid 7" w:locked="1"/>
    <w:lsdException w:unhideWhenUsed="0" w:uiPriority="0" w:semiHidden="0" w:name="Table Grid 8" w:locked="1"/>
    <w:lsdException w:unhideWhenUsed="0" w:uiPriority="0" w:semiHidden="0" w:name="Table List 1" w:locked="1"/>
    <w:lsdException w:unhideWhenUsed="0" w:uiPriority="0" w:semiHidden="0" w:name="Table List 2" w:locked="1"/>
    <w:lsdException w:unhideWhenUsed="0" w:uiPriority="0" w:semiHidden="0" w:name="Table List 3" w:locked="1"/>
    <w:lsdException w:unhideWhenUsed="0" w:uiPriority="0" w:semiHidden="0" w:name="Table List 4" w:locked="1"/>
    <w:lsdException w:unhideWhenUsed="0" w:uiPriority="0" w:semiHidden="0" w:name="Table List 5" w:locked="1"/>
    <w:lsdException w:unhideWhenUsed="0" w:uiPriority="0" w:semiHidden="0" w:name="Table List 6" w:locked="1"/>
    <w:lsdException w:unhideWhenUsed="0" w:uiPriority="0" w:semiHidden="0" w:name="Table List 7" w:locked="1"/>
    <w:lsdException w:unhideWhenUsed="0" w:uiPriority="0" w:semiHidden="0" w:name="Table List 8" w:locked="1"/>
    <w:lsdException w:unhideWhenUsed="0" w:uiPriority="0" w:semiHidden="0" w:name="Table 3D effects 1" w:locked="1"/>
    <w:lsdException w:unhideWhenUsed="0" w:uiPriority="0" w:semiHidden="0" w:name="Table 3D effects 2" w:locked="1"/>
    <w:lsdException w:unhideWhenUsed="0" w:uiPriority="0" w:semiHidden="0" w:name="Table 3D effects 3" w:locked="1"/>
    <w:lsdException w:unhideWhenUsed="0" w:uiPriority="0" w:semiHidden="0" w:name="Table Contemporary" w:locked="1"/>
    <w:lsdException w:unhideWhenUsed="0" w:uiPriority="0" w:semiHidden="0" w:name="Table Elegant" w:locked="1"/>
    <w:lsdException w:unhideWhenUsed="0" w:uiPriority="0" w:semiHidden="0" w:name="Table Professional" w:locked="1"/>
    <w:lsdException w:unhideWhenUsed="0" w:uiPriority="0" w:semiHidden="0" w:name="Table Subtle 1" w:locked="1"/>
    <w:lsdException w:unhideWhenUsed="0" w:uiPriority="0" w:semiHidden="0" w:name="Table Subtle 2" w:locked="1"/>
    <w:lsdException w:unhideWhenUsed="0" w:uiPriority="0" w:semiHidden="0" w:name="Table Web 1" w:locked="1"/>
    <w:lsdException w:unhideWhenUsed="0" w:uiPriority="0" w:semiHidden="0" w:name="Table Web 2" w:locked="1"/>
    <w:lsdException w:unhideWhenUsed="0" w:uiPriority="0" w:semiHidden="0" w:name="Table Web 3" w:locked="1"/>
    <w:lsdException w:uiPriority="99" w:name="Balloon Text"/>
    <w:lsdException w:qFormat="1" w:unhideWhenUsed="0" w:uiPriority="99" w:semiHidden="0" w:name="Table Grid"/>
    <w:lsdException w:unhideWhenUsed="0" w:uiPriority="0"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仿宋_GB2312" w:hAnsi="仿宋_GB2312" w:eastAsia="仿宋_GB2312" w:cs="Times New Roman"/>
      <w:kern w:val="2"/>
      <w:sz w:val="32"/>
      <w:szCs w:val="20"/>
      <w:lang w:val="en-US" w:eastAsia="zh-CN" w:bidi="ar-SA"/>
    </w:rPr>
  </w:style>
  <w:style w:type="paragraph" w:styleId="2">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8">
    <w:name w:val="Default Paragraph Font"/>
    <w:semiHidden/>
    <w:qFormat/>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4"/>
    <w:qFormat/>
    <w:uiPriority w:val="99"/>
    <w:pPr>
      <w:tabs>
        <w:tab w:val="center" w:pos="4153"/>
        <w:tab w:val="right" w:pos="8306"/>
      </w:tabs>
      <w:overflowPunct w:val="0"/>
      <w:autoSpaceDE w:val="0"/>
      <w:autoSpaceDN w:val="0"/>
      <w:adjustRightInd w:val="0"/>
      <w:textAlignment w:val="baseline"/>
    </w:pPr>
    <w:rPr>
      <w:sz w:val="20"/>
    </w:rPr>
  </w:style>
  <w:style w:type="paragraph" w:styleId="4">
    <w:name w:val="header"/>
    <w:basedOn w:val="1"/>
    <w:link w:val="15"/>
    <w:uiPriority w:val="99"/>
    <w:pPr>
      <w:tabs>
        <w:tab w:val="center" w:pos="4153"/>
        <w:tab w:val="right" w:pos="8306"/>
      </w:tabs>
      <w:overflowPunct w:val="0"/>
      <w:autoSpaceDE w:val="0"/>
      <w:autoSpaceDN w:val="0"/>
      <w:adjustRightInd w:val="0"/>
      <w:textAlignment w:val="baseline"/>
    </w:pPr>
    <w:rPr>
      <w:sz w:val="20"/>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rFonts w:cs="Times New Roman"/>
      <w:b/>
    </w:rPr>
  </w:style>
  <w:style w:type="character" w:styleId="10">
    <w:name w:val="page number"/>
    <w:basedOn w:val="8"/>
    <w:qFormat/>
    <w:uiPriority w:val="99"/>
    <w:rPr>
      <w:rFonts w:cs="Times New Roman"/>
    </w:rPr>
  </w:style>
  <w:style w:type="character" w:styleId="11">
    <w:name w:val="FollowedHyperlink"/>
    <w:basedOn w:val="8"/>
    <w:qFormat/>
    <w:uiPriority w:val="99"/>
    <w:rPr>
      <w:rFonts w:cs="Times New Roman"/>
      <w:color w:val="333333"/>
      <w:u w:val="none"/>
    </w:rPr>
  </w:style>
  <w:style w:type="character" w:styleId="12">
    <w:name w:val="line number"/>
    <w:basedOn w:val="8"/>
    <w:qFormat/>
    <w:uiPriority w:val="99"/>
    <w:rPr>
      <w:rFonts w:cs="Times New Roman"/>
    </w:rPr>
  </w:style>
  <w:style w:type="character" w:styleId="13">
    <w:name w:val="Hyperlink"/>
    <w:basedOn w:val="8"/>
    <w:semiHidden/>
    <w:unhideWhenUsed/>
    <w:qFormat/>
    <w:uiPriority w:val="99"/>
    <w:rPr>
      <w:color w:val="0000FF"/>
      <w:u w:val="single"/>
    </w:rPr>
  </w:style>
  <w:style w:type="character" w:customStyle="1" w:styleId="14">
    <w:name w:val="Footer Char"/>
    <w:basedOn w:val="8"/>
    <w:link w:val="3"/>
    <w:semiHidden/>
    <w:qFormat/>
    <w:uiPriority w:val="99"/>
    <w:rPr>
      <w:rFonts w:ascii="仿宋_GB2312" w:hAnsi="仿宋_GB2312" w:eastAsia="仿宋_GB2312"/>
      <w:sz w:val="18"/>
      <w:szCs w:val="18"/>
    </w:rPr>
  </w:style>
  <w:style w:type="character" w:customStyle="1" w:styleId="15">
    <w:name w:val="Header Char"/>
    <w:basedOn w:val="8"/>
    <w:link w:val="4"/>
    <w:semiHidden/>
    <w:qFormat/>
    <w:uiPriority w:val="99"/>
    <w:rPr>
      <w:rFonts w:ascii="仿宋_GB2312" w:hAnsi="仿宋_GB2312" w:eastAsia="仿宋_GB231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36890;&#30693;.w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通知.wpt</Template>
  <Company>fzgov</Company>
  <Pages>10</Pages>
  <Words>886</Words>
  <Characters>5053</Characters>
  <Lines>0</Lines>
  <Paragraphs>0</Paragraphs>
  <TotalTime>103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2014-05-04T23:17:00Z</dcterms:created>
  <dc:creator>Test</dc:creator>
  <cp:lastModifiedBy>Bibabo</cp:lastModifiedBy>
  <cp:lastPrinted>2019-11-05T09:24:00Z</cp:lastPrinted>
  <dcterms:modified xsi:type="dcterms:W3CDTF">2020-06-15T08:04:08Z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