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02ADC">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shd w:val="clear" w:color="auto" w:fill="auto"/>
          <w:lang w:val="en-US" w:eastAsia="zh-CN" w:bidi="en-US"/>
        </w:rPr>
      </w:pPr>
      <w:bookmarkStart w:id="1" w:name="_GoBack"/>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shd w:val="clear" w:color="auto" w:fill="auto"/>
          <w:lang w:val="en-US" w:eastAsia="zh-CN" w:bidi="en-US"/>
        </w:rPr>
        <w:t>潭头镇2025年道路交通安全综合治理</w:t>
      </w:r>
    </w:p>
    <w:p w14:paraId="0D8D1202">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shd w:val="clear" w:color="auto" w:fill="auto"/>
          <w:lang w:val="en-US" w:eastAsia="zh-CN" w:bidi="en-US"/>
        </w:rPr>
      </w:pPr>
      <w:r>
        <w:rPr>
          <w:rFonts w:hint="eastAsia" w:asciiTheme="majorEastAsia" w:hAnsiTheme="majorEastAsia" w:eastAsiaTheme="majorEastAsia" w:cstheme="majorEastAsia"/>
          <w:b/>
          <w:bCs/>
          <w:i w:val="0"/>
          <w:iCs w:val="0"/>
          <w:smallCaps w:val="0"/>
          <w:strike w:val="0"/>
          <w:color w:val="000000"/>
          <w:spacing w:val="0"/>
          <w:w w:val="100"/>
          <w:position w:val="0"/>
          <w:sz w:val="44"/>
          <w:szCs w:val="44"/>
          <w:u w:val="none"/>
          <w:shd w:val="clear" w:color="auto" w:fill="auto"/>
          <w:lang w:val="en-US" w:eastAsia="zh-CN" w:bidi="en-US"/>
        </w:rPr>
        <w:t>工作要点</w:t>
      </w:r>
    </w:p>
    <w:bookmarkEnd w:id="1"/>
    <w:p w14:paraId="6CD6B609">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92" w:lineRule="exact"/>
        <w:ind w:right="0" w:firstLine="851" w:firstLineChars="266"/>
        <w:jc w:val="center"/>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pPr>
    </w:p>
    <w:p w14:paraId="7F8A47BE">
      <w:pPr>
        <w:pStyle w:val="10"/>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2025年，道路交通安全综合治理工作要坚持以习近平新时代中国特色社会主义思想为指导，全面贯彻党的二十届三中全会精神，坚持人民至上、生命至上，推动道路交通安全治理模式向事前预防转型，促进道路交通安全工作高质量发展，确保道路交通安全形势稳定向好，力争实现年内全镇道路交通事故死亡人数、交通事故起数稳中有降，较大交通事故零发生。</w:t>
      </w:r>
    </w:p>
    <w:p w14:paraId="05457CD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bookmarkStart w:id="0" w:name="bookmark10"/>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一、进一步健全综合治理体系</w:t>
      </w:r>
    </w:p>
    <w:p w14:paraId="5ACE318B">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（一）健全道安组织协调体系。</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t>以创造性贯彻落实《省政府办公厅关于推动道路交通安全工作高质量发展的意见》为主线，加强道路交通安全工作的组织领导，落实行政首长负责制，将道安工作纳入党委、政府重要工作内容，每季度研议道路交通安全工作，持续强化部门协同共治。贯彻落实《意见》的亮点、经验，推动道安工作上新台阶。</w:t>
      </w:r>
    </w:p>
    <w:p w14:paraId="40901381">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b/>
          <w:bCs/>
          <w:lang w:eastAsia="zh-CN"/>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责任单位：</w:t>
      </w:r>
      <w:r>
        <w:rPr>
          <w:rFonts w:hint="eastAsia" w:ascii="仿宋_GB2312" w:hAnsi="仿宋_GB2312" w:eastAsia="仿宋_GB2312" w:cs="仿宋_GB2312"/>
          <w:b/>
          <w:bCs/>
          <w:sz w:val="32"/>
          <w:szCs w:val="32"/>
          <w:lang w:eastAsia="zh-CN"/>
        </w:rPr>
        <w:t xml:space="preserve">镇道安领导小组成员单位、各村 </w:t>
      </w:r>
    </w:p>
    <w:bookmarkEnd w:id="0"/>
    <w:p w14:paraId="0C91D118">
      <w:pPr>
        <w:pStyle w:val="9"/>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20" w:lineRule="exact"/>
        <w:ind w:left="0" w:right="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建立道安长效工作机制。</w:t>
      </w:r>
      <w:r>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t>强化镇道安办统筹协调作用，健全完善会议协商、分析通报、事故复盘、“一案三查”、督促指导、责任落实、宣教引导等长效机制，深化道安综合治理。督促有关职能部门履行道路交通安全工作职责，年底前实现常态长效的道安工作机制基本建成并运行。落实整治形式主义为基层减负要求，优化改进评估办法，提高工作效能。</w:t>
      </w:r>
    </w:p>
    <w:p w14:paraId="2490BB66">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20" w:lineRule="exact"/>
        <w:ind w:right="0" w:rightChars="0" w:firstLine="643"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2D4B278A">
      <w:pPr>
        <w:pStyle w:val="10"/>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加强工作督办督促指导。</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综合运用重点通报、专项督导、督办约谈、提示函等方式，出台道路交通安全警示通报督办约谈工作细则，推动有关职能部门履职尽责。加强道路隐患治理实地帮扶，保质保量完成2025年省委、省政府和市委、市政府及区委、区政府为民办实事项目，适时组织“回头看”。规范道路事故多发、安全态势不稳等行业领域、重点区域的督促指导工作，对责任不落实、源头监管不力，导致亡人或多人伤亡事故发生的，严格依法追责问责。</w:t>
      </w:r>
    </w:p>
    <w:p w14:paraId="73577B3E">
      <w:pPr>
        <w:pStyle w:val="10"/>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2DD8BCD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二、进一步深化隐患排查整治</w:t>
      </w:r>
    </w:p>
    <w:p w14:paraId="4AC3BCE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（一）排查清除重点车辆及驾驶人安全隐患。</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强化“生产一致性”监管，深化轻型货车“大吨小标”违法销售、非法改装治理。加强对机动车检验环节监管，严厉打击不执行国家标准检验、替代检验、虚假检验等违法违规行为。强化报废机动车回收拆解行业监管。积极推广货车安装右侧盲区预警系统和智能视频监控报警装置。持续提高重点驾驶人审验率、换证率和满分学习率。进一步落实货车安全管理十条措施，深化重中型货车交通安全风险精细治理。</w:t>
      </w:r>
    </w:p>
    <w:p w14:paraId="42601C6F">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62B7F371">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排查清除道路安全隐患。</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严格落实道路交通技术监控设备“四同时”制度，对未落实或存在安全隐患的，不得投入使用。部署开展“马路市场”“提视亮口”专项排查治理，持续深化临水临崖、急弯陡坡、恶劣天气高影响、事故多发、在建（新改扩建）等路段以及库区水利工程和林场内部道路的排查治理工作。持续推进学生交通安全提升行动计划，加强校内、校外交通安全管理，排查消除校车及学生上下学交通风险。开展道路交通“微治理、微改进、微创新”，持续落实隧道安全通行九项措施，推进道路桥梁隧道隐患排查整治动态清零。推动优化货车进城、停车管理等政策，提升城市道路交叉口精细化治理水平。</w:t>
      </w:r>
    </w:p>
    <w:p w14:paraId="13B1C9E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3592F0DB">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排查清除企业行业源头隐患。</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督促企业落实安全生产主体责任，建立隐患自查自纠和风险分级管控机制，完善企业隐患抄告及闭环整改机制。依管理职责定期开展道路运输企业、货物装载源头企业、提供卫星定位运营服务企业的安全检查，及时督促企业纠正处理相关违法违规行为，清理隐患车辆和驾驶人。加强旅游包车客运管理，依法加强涉嫌非法营运车辆的路检路查。进一步加强新业态领域交通安全监管，完善道路运输经营主体协同管理机制。加强道路养护、施工作业、环卫园林、院前急救、殡葬、警车等行业车辆及驾驶人源头安全监管教育。</w:t>
      </w:r>
    </w:p>
    <w:p w14:paraId="412AA37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36771255">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三、进一步强化重点领域管控</w:t>
      </w:r>
    </w:p>
    <w:p w14:paraId="55B5E7A6">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（一）开展农村地区治本攻坚。</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加强穿村过镇、平交路口隐患整治，深化险要路段“三必上”、平交路口“五必上”等工程建设，降低农村道路风险；开展农机重大隐患排查整治，落实拖拉机专项治理，加快实现存量多功能拖拉机清零目标。健全完善切实可行、有效有用的农村治安综合治理模式。</w:t>
      </w:r>
    </w:p>
    <w:p w14:paraId="35DC5CFD">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677475F9">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（二）</w:t>
      </w: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加强摩托车、电动自行车综合治理。</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完善非机动车管理地方立法。开展摩托车交通安全风险治理及电动自行车安全隐患全链条整治行动，持续深化三轮车综合治理，在通行流量大的路段设置专用道、信号灯交叉口等候区、非机动车道和机非隔离设施等交通安全设施，严查严处不戴安全头盔、超员、无牌无证、酒驾醉驾、闯红灯、逆行等严重违法行为。</w:t>
      </w:r>
    </w:p>
    <w:p w14:paraId="5C8F96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4992433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四、进一步加强道路交通安全宣教</w:t>
      </w:r>
    </w:p>
    <w:p w14:paraId="46813B50">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（一）构建共治共享体系。</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加强交通安全社会面宣传，指导村居、机关、企事业单位、学校开展交通安全宣传教育，提升宣传教育“四个一”基础工程（一个微信群、一面宣传栏、一次全员学习、一名宣传员），总结推广民俗活动、红白喜事“三必须一物建”和宁德“957”交通安全劝导等做法。健全道安隐患举报投诉奖励及闭环整改机制。</w:t>
      </w:r>
    </w:p>
    <w:p w14:paraId="49F74A17">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25F33662">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（二）</w:t>
      </w: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加强重点人群宣教。</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加强职业驾驶人安全教育培训，深化交通文明进驾校行动，强化从业人员安全意识。创新乡村交通安全巡回宣教，加强“一老一小”、务工出行人员、二三轮车、面包车和多功能拖拉机驾驶人等重点群体警示宣传和安全提示。总结推广老年人专门宣传经验做法，做精做细老年人交通安全专项教育。</w:t>
      </w:r>
    </w:p>
    <w:p w14:paraId="59E6847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16A0C0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（三）加强安全提示和隐患曝光。</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针对节假日、季节特点，落实“两公布一提示”，持续开展“高风险路段”“高风险企业”“事故多发路段”“突出违法车辆”“典型事故案例”“终生禁驾人员”等曝光警示。针对隐患突出的重点地区、重点单位、重点企业开展约谈，通过媒体曝光安全隐患和风险，进一步落实安全主体责任。</w:t>
      </w:r>
    </w:p>
    <w:p w14:paraId="068AAC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56AA6A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3" w:firstLineChars="200"/>
        <w:textAlignment w:val="auto"/>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五、进一步提升道路安全服务质量</w:t>
      </w:r>
    </w:p>
    <w:p w14:paraId="3DE5C98F">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kern w:val="0"/>
          <w:position w:val="0"/>
          <w:sz w:val="32"/>
          <w:szCs w:val="32"/>
          <w:u w:val="none"/>
          <w:shd w:val="clear" w:color="auto" w:fill="auto"/>
          <w:lang w:val="en-US" w:eastAsia="zh-CN" w:bidi="en-US"/>
        </w:rPr>
        <w:t>提升道安科技防控效能。</w:t>
      </w:r>
      <w:r>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t>推动运输企业加装车载风险管理设备，推动货车安装智能防御及视频监控系统，通过“技防+人防”方式降低营运货车等高风险车辆的运营风险。探索道安智慧云建设，推动建立道安综合治理中心，动态研判和管控重点人、车、路、企交通要素，整合各地各部门隐患治理、源头管理、执法宣教等数据及隐患，提升新质战斗力。</w:t>
      </w:r>
    </w:p>
    <w:p w14:paraId="35BCDEC8">
      <w:pPr>
        <w:pStyle w:val="10"/>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r>
        <w:rPr>
          <w:rFonts w:hint="eastAsia" w:ascii="仿宋_GB2312" w:hAnsi="仿宋_GB2312" w:eastAsia="仿宋_GB2312" w:cs="仿宋_GB2312"/>
          <w:b/>
          <w:bCs/>
          <w:i w:val="0"/>
          <w:iCs w:val="0"/>
          <w:smallCaps w:val="0"/>
          <w:strike w:val="0"/>
          <w:color w:val="000000"/>
          <w:spacing w:val="0"/>
          <w:w w:val="100"/>
          <w:position w:val="0"/>
          <w:sz w:val="32"/>
          <w:szCs w:val="32"/>
          <w:u w:val="none"/>
          <w:shd w:val="clear" w:color="auto" w:fill="auto"/>
          <w:lang w:val="en-US" w:eastAsia="zh-CN" w:bidi="en-US"/>
        </w:rPr>
        <w:t xml:space="preserve">责任单位：镇道安领导小组成员单位、各村 </w:t>
      </w:r>
    </w:p>
    <w:p w14:paraId="67A58BD4">
      <w:pPr>
        <w:pStyle w:val="3"/>
        <w:wordWrap/>
        <w:rPr>
          <w:rFonts w:hint="default" w:ascii="仿宋_GB2312" w:hAnsi="仿宋_GB2312" w:eastAsia="仿宋_GB2312" w:cs="仿宋_GB2312"/>
          <w:b w:val="0"/>
          <w:bCs w:val="0"/>
          <w:i w:val="0"/>
          <w:iCs w:val="0"/>
          <w:smallCaps w:val="0"/>
          <w:strike w:val="0"/>
          <w:color w:val="000000"/>
          <w:spacing w:val="0"/>
          <w:w w:val="100"/>
          <w:kern w:val="0"/>
          <w:position w:val="0"/>
          <w:sz w:val="32"/>
          <w:szCs w:val="32"/>
          <w:u w:val="none"/>
          <w:shd w:val="clear" w:color="auto" w:fill="auto"/>
          <w:lang w:val="en-US" w:eastAsia="zh-CN" w:bidi="en-US"/>
        </w:rPr>
      </w:pPr>
    </w:p>
    <w:sectPr>
      <w:pgSz w:w="11906" w:h="16838"/>
      <w:pgMar w:top="2098" w:right="1474" w:bottom="2098" w:left="1587" w:header="851" w:footer="992" w:gutter="0"/>
      <w:cols w:space="0" w:num="1"/>
      <w:rtlGutter w:val="0"/>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C9FC5CA-089E-45AD-ADA2-459FE08AAAB5}"/>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D46AD"/>
    <w:multiLevelType w:val="singleLevel"/>
    <w:tmpl w:val="FA7D46AD"/>
    <w:lvl w:ilvl="0" w:tentative="0">
      <w:start w:val="2"/>
      <w:numFmt w:val="chineseCounting"/>
      <w:suff w:val="nothing"/>
      <w:lvlText w:val="（%1）"/>
      <w:lvlJc w:val="left"/>
      <w:rPr>
        <w:rFonts w:hint="eastAsia"/>
        <w:b/>
        <w:bCs/>
      </w:rPr>
    </w:lvl>
  </w:abstractNum>
  <w:abstractNum w:abstractNumId="1">
    <w:nsid w:val="2CE5E9F6"/>
    <w:multiLevelType w:val="singleLevel"/>
    <w:tmpl w:val="2CE5E9F6"/>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ThiMjU4YTJlOTQxYWNjYTdlODkyNGQxYzBiOTkifQ=="/>
  </w:docVars>
  <w:rsids>
    <w:rsidRoot w:val="28906287"/>
    <w:rsid w:val="1CA65383"/>
    <w:rsid w:val="1FC9556F"/>
    <w:rsid w:val="1FCF359E"/>
    <w:rsid w:val="28906287"/>
    <w:rsid w:val="329F6A55"/>
    <w:rsid w:val="38BF6C36"/>
    <w:rsid w:val="3F57C604"/>
    <w:rsid w:val="43FD42C0"/>
    <w:rsid w:val="57304A9B"/>
    <w:rsid w:val="656F09F0"/>
    <w:rsid w:val="76D314A2"/>
    <w:rsid w:val="7CCBD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spacing w:after="120"/>
      <w:ind w:left="420" w:leftChars="200"/>
    </w:pPr>
  </w:style>
  <w:style w:type="paragraph" w:styleId="3">
    <w:name w:val="Body Text First Indent 2"/>
    <w:basedOn w:val="2"/>
    <w:unhideWhenUsed/>
    <w:qFormat/>
    <w:uiPriority w:val="99"/>
    <w:pPr>
      <w:spacing w:after="0"/>
      <w:ind w:left="0" w:leftChars="0" w:firstLine="420" w:firstLineChars="200"/>
    </w:pPr>
    <w:rPr>
      <w:kern w:val="0"/>
      <w:szCs w:val="24"/>
    </w:rPr>
  </w:style>
  <w:style w:type="paragraph" w:styleId="4">
    <w:name w:val="footer"/>
    <w:basedOn w:val="1"/>
    <w:next w:val="1"/>
    <w:qFormat/>
    <w:uiPriority w:val="0"/>
    <w:pPr>
      <w:tabs>
        <w:tab w:val="center" w:pos="4153"/>
        <w:tab w:val="right" w:pos="8306"/>
      </w:tabs>
      <w:snapToGrid w:val="0"/>
      <w:jc w:val="left"/>
    </w:pPr>
    <w:rPr>
      <w:rFonts w:ascii="仿宋_GB2312"/>
      <w:sz w:val="18"/>
    </w:rPr>
  </w:style>
  <w:style w:type="character" w:styleId="7">
    <w:name w:val="page number"/>
    <w:basedOn w:val="6"/>
    <w:qFormat/>
    <w:uiPriority w:val="0"/>
    <w:rPr>
      <w:rFonts w:cs="Times New Roman"/>
    </w:rPr>
  </w:style>
  <w:style w:type="paragraph" w:customStyle="1" w:styleId="8">
    <w:name w:val="Heading #2|1"/>
    <w:basedOn w:val="1"/>
    <w:qFormat/>
    <w:uiPriority w:val="0"/>
    <w:pPr>
      <w:widowControl w:val="0"/>
      <w:shd w:val="clear" w:color="auto" w:fill="auto"/>
      <w:spacing w:after="550" w:line="638" w:lineRule="exact"/>
      <w:jc w:val="center"/>
      <w:outlineLvl w:val="1"/>
    </w:pPr>
    <w:rPr>
      <w:rFonts w:ascii="宋体" w:hAnsi="宋体" w:eastAsia="宋体" w:cs="宋体"/>
      <w:color w:val="646665"/>
      <w:sz w:val="44"/>
      <w:szCs w:val="44"/>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13" w:lineRule="auto"/>
      <w:ind w:firstLine="400"/>
    </w:pPr>
    <w:rPr>
      <w:rFonts w:ascii="宋体" w:hAnsi="宋体" w:eastAsia="宋体" w:cs="宋体"/>
      <w:color w:val="646665"/>
      <w:sz w:val="30"/>
      <w:szCs w:val="30"/>
      <w:u w:val="none"/>
      <w:shd w:val="clear" w:color="auto" w:fill="auto"/>
      <w:lang w:val="zh-TW" w:eastAsia="zh-TW" w:bidi="zh-TW"/>
    </w:rPr>
  </w:style>
  <w:style w:type="paragraph" w:customStyle="1" w:styleId="10">
    <w:name w:val="p0"/>
    <w:basedOn w:val="1"/>
    <w:qFormat/>
    <w:uiPriority w:val="0"/>
    <w:pPr>
      <w:widowControl/>
      <w:spacing w:line="365" w:lineRule="atLeast"/>
      <w:ind w:left="1"/>
      <w:textAlignment w:val="bottom"/>
    </w:pPr>
    <w:rPr>
      <w:kern w:val="0"/>
      <w:sz w:val="20"/>
      <w:szCs w:val="20"/>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542</Words>
  <Characters>571</Characters>
  <Lines>0</Lines>
  <Paragraphs>0</Paragraphs>
  <TotalTime>99</TotalTime>
  <ScaleCrop>false</ScaleCrop>
  <LinksUpToDate>false</LinksUpToDate>
  <CharactersWithSpaces>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2023-04-21T08:14:00Z</dcterms:created>
  <dc:creator>Administrator</dc:creator>
  <cp:lastModifiedBy>老陈皮</cp:lastModifiedBy>
  <cp:lastPrinted>2025-03-14T09:23:00Z</cp:lastPrinted>
  <dcterms:modified xsi:type="dcterms:W3CDTF">2025-03-19T02:01:41Z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74E1F0850F1C4DF3B43B740B650C6C8F_13</vt:lpwstr>
  </property>
  <property fmtid="{D5CDD505-2E9C-101B-9397-08002B2CF9AE}" pid="4" name="KSOTemplateDocerSaveRecord">
    <vt:lpwstr>eyJoZGlkIjoiNGQ4MjhlNGM0OTkxNzgyMDJlMjk3ODVkZmQzM2I3MDMiLCJ1c2VySWQiOiI1MjM2MTkwNjEifQ==</vt:lpwstr>
  </property>
</Properties>
</file>