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80" w:tblpY="452"/>
        <w:tblOverlap w:val="never"/>
        <w:tblW w:w="9690" w:type="dxa"/>
        <w:tblLook w:val="0000"/>
      </w:tblPr>
      <w:tblGrid>
        <w:gridCol w:w="455"/>
        <w:gridCol w:w="1507"/>
        <w:gridCol w:w="5464"/>
        <w:gridCol w:w="1135"/>
        <w:gridCol w:w="1129"/>
      </w:tblGrid>
      <w:tr w:rsidR="00FB5A52" w:rsidTr="003725A7">
        <w:trPr>
          <w:trHeight w:val="369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52" w:rsidRDefault="00FB5A52" w:rsidP="003725A7">
            <w:pPr>
              <w:widowControl/>
              <w:spacing w:line="120" w:lineRule="auto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vertAlign w:val="superscript"/>
                <w:lang/>
              </w:rPr>
              <w:t>附件1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vertAlign w:val="superscript"/>
                <w:lang/>
              </w:rPr>
              <w:t>：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/>
              </w:rPr>
              <w:t>深化推进农村集体“三资”管理专项整治情况汇总表</w:t>
            </w:r>
          </w:p>
        </w:tc>
      </w:tr>
      <w:tr w:rsidR="00FB5A52" w:rsidTr="003725A7">
        <w:trPr>
          <w:trHeight w:val="6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指标名称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2021年整治以来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其中2023年</w:t>
            </w:r>
          </w:p>
        </w:tc>
      </w:tr>
      <w:tr w:rsidR="00FB5A52" w:rsidTr="003725A7">
        <w:trPr>
          <w:trHeight w:val="27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已完成集体经济组织换届选举（个）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2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开展村干部任期经济责任审计（个）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三资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被侵占方面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1.资源资产被侵占问题（个）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97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2.已整改问题（个）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2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其中：收回资产金额（万元）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收回资源面积（亩）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25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三资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合同不规范方面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1.核查农村集体经济合同数量（份）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25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其中：不规范合同数量（份）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22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2.核查经济合同涉及金额（万元）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9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其中：不规范合同涉及金额（万元）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2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3.已整改合同数量（份）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其中： (1)明显违背合同法的超长期合同数量（份）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(2)超低价合同数量（份）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(3)未经民主程序，暗箱操作的合同数量（份）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8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(4)未按时收到价款的合同数量（份）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2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(5)未签订书面合同的数量（份）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0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(6)未定约束条款的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冤大头包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合同（份）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0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4.收回拖欠租金（万元）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0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5.增加租金（万元）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财务管理不规范方面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1.财务收支管理不规范问题（个）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2.已整改问题（个）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3.收回金额（万元）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9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移交纪检监察部门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1.案件数量（件）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34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2.案件涉及的金额（万元）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宣传培训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培训（场次）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25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培训（人次）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24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各类媒体宣传（次）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6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网上审批工作进度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1.开展试点乡镇（街道）数（个）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0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2.开展试点村居（社区）数（个）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6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3.申请笔数（笔）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9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4.涉及金额（万元）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18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5.审批笔数（笔）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B5A52" w:rsidTr="003725A7">
        <w:trPr>
          <w:trHeight w:val="34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2"/>
                <w:szCs w:val="22"/>
                <w:lang/>
              </w:rPr>
              <w:t>6.涉及金额（万元）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5A52" w:rsidRDefault="00FB5A52" w:rsidP="003725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05DC2" w:rsidRDefault="00005DC2"/>
    <w:sectPr w:rsidR="0000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C2" w:rsidRDefault="00005DC2" w:rsidP="00FB5A52">
      <w:r>
        <w:separator/>
      </w:r>
    </w:p>
  </w:endnote>
  <w:endnote w:type="continuationSeparator" w:id="1">
    <w:p w:rsidR="00005DC2" w:rsidRDefault="00005DC2" w:rsidP="00FB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C2" w:rsidRDefault="00005DC2" w:rsidP="00FB5A52">
      <w:r>
        <w:separator/>
      </w:r>
    </w:p>
  </w:footnote>
  <w:footnote w:type="continuationSeparator" w:id="1">
    <w:p w:rsidR="00005DC2" w:rsidRDefault="00005DC2" w:rsidP="00FB5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A52"/>
    <w:rsid w:val="00005DC2"/>
    <w:rsid w:val="00FB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2023-08-22T00:57:00Z</dcterms:created>
  <dcterms:modified xsi:type="dcterms:W3CDTF">2023-08-22T00:58:00Z</dcterms:modified>
</cp:coreProperties>
</file>