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3"/>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eastAsia="zh-CN"/>
        </w:rPr>
      </w:pPr>
      <w:r>
        <w:rPr>
          <w:rFonts w:hint="eastAsia" w:ascii="方正小标宋简体" w:hAnsi="华文中宋" w:eastAsia="方正小标宋简体"/>
          <w:sz w:val="36"/>
          <w:szCs w:val="36"/>
        </w:rPr>
        <w:t>《福州市长乐区人民政府关于印发&lt;长乐区区属国有资产转让管理办法&gt;的通知》制定的主要依据及</w:t>
      </w:r>
      <w:r>
        <w:rPr>
          <w:rFonts w:hint="eastAsia" w:ascii="方正小标宋简体" w:hAnsi="华文中宋" w:eastAsia="方正小标宋简体"/>
          <w:sz w:val="36"/>
          <w:szCs w:val="36"/>
          <w:lang w:val="en-US" w:eastAsia="zh-CN"/>
        </w:rPr>
        <w:t>目录</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华文中宋" w:eastAsia="方正小标宋简体"/>
          <w:sz w:val="36"/>
          <w:szCs w:val="36"/>
        </w:rPr>
      </w:pPr>
    </w:p>
    <w:p>
      <w:pPr>
        <w:keepNext w:val="0"/>
        <w:keepLines w:val="0"/>
        <w:pageBreakBefore w:val="0"/>
        <w:kinsoku/>
        <w:wordWrap/>
        <w:overflowPunct/>
        <w:topLinePunct w:val="0"/>
        <w:autoSpaceDE/>
        <w:autoSpaceDN/>
        <w:bidi w:val="0"/>
        <w:adjustRightInd/>
        <w:snapToGrid/>
        <w:spacing w:line="540" w:lineRule="exact"/>
        <w:ind w:firstLine="315" w:firstLineChars="150"/>
        <w:textAlignment w:val="auto"/>
        <w:rPr>
          <w:rFonts w:ascii="黑体" w:hAnsi="华文中宋" w:eastAsia="黑体"/>
          <w:sz w:val="32"/>
          <w:szCs w:val="32"/>
        </w:rPr>
      </w:pPr>
      <w:r>
        <w:t xml:space="preserve">   </w:t>
      </w:r>
      <w:r>
        <w:rPr>
          <w:rFonts w:hint="eastAsia" w:ascii="黑体" w:hAnsi="华文中宋" w:eastAsia="黑体"/>
          <w:sz w:val="32"/>
          <w:szCs w:val="32"/>
        </w:rPr>
        <w:t>一、制定的主要依据</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楷体" w:eastAsia="仿宋_GB2312" w:cs="宋体"/>
          <w:kern w:val="0"/>
          <w:sz w:val="32"/>
          <w:szCs w:val="32"/>
          <w:lang w:eastAsia="zh-CN"/>
        </w:rPr>
      </w:pPr>
      <w:r>
        <w:rPr>
          <w:rFonts w:hint="eastAsia" w:ascii="仿宋_GB2312" w:eastAsia="仿宋_GB2312"/>
          <w:kern w:val="0"/>
          <w:sz w:val="32"/>
          <w:szCs w:val="32"/>
        </w:rPr>
        <w:t>文件制定依据主要为：</w:t>
      </w:r>
      <w:r>
        <w:rPr>
          <w:rFonts w:hint="eastAsia" w:ascii="仿宋_GB2312" w:hAnsi="仿宋_GB2312" w:eastAsia="仿宋_GB2312" w:cs="仿宋_GB2312"/>
          <w:b w:val="0"/>
          <w:bCs/>
          <w:color w:val="auto"/>
          <w:sz w:val="32"/>
          <w:szCs w:val="32"/>
        </w:rPr>
        <w:t>《中华人民共和国企业国有资产法》</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主席令第5号）</w:t>
      </w:r>
      <w:r>
        <w:rPr>
          <w:rFonts w:hint="eastAsia" w:ascii="仿宋_GB2312" w:hAnsi="仿宋_GB2312" w:eastAsia="仿宋_GB2312" w:cs="仿宋_GB2312"/>
          <w:b w:val="0"/>
          <w:bCs/>
          <w:color w:val="auto"/>
          <w:sz w:val="32"/>
          <w:szCs w:val="32"/>
        </w:rPr>
        <w:t>、《企业国有资产监督管理暂行</w:t>
      </w:r>
      <w:r>
        <w:rPr>
          <w:rFonts w:hint="eastAsia" w:ascii="仿宋_GB2312" w:hAnsi="仿宋_GB2312" w:eastAsia="仿宋_GB2312" w:cs="仿宋_GB2312"/>
          <w:b w:val="0"/>
          <w:bCs/>
          <w:color w:val="auto"/>
          <w:sz w:val="32"/>
          <w:szCs w:val="32"/>
          <w:lang w:eastAsia="zh-CN"/>
        </w:rPr>
        <w:t>条例</w:t>
      </w:r>
      <w:r>
        <w:rPr>
          <w:rFonts w:hint="eastAsia" w:ascii="仿宋_GB2312" w:hAnsi="仿宋_GB2312" w:eastAsia="仿宋_GB2312" w:cs="仿宋_GB2312"/>
          <w:b w:val="0"/>
          <w:bCs/>
          <w:color w:val="auto"/>
          <w:sz w:val="32"/>
          <w:szCs w:val="32"/>
        </w:rPr>
        <w:t>》</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国务院令第378号）、</w:t>
      </w:r>
      <w:r>
        <w:rPr>
          <w:rFonts w:hint="eastAsia" w:ascii="仿宋_GB2312" w:hAnsi="仿宋_GB2312" w:eastAsia="仿宋_GB2312" w:cs="仿宋_GB2312"/>
          <w:b w:val="0"/>
          <w:bCs/>
          <w:color w:val="auto"/>
          <w:sz w:val="32"/>
          <w:szCs w:val="32"/>
        </w:rPr>
        <w:t>《企业国有资产交易监督管理办法》（国务院国资委、财政部令第32号）、《行政单位国有资产管理暂行办法》</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财政部令第35号）</w:t>
      </w:r>
      <w:r>
        <w:rPr>
          <w:rFonts w:hint="eastAsia" w:ascii="仿宋_GB2312" w:hAnsi="仿宋_GB2312" w:eastAsia="仿宋_GB2312" w:cs="仿宋_GB2312"/>
          <w:b w:val="0"/>
          <w:bCs/>
          <w:color w:val="auto"/>
          <w:sz w:val="32"/>
          <w:szCs w:val="32"/>
        </w:rPr>
        <w:t>、《事业单位国有资产管理暂行办法》</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财政部令第36号）</w:t>
      </w:r>
      <w:r>
        <w:rPr>
          <w:rFonts w:hint="eastAsia" w:ascii="仿宋_GB2312" w:hAnsi="仿宋_GB2312" w:eastAsia="仿宋_GB2312" w:cs="仿宋_GB2312"/>
          <w:b w:val="0"/>
          <w:bCs/>
          <w:color w:val="auto"/>
          <w:sz w:val="32"/>
          <w:szCs w:val="32"/>
        </w:rPr>
        <w:t>以及《福州市市属企业国有资产交易监督管理办法》</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榕政综〔2018〕235号）</w:t>
      </w:r>
      <w:r>
        <w:rPr>
          <w:rFonts w:hint="eastAsia" w:ascii="仿宋_GB2312" w:hAnsi="仿宋_GB2312" w:eastAsia="仿宋_GB2312" w:cs="仿宋_GB2312"/>
          <w:bCs/>
          <w:sz w:val="32"/>
          <w:szCs w:val="32"/>
        </w:rPr>
        <w:t>等</w:t>
      </w:r>
      <w:r>
        <w:rPr>
          <w:rFonts w:hint="eastAsia" w:ascii="仿宋_GB2312" w:hAnsi="仿宋_GB2312" w:eastAsia="仿宋_GB2312" w:cs="仿宋_GB2312"/>
          <w:bCs/>
          <w:sz w:val="32"/>
          <w:szCs w:val="32"/>
          <w:lang w:val="en-US" w:eastAsia="zh-CN"/>
        </w:rPr>
        <w:t>国家、省、市</w:t>
      </w:r>
      <w:r>
        <w:rPr>
          <w:rFonts w:hint="eastAsia" w:ascii="仿宋_GB2312" w:hAnsi="仿宋_GB2312" w:eastAsia="仿宋_GB2312" w:cs="仿宋_GB2312"/>
          <w:bCs/>
          <w:sz w:val="32"/>
          <w:szCs w:val="32"/>
        </w:rPr>
        <w:t>有关规定</w:t>
      </w:r>
      <w:r>
        <w:rPr>
          <w:rFonts w:hint="eastAsia" w:ascii="仿宋_GB2312" w:hAnsi="仿宋_GB2312" w:eastAsia="仿宋_GB2312" w:cs="仿宋_GB2312"/>
          <w:bCs/>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textAlignment w:val="auto"/>
        <w:rPr>
          <w:rFonts w:hint="eastAsia" w:ascii="黑体" w:hAnsi="华文中宋" w:eastAsia="黑体" w:cs="Times New Roman"/>
          <w:sz w:val="32"/>
          <w:szCs w:val="32"/>
          <w:lang w:val="en-US" w:eastAsia="zh-CN"/>
        </w:rPr>
      </w:pPr>
      <w:r>
        <w:rPr>
          <w:rFonts w:hint="eastAsia" w:ascii="黑体" w:hAnsi="华文中宋" w:eastAsia="黑体" w:cs="Times New Roman"/>
          <w:sz w:val="32"/>
          <w:szCs w:val="32"/>
        </w:rPr>
        <w:t>主要依据及</w:t>
      </w:r>
      <w:r>
        <w:rPr>
          <w:rFonts w:hint="eastAsia" w:ascii="黑体" w:hAnsi="华文中宋" w:eastAsia="黑体" w:cs="Times New Roman"/>
          <w:sz w:val="32"/>
          <w:szCs w:val="32"/>
          <w:lang w:val="en-US" w:eastAsia="zh-CN"/>
        </w:rPr>
        <w:t>目录</w:t>
      </w:r>
    </w:p>
    <w:p>
      <w:pPr>
        <w:keepNext w:val="0"/>
        <w:keepLines w:val="0"/>
        <w:pageBreakBefore w:val="0"/>
        <w:widowControl/>
        <w:suppressLineNumbers w:val="0"/>
        <w:kinsoku/>
        <w:wordWrap/>
        <w:overflowPunct/>
        <w:topLinePunct w:val="0"/>
        <w:autoSpaceDE/>
        <w:autoSpaceDN/>
        <w:bidi w:val="0"/>
        <w:adjustRightInd w:val="0"/>
        <w:snapToGrid w:val="0"/>
        <w:spacing w:after="225" w:afterAutospacing="0" w:line="540" w:lineRule="exact"/>
        <w:ind w:left="0" w:firstLine="420"/>
        <w:jc w:val="left"/>
        <w:textAlignment w:val="auto"/>
        <w:rPr>
          <w:rFonts w:hint="eastAsia" w:ascii="黑体" w:hAnsi="华文中宋" w:eastAsia="黑体" w:cs="Times New Roman"/>
          <w:sz w:val="32"/>
          <w:szCs w:val="32"/>
          <w:lang w:val="en-US" w:eastAsia="zh-CN"/>
        </w:rPr>
      </w:pP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val="en-US" w:eastAsia="zh-CN"/>
        </w:rPr>
        <w:t>一</w:t>
      </w:r>
      <w:r>
        <w:rPr>
          <w:rFonts w:hint="eastAsia" w:ascii="仿宋_GB2312" w:hAnsi="楷体_GB2312" w:eastAsia="仿宋_GB2312" w:cs="楷体_GB2312"/>
          <w:b/>
          <w:bCs/>
          <w:sz w:val="32"/>
          <w:szCs w:val="32"/>
        </w:rPr>
        <w:t>）</w:t>
      </w:r>
      <w:bookmarkStart w:id="0" w:name="2_5"/>
      <w:bookmarkEnd w:id="0"/>
      <w:bookmarkStart w:id="1" w:name="第五章"/>
      <w:bookmarkEnd w:id="1"/>
      <w:bookmarkStart w:id="2" w:name="sub6652769_2_5"/>
      <w:bookmarkEnd w:id="2"/>
      <w:bookmarkStart w:id="3" w:name="2-5"/>
      <w:bookmarkEnd w:id="3"/>
      <w:r>
        <w:rPr>
          <w:rFonts w:hint="eastAsia" w:ascii="仿宋_GB2312" w:hAnsi="楷体_GB2312" w:eastAsia="仿宋_GB2312" w:cs="楷体_GB2312"/>
          <w:b/>
          <w:bCs/>
          <w:sz w:val="32"/>
          <w:szCs w:val="32"/>
        </w:rPr>
        <w:t>《中华人民共和国企业国有资产法》（主席令第5号）</w:t>
      </w:r>
    </w:p>
    <w:p>
      <w:pPr>
        <w:pStyle w:val="7"/>
        <w:keepNext w:val="0"/>
        <w:keepLines w:val="0"/>
        <w:pageBreakBefore w:val="0"/>
        <w:widowControl/>
        <w:suppressLineNumbers w:val="0"/>
        <w:kinsoku/>
        <w:wordWrap/>
        <w:overflowPunct/>
        <w:topLinePunct w:val="0"/>
        <w:autoSpaceDE/>
        <w:autoSpaceDN/>
        <w:bidi w:val="0"/>
        <w:adjustRightInd w:val="0"/>
        <w:snapToGrid w:val="0"/>
        <w:spacing w:before="180" w:beforeAutospacing="0" w:after="0" w:afterAutospacing="0" w:line="540" w:lineRule="exact"/>
        <w:ind w:left="0" w:right="0"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 xml:space="preserve">第五十二条　国有资产转让应当有利于国有经济布局和结构的战略性调整，防止国有资产损失，不得损害交易各方的合法权益。 </w:t>
      </w:r>
    </w:p>
    <w:p>
      <w:pPr>
        <w:pStyle w:val="7"/>
        <w:keepNext w:val="0"/>
        <w:keepLines w:val="0"/>
        <w:pageBreakBefore w:val="0"/>
        <w:widowControl/>
        <w:suppressLineNumbers w:val="0"/>
        <w:kinsoku/>
        <w:wordWrap/>
        <w:overflowPunct/>
        <w:topLinePunct w:val="0"/>
        <w:autoSpaceDE/>
        <w:autoSpaceDN/>
        <w:bidi w:val="0"/>
        <w:adjustRightInd/>
        <w:snapToGrid/>
        <w:spacing w:before="180" w:beforeAutospacing="0" w:after="0" w:afterAutospacing="0" w:line="540" w:lineRule="exact"/>
        <w:ind w:left="0" w:right="0" w:firstLine="640" w:firstLineChars="200"/>
        <w:jc w:val="left"/>
        <w:textAlignment w:val="auto"/>
        <w:rPr>
          <w:rFonts w:hint="default" w:ascii="仿宋_GB2312" w:hAnsi="楷体_GB2312" w:eastAsia="仿宋_GB2312" w:cs="楷体_GB2312"/>
          <w:b/>
          <w:bCs/>
          <w:sz w:val="32"/>
          <w:szCs w:val="32"/>
        </w:rPr>
      </w:pPr>
      <w:r>
        <w:rPr>
          <w:rFonts w:hint="eastAsia" w:ascii="仿宋_GB2312" w:hAnsi="Calibri" w:eastAsia="仿宋_GB2312" w:cs="Calibri"/>
          <w:b w:val="0"/>
          <w:bCs w:val="0"/>
          <w:kern w:val="0"/>
          <w:sz w:val="32"/>
          <w:szCs w:val="32"/>
          <w:lang w:val="en-US" w:eastAsia="zh-CN" w:bidi="ar-SA"/>
        </w:rPr>
        <w:t xml:space="preserve">第五十四条　国有资产转让应当遵循等价有偿和公开、公平、公正的原则。 </w:t>
      </w:r>
      <w:r>
        <w:rPr>
          <w:rFonts w:hint="eastAsia" w:ascii="仿宋_GB2312" w:hAnsi="Calibri" w:eastAsia="仿宋_GB2312" w:cs="Calibri"/>
          <w:b w:val="0"/>
          <w:bCs w:val="0"/>
          <w:kern w:val="0"/>
          <w:sz w:val="32"/>
          <w:szCs w:val="32"/>
          <w:lang w:val="en-US" w:eastAsia="zh-CN" w:bidi="ar-SA"/>
        </w:rPr>
        <w:br w:type="textWrapping"/>
      </w:r>
      <w:r>
        <w:rPr>
          <w:rFonts w:hint="eastAsia" w:ascii="仿宋_GB2312" w:hAnsi="Calibri" w:eastAsia="仿宋_GB2312" w:cs="Calibri"/>
          <w:b w:val="0"/>
          <w:bCs w:val="0"/>
          <w:kern w:val="0"/>
          <w:sz w:val="32"/>
          <w:szCs w:val="32"/>
          <w:lang w:val="en-US" w:eastAsia="zh-CN" w:bidi="ar-SA"/>
        </w:rPr>
        <w:t xml:space="preserve">      除按照国家规定可以直接协议转让的以外，国有资产转让应当在依法设立的产权交易场所公开进行。转让方应当如实披露有关信息，征集受让方；征集产生的受让方为两个以上的，转让应当采用公开竞价的交易方式。 </w:t>
      </w:r>
      <w:r>
        <w:rPr>
          <w:rFonts w:hint="eastAsia" w:ascii="仿宋_GB2312" w:hAnsi="Calibri" w:eastAsia="仿宋_GB2312" w:cs="Calibri"/>
          <w:b w:val="0"/>
          <w:bCs w:val="0"/>
          <w:kern w:val="0"/>
          <w:sz w:val="32"/>
          <w:szCs w:val="32"/>
          <w:lang w:val="en-US" w:eastAsia="zh-CN" w:bidi="ar-SA"/>
        </w:rPr>
        <w:br w:type="textWrapping"/>
      </w:r>
      <w:r>
        <w:rPr>
          <w:rFonts w:hint="eastAsia" w:ascii="仿宋_GB2312" w:hAnsi="Calibri" w:eastAsia="仿宋_GB2312" w:cs="Calibri"/>
          <w:b w:val="0"/>
          <w:bCs w:val="0"/>
          <w:kern w:val="0"/>
          <w:sz w:val="32"/>
          <w:szCs w:val="32"/>
          <w:lang w:val="en-US" w:eastAsia="zh-CN" w:bidi="ar-SA"/>
        </w:rPr>
        <w:t xml:space="preserve">      转让上市交易的股份依照《中华人民共和国证券法》的规定进行。 </w:t>
      </w:r>
      <w:r>
        <w:rPr>
          <w:rFonts w:hint="eastAsia" w:ascii="仿宋_GB2312" w:hAnsi="Calibri" w:eastAsia="仿宋_GB2312" w:cs="Calibri"/>
          <w:b w:val="0"/>
          <w:bCs w:val="0"/>
          <w:kern w:val="0"/>
          <w:sz w:val="32"/>
          <w:szCs w:val="32"/>
          <w:lang w:val="en-US" w:eastAsia="zh-CN" w:bidi="ar-SA"/>
        </w:rPr>
        <w:br w:type="textWrapping"/>
      </w:r>
      <w:r>
        <w:rPr>
          <w:rFonts w:hint="eastAsia" w:ascii="仿宋_GB2312" w:hAnsi="Calibri" w:eastAsia="仿宋_GB2312" w:cs="Calibri"/>
          <w:b w:val="0"/>
          <w:bCs w:val="0"/>
          <w:kern w:val="0"/>
          <w:sz w:val="32"/>
          <w:szCs w:val="32"/>
          <w:lang w:val="en-US" w:eastAsia="zh-CN" w:bidi="ar-SA"/>
        </w:rPr>
        <w:t xml:space="preserve">      第五十五条　国有资产转让应当以依法评估的、经履行出资人职责的机构认可或者由履行出资人职责的机构报经本级人民政府核准的价格为依据，合理确定最低转让价格。 </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仿宋_GB2312" w:eastAsia="仿宋_GB2312"/>
          <w:b/>
          <w:bCs/>
          <w:kern w:val="0"/>
          <w:sz w:val="32"/>
          <w:szCs w:val="32"/>
          <w:lang w:eastAsia="zh-CN"/>
        </w:rPr>
      </w:pPr>
      <w:r>
        <w:rPr>
          <w:rFonts w:hint="eastAsia" w:ascii="仿宋_GB2312" w:hAnsi="仿宋" w:eastAsia="仿宋_GB2312" w:cs="仿宋_GB2312"/>
          <w:b/>
          <w:bCs/>
          <w:color w:val="000000"/>
          <w:sz w:val="32"/>
          <w:szCs w:val="32"/>
          <w:shd w:val="clear" w:color="auto" w:fill="FFFFFF"/>
          <w:lang w:val="en-US" w:eastAsia="zh-CN"/>
        </w:rPr>
        <w:t>（二）《企业国有资产监督管理暂行条例》（国务院令第378号）</w:t>
      </w:r>
    </w:p>
    <w:p>
      <w:pPr>
        <w:pStyle w:val="7"/>
        <w:keepNext w:val="0"/>
        <w:keepLines w:val="0"/>
        <w:pageBreakBefore w:val="0"/>
        <w:widowControl/>
        <w:suppressLineNumbers w:val="0"/>
        <w:kinsoku/>
        <w:wordWrap/>
        <w:overflowPunct/>
        <w:topLinePunct w:val="0"/>
        <w:autoSpaceDE/>
        <w:autoSpaceDN/>
        <w:bidi w:val="0"/>
        <w:adjustRightInd/>
        <w:snapToGrid/>
        <w:spacing w:before="180" w:beforeAutospacing="0" w:after="0" w:afterAutospacing="0" w:line="540" w:lineRule="exact"/>
        <w:ind w:left="0" w:right="0"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第三条　本条例所称企业国有资产，是指国家对企业各种形式的投资和投资所形成的权益，以及依法认定为国家所有的其他权益。</w:t>
      </w:r>
    </w:p>
    <w:p>
      <w:pPr>
        <w:pStyle w:val="7"/>
        <w:keepNext w:val="0"/>
        <w:keepLines w:val="0"/>
        <w:pageBreakBefore w:val="0"/>
        <w:widowControl/>
        <w:suppressLineNumbers w:val="0"/>
        <w:kinsoku/>
        <w:wordWrap/>
        <w:overflowPunct/>
        <w:topLinePunct w:val="0"/>
        <w:autoSpaceDE/>
        <w:autoSpaceDN/>
        <w:bidi w:val="0"/>
        <w:adjustRightInd/>
        <w:snapToGrid/>
        <w:spacing w:before="180" w:beforeAutospacing="0" w:after="0" w:afterAutospacing="0" w:line="540" w:lineRule="exact"/>
        <w:ind w:left="0" w:right="0"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第四条　企业国有资产属于国家所有。国家实行由国务院和地方人民政府分别代表国家履行出资人职责，享有所有者权益，权利、义务和责任相统一，管资产和管人、管事相结合的国有资产管理体制。</w:t>
      </w:r>
    </w:p>
    <w:p>
      <w:pPr>
        <w:pStyle w:val="7"/>
        <w:keepNext w:val="0"/>
        <w:keepLines w:val="0"/>
        <w:pageBreakBefore w:val="0"/>
        <w:widowControl/>
        <w:suppressLineNumbers w:val="0"/>
        <w:kinsoku/>
        <w:wordWrap/>
        <w:overflowPunct/>
        <w:topLinePunct w:val="0"/>
        <w:autoSpaceDE/>
        <w:autoSpaceDN/>
        <w:bidi w:val="0"/>
        <w:adjustRightInd/>
        <w:snapToGrid/>
        <w:spacing w:before="180" w:beforeAutospacing="0" w:after="0" w:afterAutospacing="0" w:line="540" w:lineRule="exact"/>
        <w:ind w:left="0" w:right="0"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第八条　国有资产监督管理机构应当依照本条例和其他有关法律、行政法规的规定，建立健全内部监督制度，严格执行法律、行政法规。</w:t>
      </w:r>
    </w:p>
    <w:p>
      <w:pPr>
        <w:pStyle w:val="7"/>
        <w:keepNext w:val="0"/>
        <w:keepLines w:val="0"/>
        <w:pageBreakBefore w:val="0"/>
        <w:widowControl/>
        <w:suppressLineNumbers w:val="0"/>
        <w:kinsoku/>
        <w:wordWrap/>
        <w:overflowPunct/>
        <w:topLinePunct w:val="0"/>
        <w:autoSpaceDE/>
        <w:autoSpaceDN/>
        <w:bidi w:val="0"/>
        <w:adjustRightInd/>
        <w:snapToGrid/>
        <w:spacing w:before="180" w:beforeAutospacing="0" w:after="0" w:afterAutospacing="0" w:line="540" w:lineRule="exact"/>
        <w:ind w:left="0" w:right="0" w:firstLine="643" w:firstLineChars="200"/>
        <w:jc w:val="left"/>
        <w:textAlignment w:val="auto"/>
        <w:rPr>
          <w:rFonts w:hint="eastAsia" w:ascii="仿宋_GB2312" w:hAnsi="仿宋" w:eastAsia="仿宋_GB2312" w:cs="仿宋_GB2312"/>
          <w:b/>
          <w:bCs/>
          <w:color w:val="000000"/>
          <w:kern w:val="2"/>
          <w:sz w:val="32"/>
          <w:szCs w:val="32"/>
          <w:shd w:val="clear" w:color="auto" w:fill="FFFFFF"/>
          <w:lang w:val="en-US" w:eastAsia="zh-CN" w:bidi="ar-SA"/>
        </w:rPr>
      </w:pPr>
      <w:r>
        <w:rPr>
          <w:rFonts w:hint="eastAsia" w:ascii="仿宋_GB2312" w:hAnsi="仿宋" w:eastAsia="仿宋_GB2312" w:cs="仿宋_GB2312"/>
          <w:b/>
          <w:bCs/>
          <w:color w:val="000000"/>
          <w:kern w:val="2"/>
          <w:sz w:val="32"/>
          <w:szCs w:val="32"/>
          <w:shd w:val="clear" w:color="auto" w:fill="FFFFFF"/>
          <w:lang w:val="en-US" w:eastAsia="zh-CN" w:bidi="ar-SA"/>
        </w:rPr>
        <w:t>（三）《企业国有资产交易监督管理办法》（国务院国资委、财政部令第32号）</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第二条</w:t>
      </w:r>
      <w:r>
        <w:rPr>
          <w:rFonts w:hint="eastAsia" w:ascii="仿宋_GB2312" w:eastAsia="仿宋_GB2312" w:cs="Calibri"/>
          <w:b w:val="0"/>
          <w:bCs w:val="0"/>
          <w:kern w:val="0"/>
          <w:sz w:val="32"/>
          <w:szCs w:val="32"/>
          <w:lang w:val="en-US" w:eastAsia="zh-CN" w:bidi="ar-SA"/>
        </w:rPr>
        <w:t xml:space="preserve">  </w:t>
      </w:r>
      <w:r>
        <w:rPr>
          <w:rFonts w:hint="eastAsia" w:ascii="仿宋_GB2312" w:hAnsi="Calibri" w:eastAsia="仿宋_GB2312" w:cs="Calibri"/>
          <w:b w:val="0"/>
          <w:bCs w:val="0"/>
          <w:kern w:val="0"/>
          <w:sz w:val="32"/>
          <w:szCs w:val="32"/>
          <w:lang w:val="en-US" w:eastAsia="zh-CN" w:bidi="ar-SA"/>
        </w:rPr>
        <w:t>企业国有资产交易应当遵守国家法律法规和政策规定，有利于国有经济布局和结构调整优化，充分发挥市场配置资源作用，遵循等价有偿和公开公平公正的原则，在依法设立的产权交易机构中公开进行，国家法律法规另有规定的从其规定。</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第三条</w:t>
      </w:r>
      <w:r>
        <w:rPr>
          <w:rFonts w:hint="eastAsia" w:ascii="仿宋_GB2312" w:eastAsia="仿宋_GB2312" w:cs="Calibri"/>
          <w:b w:val="0"/>
          <w:bCs w:val="0"/>
          <w:kern w:val="0"/>
          <w:sz w:val="32"/>
          <w:szCs w:val="32"/>
          <w:lang w:val="en-US" w:eastAsia="zh-CN" w:bidi="ar-SA"/>
        </w:rPr>
        <w:t xml:space="preserve">  </w:t>
      </w:r>
      <w:r>
        <w:rPr>
          <w:rFonts w:hint="eastAsia" w:ascii="仿宋_GB2312" w:hAnsi="Calibri" w:eastAsia="仿宋_GB2312" w:cs="Calibri"/>
          <w:b w:val="0"/>
          <w:bCs w:val="0"/>
          <w:kern w:val="0"/>
          <w:sz w:val="32"/>
          <w:szCs w:val="32"/>
          <w:lang w:val="en-US" w:eastAsia="zh-CN" w:bidi="ar-SA"/>
        </w:rPr>
        <w:t>本办法所称企业国有资产交易行为包括：</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（一）履行出资人职责的机构、国有及国有控股企业、国有实际控制企业转让其对企业各种形式出资所形成权益的行为（以下称企业产权转让）；</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（二）国有及国有控股企业、国有实际控制企业增加资本的行为（以下称企业增资），政府以增加资本金方式对国家出资企业的投入除外；</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（三）国有及国有控股企业、国有实际控制企业的重大资产转让行为（以下称企业资产转让）。</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第十二条</w:t>
      </w:r>
      <w:r>
        <w:rPr>
          <w:rFonts w:hint="eastAsia" w:ascii="仿宋_GB2312" w:eastAsia="仿宋_GB2312" w:cs="Calibri"/>
          <w:b w:val="0"/>
          <w:bCs w:val="0"/>
          <w:kern w:val="0"/>
          <w:sz w:val="32"/>
          <w:szCs w:val="32"/>
          <w:lang w:val="en-US" w:eastAsia="zh-CN" w:bidi="ar-SA"/>
        </w:rPr>
        <w:t xml:space="preserve">  </w:t>
      </w:r>
      <w:r>
        <w:rPr>
          <w:rFonts w:hint="eastAsia" w:ascii="仿宋_GB2312" w:hAnsi="Calibri" w:eastAsia="仿宋_GB2312" w:cs="Calibri"/>
          <w:b w:val="0"/>
          <w:bCs w:val="0"/>
          <w:kern w:val="0"/>
          <w:sz w:val="32"/>
          <w:szCs w:val="32"/>
          <w:lang w:val="en-US" w:eastAsia="zh-CN" w:bidi="ar-SA"/>
        </w:rPr>
        <w:t>对按照有关法律法规要求必须进行资产评估的产权转让事项，转让方应当委托具有相应资质的评估机构对转让标的进行资产评估，产权转让价格应以经核准或备案的评估结果为基础确定。</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第十七条</w:t>
      </w:r>
      <w:r>
        <w:rPr>
          <w:rFonts w:hint="eastAsia" w:ascii="仿宋_GB2312" w:eastAsia="仿宋_GB2312" w:cs="Calibri"/>
          <w:b w:val="0"/>
          <w:bCs w:val="0"/>
          <w:kern w:val="0"/>
          <w:sz w:val="32"/>
          <w:szCs w:val="32"/>
          <w:lang w:val="en-US" w:eastAsia="zh-CN" w:bidi="ar-SA"/>
        </w:rPr>
        <w:t xml:space="preserve">  </w:t>
      </w:r>
      <w:r>
        <w:rPr>
          <w:rFonts w:hint="eastAsia" w:ascii="仿宋_GB2312" w:hAnsi="Calibri" w:eastAsia="仿宋_GB2312" w:cs="Calibri"/>
          <w:b w:val="0"/>
          <w:bCs w:val="0"/>
          <w:kern w:val="0"/>
          <w:sz w:val="32"/>
          <w:szCs w:val="32"/>
          <w:lang w:val="en-US" w:eastAsia="zh-CN" w:bidi="ar-SA"/>
        </w:rPr>
        <w:t>产权转让项目首次正式信息披露的转让底价，不得低于经核准或备案的转让标的评估结果。</w:t>
      </w: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第十八条</w:t>
      </w:r>
      <w:r>
        <w:rPr>
          <w:rFonts w:hint="eastAsia" w:ascii="仿宋_GB2312" w:eastAsia="仿宋_GB2312" w:cs="Calibri"/>
          <w:b w:val="0"/>
          <w:bCs w:val="0"/>
          <w:kern w:val="0"/>
          <w:sz w:val="32"/>
          <w:szCs w:val="32"/>
          <w:lang w:val="en-US" w:eastAsia="zh-CN" w:bidi="ar-SA"/>
        </w:rPr>
        <w:t xml:space="preserve">  </w:t>
      </w:r>
      <w:r>
        <w:rPr>
          <w:rFonts w:hint="eastAsia" w:ascii="仿宋_GB2312" w:hAnsi="Calibri" w:eastAsia="仿宋_GB2312" w:cs="Calibri"/>
          <w:b w:val="0"/>
          <w:bCs w:val="0"/>
          <w:kern w:val="0"/>
          <w:sz w:val="32"/>
          <w:szCs w:val="32"/>
          <w:lang w:val="en-US" w:eastAsia="zh-CN" w:bidi="ar-SA"/>
        </w:rPr>
        <w:t>信息披露期满未征集到意向受让方的，可以延期或在降低转让底价、变更受让条件后重新进行信息披露。</w:t>
      </w:r>
    </w:p>
    <w:p>
      <w:pPr>
        <w:ind w:firstLine="640" w:firstLineChars="200"/>
        <w:rPr>
          <w:rFonts w:hint="eastAsia" w:ascii="仿宋_GB2312" w:hAnsi="Calibri" w:eastAsia="仿宋_GB2312" w:cs="Calibri"/>
          <w:b w:val="0"/>
          <w:bCs w:val="0"/>
          <w:kern w:val="0"/>
          <w:sz w:val="32"/>
          <w:szCs w:val="32"/>
          <w:lang w:val="en-US" w:eastAsia="zh-CN" w:bidi="ar-SA"/>
        </w:rPr>
      </w:pPr>
    </w:p>
    <w:p>
      <w:pPr>
        <w:ind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降低转让底价或变更受让条件后重新披露信息的，披露时间不得少于20个工作日。新的转让底价低于评估结果的90%时，应当经转让行为批准单位书面同意。</w:t>
      </w:r>
    </w:p>
    <w:p>
      <w:pPr>
        <w:ind w:firstLine="643" w:firstLineChars="200"/>
        <w:rPr>
          <w:rFonts w:hint="eastAsia" w:ascii="仿宋_GB2312" w:hAnsi="仿宋" w:eastAsia="仿宋_GB2312" w:cs="仿宋_GB2312"/>
          <w:b/>
          <w:bCs/>
          <w:color w:val="000000"/>
          <w:kern w:val="2"/>
          <w:sz w:val="32"/>
          <w:szCs w:val="32"/>
          <w:shd w:val="clear" w:color="auto" w:fill="FFFFFF"/>
          <w:lang w:val="en-US" w:eastAsia="zh-CN" w:bidi="ar-SA"/>
        </w:rPr>
      </w:pPr>
      <w:r>
        <w:rPr>
          <w:rFonts w:hint="eastAsia" w:ascii="仿宋_GB2312" w:hAnsi="仿宋" w:eastAsia="仿宋_GB2312" w:cs="仿宋_GB2312"/>
          <w:b/>
          <w:bCs/>
          <w:color w:val="000000"/>
          <w:kern w:val="2"/>
          <w:sz w:val="32"/>
          <w:szCs w:val="32"/>
          <w:shd w:val="clear" w:color="auto" w:fill="FFFFFF"/>
          <w:lang w:val="en-US" w:eastAsia="zh-CN" w:bidi="ar-SA"/>
        </w:rPr>
        <w:t>（四）《福州市市属企业国有资产交易监督管理办法》（榕政综〔2018〕235号）</w:t>
      </w:r>
      <w:bookmarkStart w:id="4" w:name="_GoBack"/>
      <w:bookmarkEnd w:id="4"/>
    </w:p>
    <w:p>
      <w:pPr>
        <w:pStyle w:val="7"/>
        <w:keepNext w:val="0"/>
        <w:keepLines w:val="0"/>
        <w:widowControl/>
        <w:suppressLineNumbers w:val="0"/>
        <w:wordWrap w:val="0"/>
        <w:spacing w:before="0" w:beforeAutospacing="0" w:after="0" w:afterAutospacing="0" w:line="384" w:lineRule="atLeast"/>
        <w:ind w:left="0" w:right="0"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第六条  企业国有资产交易标的应当权属清晰，不存在法律法规禁止或限制交易的情形。已设定担保物权的国有资产交易，应当符合《中华人民共和国物权法》《中华人民共和国担保法》等有关法律法规规定。涉及政府社会公共管理事项的，应当依法报政府有关部门审核。</w:t>
      </w:r>
    </w:p>
    <w:p>
      <w:pPr>
        <w:pStyle w:val="7"/>
        <w:keepNext w:val="0"/>
        <w:keepLines w:val="0"/>
        <w:widowControl/>
        <w:suppressLineNumbers w:val="0"/>
        <w:wordWrap w:val="0"/>
        <w:spacing w:before="0" w:beforeAutospacing="0" w:after="0" w:afterAutospacing="0" w:line="384" w:lineRule="atLeast"/>
        <w:ind w:right="0" w:firstLine="640" w:firstLineChars="200"/>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第十三条  产权转让方案，应当载明下列内容：</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4" w:lineRule="atLeast"/>
        <w:ind w:right="0" w:firstLine="640" w:firstLineChars="200"/>
        <w:jc w:val="both"/>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（一）转让标的企业国有产权的基本情况；</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4" w:lineRule="atLeast"/>
        <w:ind w:left="0" w:right="0" w:firstLine="0" w:firstLineChars="0"/>
        <w:jc w:val="both"/>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　　（二）产权转让行为有关方案的论证情况；</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4" w:lineRule="atLeast"/>
        <w:ind w:left="0" w:right="0" w:firstLine="0" w:firstLineChars="0"/>
        <w:jc w:val="both"/>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　　（三）产权转让拟采取的方式；</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4" w:lineRule="atLeast"/>
        <w:ind w:left="0" w:right="0" w:firstLine="0" w:firstLineChars="0"/>
        <w:jc w:val="both"/>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　　（四）转让标的企业职工安置方案（方案内容应当包括企业全体职工的劳动关系分类处理方式、补偿标准和资金来源）；</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4" w:lineRule="atLeast"/>
        <w:ind w:left="0" w:right="0" w:firstLine="0" w:firstLineChars="0"/>
        <w:jc w:val="both"/>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　　（五）转让标的企业涉及的债权、债务的处理方案；</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4" w:lineRule="atLeast"/>
        <w:ind w:left="0" w:right="0" w:firstLine="0" w:firstLineChars="0"/>
        <w:jc w:val="both"/>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　　（六）产权转让收益处置方案；</w:t>
      </w:r>
    </w:p>
    <w:p>
      <w:pPr>
        <w:pStyle w:val="7"/>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4" w:lineRule="atLeast"/>
        <w:ind w:left="0" w:right="0" w:firstLine="0" w:firstLineChars="0"/>
        <w:jc w:val="both"/>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　　（七）产权转让公告的主要内容。</w:t>
      </w:r>
    </w:p>
    <w:p>
      <w:pPr>
        <w:keepNext w:val="0"/>
        <w:keepLines w:val="0"/>
        <w:pageBreakBefore w:val="0"/>
        <w:kinsoku/>
        <w:overflowPunct/>
        <w:topLinePunct w:val="0"/>
        <w:autoSpaceDE/>
        <w:autoSpaceDN/>
        <w:bidi w:val="0"/>
        <w:adjustRightInd/>
        <w:snapToGrid/>
        <w:ind w:firstLine="0" w:firstLineChars="0"/>
        <w:jc w:val="both"/>
        <w:textAlignment w:val="auto"/>
        <w:rPr>
          <w:rFonts w:hint="eastAsia" w:ascii="仿宋_GB2312" w:hAnsi="Calibri" w:eastAsia="仿宋_GB2312" w:cs="Calibri"/>
          <w:b w:val="0"/>
          <w:bCs w:val="0"/>
          <w:kern w:val="0"/>
          <w:sz w:val="32"/>
          <w:szCs w:val="32"/>
          <w:lang w:val="en-US" w:eastAsia="zh-CN" w:bidi="ar-SA"/>
        </w:rPr>
      </w:pPr>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AE8"/>
    <w:multiLevelType w:val="singleLevel"/>
    <w:tmpl w:val="0E481AE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0241"/>
    <w:rsid w:val="0000114D"/>
    <w:rsid w:val="000133AA"/>
    <w:rsid w:val="0002127E"/>
    <w:rsid w:val="00023DC3"/>
    <w:rsid w:val="00024083"/>
    <w:rsid w:val="00024CD2"/>
    <w:rsid w:val="00026060"/>
    <w:rsid w:val="00033662"/>
    <w:rsid w:val="0003581A"/>
    <w:rsid w:val="000360E2"/>
    <w:rsid w:val="0004253B"/>
    <w:rsid w:val="0004307A"/>
    <w:rsid w:val="000448F7"/>
    <w:rsid w:val="00045647"/>
    <w:rsid w:val="000522B7"/>
    <w:rsid w:val="00052616"/>
    <w:rsid w:val="00053117"/>
    <w:rsid w:val="00054E7C"/>
    <w:rsid w:val="00057F84"/>
    <w:rsid w:val="000603BC"/>
    <w:rsid w:val="0006167B"/>
    <w:rsid w:val="0006368C"/>
    <w:rsid w:val="00063CC6"/>
    <w:rsid w:val="00064772"/>
    <w:rsid w:val="00065805"/>
    <w:rsid w:val="00065FBD"/>
    <w:rsid w:val="00067853"/>
    <w:rsid w:val="00070E4D"/>
    <w:rsid w:val="00072137"/>
    <w:rsid w:val="00072F58"/>
    <w:rsid w:val="0007358E"/>
    <w:rsid w:val="00075E06"/>
    <w:rsid w:val="000769E4"/>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C3C32"/>
    <w:rsid w:val="000C4222"/>
    <w:rsid w:val="000C44A2"/>
    <w:rsid w:val="000C4726"/>
    <w:rsid w:val="000C4CEF"/>
    <w:rsid w:val="000C52DD"/>
    <w:rsid w:val="000C570A"/>
    <w:rsid w:val="000C575F"/>
    <w:rsid w:val="000C5C02"/>
    <w:rsid w:val="000D128C"/>
    <w:rsid w:val="000D1904"/>
    <w:rsid w:val="000D2F6F"/>
    <w:rsid w:val="000D3E62"/>
    <w:rsid w:val="000D5FD4"/>
    <w:rsid w:val="000E78D8"/>
    <w:rsid w:val="000E7A7A"/>
    <w:rsid w:val="000F08AE"/>
    <w:rsid w:val="000F2984"/>
    <w:rsid w:val="000F2DF4"/>
    <w:rsid w:val="000F4BF0"/>
    <w:rsid w:val="000F6583"/>
    <w:rsid w:val="000F6CF0"/>
    <w:rsid w:val="00102DC6"/>
    <w:rsid w:val="00105D4F"/>
    <w:rsid w:val="00105F34"/>
    <w:rsid w:val="00106FE4"/>
    <w:rsid w:val="0011067F"/>
    <w:rsid w:val="001114EF"/>
    <w:rsid w:val="00113637"/>
    <w:rsid w:val="00115F4B"/>
    <w:rsid w:val="001163D2"/>
    <w:rsid w:val="001167B5"/>
    <w:rsid w:val="001214E6"/>
    <w:rsid w:val="001261E3"/>
    <w:rsid w:val="00126F6B"/>
    <w:rsid w:val="0013129A"/>
    <w:rsid w:val="00131C83"/>
    <w:rsid w:val="001367D8"/>
    <w:rsid w:val="001373E1"/>
    <w:rsid w:val="00137B4E"/>
    <w:rsid w:val="00137C10"/>
    <w:rsid w:val="00140BF6"/>
    <w:rsid w:val="001434A6"/>
    <w:rsid w:val="001457F9"/>
    <w:rsid w:val="00147AED"/>
    <w:rsid w:val="00150FE1"/>
    <w:rsid w:val="0015145F"/>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542E"/>
    <w:rsid w:val="00176B93"/>
    <w:rsid w:val="001841B5"/>
    <w:rsid w:val="00184E09"/>
    <w:rsid w:val="00185DD2"/>
    <w:rsid w:val="001865A5"/>
    <w:rsid w:val="00191E27"/>
    <w:rsid w:val="0019265E"/>
    <w:rsid w:val="001930C8"/>
    <w:rsid w:val="001936BA"/>
    <w:rsid w:val="001936C4"/>
    <w:rsid w:val="001A0031"/>
    <w:rsid w:val="001A0BF0"/>
    <w:rsid w:val="001A4165"/>
    <w:rsid w:val="001A6D37"/>
    <w:rsid w:val="001B0DA9"/>
    <w:rsid w:val="001B1E25"/>
    <w:rsid w:val="001B5156"/>
    <w:rsid w:val="001B69FE"/>
    <w:rsid w:val="001B6ED7"/>
    <w:rsid w:val="001C066D"/>
    <w:rsid w:val="001C1B31"/>
    <w:rsid w:val="001C4C34"/>
    <w:rsid w:val="001C5823"/>
    <w:rsid w:val="001C6925"/>
    <w:rsid w:val="001C6B57"/>
    <w:rsid w:val="001D6172"/>
    <w:rsid w:val="001E0838"/>
    <w:rsid w:val="001E194E"/>
    <w:rsid w:val="001E40EA"/>
    <w:rsid w:val="001E7A54"/>
    <w:rsid w:val="001F0CFE"/>
    <w:rsid w:val="001F1764"/>
    <w:rsid w:val="001F2648"/>
    <w:rsid w:val="001F2B38"/>
    <w:rsid w:val="001F5463"/>
    <w:rsid w:val="001F5A16"/>
    <w:rsid w:val="001F5B8F"/>
    <w:rsid w:val="001F63B5"/>
    <w:rsid w:val="00202FB4"/>
    <w:rsid w:val="0020340C"/>
    <w:rsid w:val="0020375B"/>
    <w:rsid w:val="00204E1B"/>
    <w:rsid w:val="002054C3"/>
    <w:rsid w:val="00210C48"/>
    <w:rsid w:val="002112EE"/>
    <w:rsid w:val="002112F0"/>
    <w:rsid w:val="0021235F"/>
    <w:rsid w:val="00214A33"/>
    <w:rsid w:val="00214C60"/>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6957"/>
    <w:rsid w:val="00267A23"/>
    <w:rsid w:val="00267BC8"/>
    <w:rsid w:val="00270442"/>
    <w:rsid w:val="00270B05"/>
    <w:rsid w:val="00272029"/>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1FC"/>
    <w:rsid w:val="002A2797"/>
    <w:rsid w:val="002A7249"/>
    <w:rsid w:val="002A79DC"/>
    <w:rsid w:val="002A7D08"/>
    <w:rsid w:val="002B1D25"/>
    <w:rsid w:val="002B217D"/>
    <w:rsid w:val="002B2639"/>
    <w:rsid w:val="002B2CA3"/>
    <w:rsid w:val="002B53F2"/>
    <w:rsid w:val="002C1B5A"/>
    <w:rsid w:val="002C2652"/>
    <w:rsid w:val="002C5BC5"/>
    <w:rsid w:val="002C703A"/>
    <w:rsid w:val="002D02C1"/>
    <w:rsid w:val="002D1205"/>
    <w:rsid w:val="002D2281"/>
    <w:rsid w:val="002D4078"/>
    <w:rsid w:val="002D768B"/>
    <w:rsid w:val="002E0FF8"/>
    <w:rsid w:val="002E1C52"/>
    <w:rsid w:val="002E4871"/>
    <w:rsid w:val="002E5134"/>
    <w:rsid w:val="002F0BAB"/>
    <w:rsid w:val="002F0BAC"/>
    <w:rsid w:val="002F404C"/>
    <w:rsid w:val="002F4214"/>
    <w:rsid w:val="002F4A63"/>
    <w:rsid w:val="002F4EA6"/>
    <w:rsid w:val="002F7BB3"/>
    <w:rsid w:val="00302258"/>
    <w:rsid w:val="003025EA"/>
    <w:rsid w:val="00302B86"/>
    <w:rsid w:val="00302E8A"/>
    <w:rsid w:val="00303B04"/>
    <w:rsid w:val="00303F57"/>
    <w:rsid w:val="003043D3"/>
    <w:rsid w:val="00305944"/>
    <w:rsid w:val="00306FED"/>
    <w:rsid w:val="00310137"/>
    <w:rsid w:val="00310218"/>
    <w:rsid w:val="00310716"/>
    <w:rsid w:val="00311303"/>
    <w:rsid w:val="00311DCB"/>
    <w:rsid w:val="00312311"/>
    <w:rsid w:val="00316873"/>
    <w:rsid w:val="003216C9"/>
    <w:rsid w:val="00322E0D"/>
    <w:rsid w:val="0032345C"/>
    <w:rsid w:val="00323C26"/>
    <w:rsid w:val="00323F60"/>
    <w:rsid w:val="003246EB"/>
    <w:rsid w:val="00324D85"/>
    <w:rsid w:val="003260A3"/>
    <w:rsid w:val="003261AB"/>
    <w:rsid w:val="00326A54"/>
    <w:rsid w:val="003307D6"/>
    <w:rsid w:val="003340AF"/>
    <w:rsid w:val="0033548E"/>
    <w:rsid w:val="00335667"/>
    <w:rsid w:val="003357A7"/>
    <w:rsid w:val="00341BCE"/>
    <w:rsid w:val="00342AAB"/>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67BD8"/>
    <w:rsid w:val="00370B3A"/>
    <w:rsid w:val="003729B2"/>
    <w:rsid w:val="0037383E"/>
    <w:rsid w:val="00375441"/>
    <w:rsid w:val="00375568"/>
    <w:rsid w:val="003760E3"/>
    <w:rsid w:val="0037653B"/>
    <w:rsid w:val="00383ACB"/>
    <w:rsid w:val="003846E7"/>
    <w:rsid w:val="00384C84"/>
    <w:rsid w:val="00385CB4"/>
    <w:rsid w:val="00385E58"/>
    <w:rsid w:val="00386706"/>
    <w:rsid w:val="003876F0"/>
    <w:rsid w:val="00387B64"/>
    <w:rsid w:val="003903DD"/>
    <w:rsid w:val="003918AE"/>
    <w:rsid w:val="00393EB8"/>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846"/>
    <w:rsid w:val="003B5C9A"/>
    <w:rsid w:val="003B5E64"/>
    <w:rsid w:val="003B7D37"/>
    <w:rsid w:val="003C0D07"/>
    <w:rsid w:val="003C1CEA"/>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1B5D"/>
    <w:rsid w:val="0040252C"/>
    <w:rsid w:val="00406C26"/>
    <w:rsid w:val="00414E41"/>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552"/>
    <w:rsid w:val="00450FEF"/>
    <w:rsid w:val="00451092"/>
    <w:rsid w:val="00455B95"/>
    <w:rsid w:val="00456307"/>
    <w:rsid w:val="00460091"/>
    <w:rsid w:val="00461468"/>
    <w:rsid w:val="004621DC"/>
    <w:rsid w:val="004639E5"/>
    <w:rsid w:val="0046683E"/>
    <w:rsid w:val="004668BB"/>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3A5B"/>
    <w:rsid w:val="004977C7"/>
    <w:rsid w:val="00497E41"/>
    <w:rsid w:val="004A0715"/>
    <w:rsid w:val="004A1B6C"/>
    <w:rsid w:val="004B0B49"/>
    <w:rsid w:val="004B122F"/>
    <w:rsid w:val="004B172C"/>
    <w:rsid w:val="004B2377"/>
    <w:rsid w:val="004B2666"/>
    <w:rsid w:val="004B37ED"/>
    <w:rsid w:val="004B4414"/>
    <w:rsid w:val="004B581D"/>
    <w:rsid w:val="004B6C30"/>
    <w:rsid w:val="004C2DC2"/>
    <w:rsid w:val="004C5EE9"/>
    <w:rsid w:val="004C656B"/>
    <w:rsid w:val="004C6E76"/>
    <w:rsid w:val="004D15EC"/>
    <w:rsid w:val="004D2DA0"/>
    <w:rsid w:val="004D679C"/>
    <w:rsid w:val="004D78E1"/>
    <w:rsid w:val="004E095A"/>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5C3E"/>
    <w:rsid w:val="00506F1B"/>
    <w:rsid w:val="0051102F"/>
    <w:rsid w:val="005118AD"/>
    <w:rsid w:val="00512A97"/>
    <w:rsid w:val="00514C1E"/>
    <w:rsid w:val="0052172A"/>
    <w:rsid w:val="005223BC"/>
    <w:rsid w:val="00522AF1"/>
    <w:rsid w:val="0052348D"/>
    <w:rsid w:val="0052692F"/>
    <w:rsid w:val="00526FD3"/>
    <w:rsid w:val="0052761E"/>
    <w:rsid w:val="00532782"/>
    <w:rsid w:val="00532AE3"/>
    <w:rsid w:val="00532C21"/>
    <w:rsid w:val="0053415B"/>
    <w:rsid w:val="0053426E"/>
    <w:rsid w:val="00545720"/>
    <w:rsid w:val="00551E55"/>
    <w:rsid w:val="00553C4C"/>
    <w:rsid w:val="005603FC"/>
    <w:rsid w:val="005607C4"/>
    <w:rsid w:val="005613C7"/>
    <w:rsid w:val="0056181A"/>
    <w:rsid w:val="005632A3"/>
    <w:rsid w:val="00565222"/>
    <w:rsid w:val="0056535B"/>
    <w:rsid w:val="00565469"/>
    <w:rsid w:val="005762AC"/>
    <w:rsid w:val="00577652"/>
    <w:rsid w:val="0058053C"/>
    <w:rsid w:val="00581CBD"/>
    <w:rsid w:val="005832F5"/>
    <w:rsid w:val="0058504B"/>
    <w:rsid w:val="00587795"/>
    <w:rsid w:val="0059128E"/>
    <w:rsid w:val="00592AF2"/>
    <w:rsid w:val="00595AD6"/>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6A39"/>
    <w:rsid w:val="005D122E"/>
    <w:rsid w:val="005D1678"/>
    <w:rsid w:val="005D335B"/>
    <w:rsid w:val="005D4E70"/>
    <w:rsid w:val="005D5080"/>
    <w:rsid w:val="005D7E6D"/>
    <w:rsid w:val="005E2740"/>
    <w:rsid w:val="005E4681"/>
    <w:rsid w:val="005E63A1"/>
    <w:rsid w:val="005E6B69"/>
    <w:rsid w:val="005E7F94"/>
    <w:rsid w:val="005F222A"/>
    <w:rsid w:val="005F28EE"/>
    <w:rsid w:val="0060267A"/>
    <w:rsid w:val="006036D8"/>
    <w:rsid w:val="0060446F"/>
    <w:rsid w:val="0060492D"/>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33F8E"/>
    <w:rsid w:val="006424CB"/>
    <w:rsid w:val="00643D80"/>
    <w:rsid w:val="006462F2"/>
    <w:rsid w:val="006505F6"/>
    <w:rsid w:val="00653EB5"/>
    <w:rsid w:val="00655CB3"/>
    <w:rsid w:val="00656B50"/>
    <w:rsid w:val="00661FDF"/>
    <w:rsid w:val="00663672"/>
    <w:rsid w:val="00663D6A"/>
    <w:rsid w:val="006651F3"/>
    <w:rsid w:val="00666FBB"/>
    <w:rsid w:val="00667325"/>
    <w:rsid w:val="00667783"/>
    <w:rsid w:val="00671B67"/>
    <w:rsid w:val="00671FC3"/>
    <w:rsid w:val="00672FEC"/>
    <w:rsid w:val="006759D7"/>
    <w:rsid w:val="0067628E"/>
    <w:rsid w:val="006763D3"/>
    <w:rsid w:val="0067694D"/>
    <w:rsid w:val="0068234B"/>
    <w:rsid w:val="0068325E"/>
    <w:rsid w:val="006844B9"/>
    <w:rsid w:val="006865F5"/>
    <w:rsid w:val="00686C8C"/>
    <w:rsid w:val="0069509F"/>
    <w:rsid w:val="006953F4"/>
    <w:rsid w:val="00696217"/>
    <w:rsid w:val="00696DE5"/>
    <w:rsid w:val="006A321F"/>
    <w:rsid w:val="006A493A"/>
    <w:rsid w:val="006A6B48"/>
    <w:rsid w:val="006A72B0"/>
    <w:rsid w:val="006A7F62"/>
    <w:rsid w:val="006B1404"/>
    <w:rsid w:val="006B2AA0"/>
    <w:rsid w:val="006B2DEC"/>
    <w:rsid w:val="006B316B"/>
    <w:rsid w:val="006B7229"/>
    <w:rsid w:val="006B72A5"/>
    <w:rsid w:val="006C5C4C"/>
    <w:rsid w:val="006C5FAF"/>
    <w:rsid w:val="006C69AE"/>
    <w:rsid w:val="006C6C2B"/>
    <w:rsid w:val="006C7C1F"/>
    <w:rsid w:val="006D2670"/>
    <w:rsid w:val="006D62A5"/>
    <w:rsid w:val="006D6489"/>
    <w:rsid w:val="006E0AEE"/>
    <w:rsid w:val="006E39AE"/>
    <w:rsid w:val="006E4E83"/>
    <w:rsid w:val="006F00C8"/>
    <w:rsid w:val="006F19C9"/>
    <w:rsid w:val="006F30A7"/>
    <w:rsid w:val="006F4A7C"/>
    <w:rsid w:val="006F51FB"/>
    <w:rsid w:val="006F60AB"/>
    <w:rsid w:val="006F6B5B"/>
    <w:rsid w:val="006F6E71"/>
    <w:rsid w:val="007001F7"/>
    <w:rsid w:val="007013A0"/>
    <w:rsid w:val="0070219E"/>
    <w:rsid w:val="00703C9F"/>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6749"/>
    <w:rsid w:val="00740B7B"/>
    <w:rsid w:val="00742D78"/>
    <w:rsid w:val="007446E1"/>
    <w:rsid w:val="00746724"/>
    <w:rsid w:val="00746E77"/>
    <w:rsid w:val="00750E39"/>
    <w:rsid w:val="00752528"/>
    <w:rsid w:val="00752E66"/>
    <w:rsid w:val="0075320A"/>
    <w:rsid w:val="007536FE"/>
    <w:rsid w:val="00753EDC"/>
    <w:rsid w:val="00754A62"/>
    <w:rsid w:val="0075580A"/>
    <w:rsid w:val="00755931"/>
    <w:rsid w:val="00755F7E"/>
    <w:rsid w:val="00757AB1"/>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A181F"/>
    <w:rsid w:val="007A1FD0"/>
    <w:rsid w:val="007B2D2A"/>
    <w:rsid w:val="007B2D81"/>
    <w:rsid w:val="007B3FB9"/>
    <w:rsid w:val="007B586C"/>
    <w:rsid w:val="007B693F"/>
    <w:rsid w:val="007B705F"/>
    <w:rsid w:val="007B75FD"/>
    <w:rsid w:val="007C19A8"/>
    <w:rsid w:val="007D0FB3"/>
    <w:rsid w:val="007D11FB"/>
    <w:rsid w:val="007D1FC1"/>
    <w:rsid w:val="007D39D6"/>
    <w:rsid w:val="007D480F"/>
    <w:rsid w:val="007D4965"/>
    <w:rsid w:val="007E0787"/>
    <w:rsid w:val="007E2778"/>
    <w:rsid w:val="007E3E50"/>
    <w:rsid w:val="007E4CF3"/>
    <w:rsid w:val="007E4DEF"/>
    <w:rsid w:val="007E5F41"/>
    <w:rsid w:val="007E7D43"/>
    <w:rsid w:val="007F0F7F"/>
    <w:rsid w:val="007F3080"/>
    <w:rsid w:val="007F339D"/>
    <w:rsid w:val="00800A9F"/>
    <w:rsid w:val="00801228"/>
    <w:rsid w:val="00803495"/>
    <w:rsid w:val="00803569"/>
    <w:rsid w:val="00803A3C"/>
    <w:rsid w:val="00805774"/>
    <w:rsid w:val="008067E5"/>
    <w:rsid w:val="008072B2"/>
    <w:rsid w:val="008076FF"/>
    <w:rsid w:val="00807D16"/>
    <w:rsid w:val="00810913"/>
    <w:rsid w:val="0081264B"/>
    <w:rsid w:val="00813AF3"/>
    <w:rsid w:val="00816E0D"/>
    <w:rsid w:val="00820103"/>
    <w:rsid w:val="00820307"/>
    <w:rsid w:val="008212B5"/>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13A2"/>
    <w:rsid w:val="00853008"/>
    <w:rsid w:val="00853626"/>
    <w:rsid w:val="00856529"/>
    <w:rsid w:val="00857658"/>
    <w:rsid w:val="00862C58"/>
    <w:rsid w:val="00862D99"/>
    <w:rsid w:val="008634EE"/>
    <w:rsid w:val="0086415E"/>
    <w:rsid w:val="008645B6"/>
    <w:rsid w:val="00864669"/>
    <w:rsid w:val="00866E55"/>
    <w:rsid w:val="00867F0E"/>
    <w:rsid w:val="008700B8"/>
    <w:rsid w:val="008711F9"/>
    <w:rsid w:val="00871DAB"/>
    <w:rsid w:val="008730D9"/>
    <w:rsid w:val="00873F07"/>
    <w:rsid w:val="00874E29"/>
    <w:rsid w:val="00876A5E"/>
    <w:rsid w:val="00880F59"/>
    <w:rsid w:val="00881489"/>
    <w:rsid w:val="00882148"/>
    <w:rsid w:val="00884B3C"/>
    <w:rsid w:val="00885A38"/>
    <w:rsid w:val="00891838"/>
    <w:rsid w:val="00891985"/>
    <w:rsid w:val="00895060"/>
    <w:rsid w:val="00897267"/>
    <w:rsid w:val="00897A30"/>
    <w:rsid w:val="008A46C8"/>
    <w:rsid w:val="008A5670"/>
    <w:rsid w:val="008A60DD"/>
    <w:rsid w:val="008A7489"/>
    <w:rsid w:val="008B0D8A"/>
    <w:rsid w:val="008B548E"/>
    <w:rsid w:val="008B62A8"/>
    <w:rsid w:val="008B6524"/>
    <w:rsid w:val="008B6931"/>
    <w:rsid w:val="008C08BD"/>
    <w:rsid w:val="008C227B"/>
    <w:rsid w:val="008C38F3"/>
    <w:rsid w:val="008C46E1"/>
    <w:rsid w:val="008D05AF"/>
    <w:rsid w:val="008D092A"/>
    <w:rsid w:val="008D3A9F"/>
    <w:rsid w:val="008D589D"/>
    <w:rsid w:val="008D6D53"/>
    <w:rsid w:val="008D6EC2"/>
    <w:rsid w:val="008D7205"/>
    <w:rsid w:val="008E08B5"/>
    <w:rsid w:val="008E6618"/>
    <w:rsid w:val="008E7397"/>
    <w:rsid w:val="008F0440"/>
    <w:rsid w:val="008F33BA"/>
    <w:rsid w:val="008F676B"/>
    <w:rsid w:val="008F6BFA"/>
    <w:rsid w:val="00903DD4"/>
    <w:rsid w:val="009048E0"/>
    <w:rsid w:val="0090491D"/>
    <w:rsid w:val="00904F8B"/>
    <w:rsid w:val="00904FE9"/>
    <w:rsid w:val="00905E98"/>
    <w:rsid w:val="00906B8A"/>
    <w:rsid w:val="00906BBC"/>
    <w:rsid w:val="00907012"/>
    <w:rsid w:val="0090722F"/>
    <w:rsid w:val="009121A0"/>
    <w:rsid w:val="00912577"/>
    <w:rsid w:val="00913EA7"/>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1BE"/>
    <w:rsid w:val="009538F5"/>
    <w:rsid w:val="009549F9"/>
    <w:rsid w:val="00955F92"/>
    <w:rsid w:val="009574B2"/>
    <w:rsid w:val="009601F6"/>
    <w:rsid w:val="00961539"/>
    <w:rsid w:val="00962FBD"/>
    <w:rsid w:val="00963418"/>
    <w:rsid w:val="009634BA"/>
    <w:rsid w:val="00963BA8"/>
    <w:rsid w:val="00963E1C"/>
    <w:rsid w:val="00966683"/>
    <w:rsid w:val="0096670F"/>
    <w:rsid w:val="009668A1"/>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73D"/>
    <w:rsid w:val="009C4EE3"/>
    <w:rsid w:val="009C5C25"/>
    <w:rsid w:val="009C5FFF"/>
    <w:rsid w:val="009D1271"/>
    <w:rsid w:val="009D156D"/>
    <w:rsid w:val="009D1A3B"/>
    <w:rsid w:val="009D2AD1"/>
    <w:rsid w:val="009D2C9C"/>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101B5"/>
    <w:rsid w:val="00A103C6"/>
    <w:rsid w:val="00A10E22"/>
    <w:rsid w:val="00A112A0"/>
    <w:rsid w:val="00A11331"/>
    <w:rsid w:val="00A15CE3"/>
    <w:rsid w:val="00A16FE2"/>
    <w:rsid w:val="00A21380"/>
    <w:rsid w:val="00A23452"/>
    <w:rsid w:val="00A2371C"/>
    <w:rsid w:val="00A23AF1"/>
    <w:rsid w:val="00A3017F"/>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AF8"/>
    <w:rsid w:val="00A57B90"/>
    <w:rsid w:val="00A6456E"/>
    <w:rsid w:val="00A65D4C"/>
    <w:rsid w:val="00A709A3"/>
    <w:rsid w:val="00A72C63"/>
    <w:rsid w:val="00A755B5"/>
    <w:rsid w:val="00A77363"/>
    <w:rsid w:val="00A77A64"/>
    <w:rsid w:val="00A84067"/>
    <w:rsid w:val="00A87BF3"/>
    <w:rsid w:val="00A90F64"/>
    <w:rsid w:val="00A92765"/>
    <w:rsid w:val="00A933C9"/>
    <w:rsid w:val="00A94A66"/>
    <w:rsid w:val="00A97FF1"/>
    <w:rsid w:val="00AA05A5"/>
    <w:rsid w:val="00AA1698"/>
    <w:rsid w:val="00AA4579"/>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6F53"/>
    <w:rsid w:val="00AD7575"/>
    <w:rsid w:val="00AD775F"/>
    <w:rsid w:val="00AE1D28"/>
    <w:rsid w:val="00AE250B"/>
    <w:rsid w:val="00AE31E1"/>
    <w:rsid w:val="00AE3337"/>
    <w:rsid w:val="00AE587D"/>
    <w:rsid w:val="00AE6EE2"/>
    <w:rsid w:val="00AF25D6"/>
    <w:rsid w:val="00AF2C04"/>
    <w:rsid w:val="00AF51BC"/>
    <w:rsid w:val="00AF646C"/>
    <w:rsid w:val="00AF69F7"/>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756"/>
    <w:rsid w:val="00B257A7"/>
    <w:rsid w:val="00B262B2"/>
    <w:rsid w:val="00B2764A"/>
    <w:rsid w:val="00B31087"/>
    <w:rsid w:val="00B31229"/>
    <w:rsid w:val="00B313D2"/>
    <w:rsid w:val="00B318D8"/>
    <w:rsid w:val="00B3398B"/>
    <w:rsid w:val="00B35590"/>
    <w:rsid w:val="00B408E5"/>
    <w:rsid w:val="00B40DF1"/>
    <w:rsid w:val="00B45864"/>
    <w:rsid w:val="00B46A03"/>
    <w:rsid w:val="00B474B5"/>
    <w:rsid w:val="00B509DD"/>
    <w:rsid w:val="00B52FF7"/>
    <w:rsid w:val="00B5333B"/>
    <w:rsid w:val="00B53B00"/>
    <w:rsid w:val="00B540B9"/>
    <w:rsid w:val="00B540F1"/>
    <w:rsid w:val="00B554CC"/>
    <w:rsid w:val="00B55E3C"/>
    <w:rsid w:val="00B57E81"/>
    <w:rsid w:val="00B60BBE"/>
    <w:rsid w:val="00B60E27"/>
    <w:rsid w:val="00B61203"/>
    <w:rsid w:val="00B61898"/>
    <w:rsid w:val="00B62AB7"/>
    <w:rsid w:val="00B67526"/>
    <w:rsid w:val="00B7028F"/>
    <w:rsid w:val="00B73680"/>
    <w:rsid w:val="00B737AD"/>
    <w:rsid w:val="00B74E4F"/>
    <w:rsid w:val="00B7518D"/>
    <w:rsid w:val="00B76B89"/>
    <w:rsid w:val="00B8119A"/>
    <w:rsid w:val="00B8279C"/>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413D"/>
    <w:rsid w:val="00BC4BA0"/>
    <w:rsid w:val="00BC679A"/>
    <w:rsid w:val="00BD08B6"/>
    <w:rsid w:val="00BD0942"/>
    <w:rsid w:val="00BD2316"/>
    <w:rsid w:val="00BD2552"/>
    <w:rsid w:val="00BD3FFF"/>
    <w:rsid w:val="00BD4256"/>
    <w:rsid w:val="00BD49D9"/>
    <w:rsid w:val="00BD5F9F"/>
    <w:rsid w:val="00BD7C83"/>
    <w:rsid w:val="00BE0493"/>
    <w:rsid w:val="00BE1EC8"/>
    <w:rsid w:val="00BE385F"/>
    <w:rsid w:val="00BE3F86"/>
    <w:rsid w:val="00BE4739"/>
    <w:rsid w:val="00BE7074"/>
    <w:rsid w:val="00BF05B7"/>
    <w:rsid w:val="00BF05D2"/>
    <w:rsid w:val="00BF2B21"/>
    <w:rsid w:val="00BF3A2C"/>
    <w:rsid w:val="00BF3CC5"/>
    <w:rsid w:val="00BF456F"/>
    <w:rsid w:val="00BF4881"/>
    <w:rsid w:val="00BF75DB"/>
    <w:rsid w:val="00C00336"/>
    <w:rsid w:val="00C00847"/>
    <w:rsid w:val="00C01A69"/>
    <w:rsid w:val="00C0294A"/>
    <w:rsid w:val="00C05579"/>
    <w:rsid w:val="00C05CA1"/>
    <w:rsid w:val="00C066BB"/>
    <w:rsid w:val="00C074DE"/>
    <w:rsid w:val="00C11807"/>
    <w:rsid w:val="00C11A2E"/>
    <w:rsid w:val="00C14FB2"/>
    <w:rsid w:val="00C16045"/>
    <w:rsid w:val="00C16422"/>
    <w:rsid w:val="00C16CD0"/>
    <w:rsid w:val="00C17645"/>
    <w:rsid w:val="00C17937"/>
    <w:rsid w:val="00C21653"/>
    <w:rsid w:val="00C2485D"/>
    <w:rsid w:val="00C24F41"/>
    <w:rsid w:val="00C254EB"/>
    <w:rsid w:val="00C25696"/>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AC4"/>
    <w:rsid w:val="00C55CA7"/>
    <w:rsid w:val="00C55D38"/>
    <w:rsid w:val="00C55DE2"/>
    <w:rsid w:val="00C646FF"/>
    <w:rsid w:val="00C65A3D"/>
    <w:rsid w:val="00C67036"/>
    <w:rsid w:val="00C735DB"/>
    <w:rsid w:val="00C74C43"/>
    <w:rsid w:val="00C76156"/>
    <w:rsid w:val="00C76B4F"/>
    <w:rsid w:val="00C779B4"/>
    <w:rsid w:val="00C81759"/>
    <w:rsid w:val="00C8313B"/>
    <w:rsid w:val="00C850BA"/>
    <w:rsid w:val="00C8741A"/>
    <w:rsid w:val="00C908EB"/>
    <w:rsid w:val="00C91855"/>
    <w:rsid w:val="00C9340E"/>
    <w:rsid w:val="00C95398"/>
    <w:rsid w:val="00C95819"/>
    <w:rsid w:val="00C95AE9"/>
    <w:rsid w:val="00C97495"/>
    <w:rsid w:val="00CA0779"/>
    <w:rsid w:val="00CA09E9"/>
    <w:rsid w:val="00CA1A55"/>
    <w:rsid w:val="00CA29C9"/>
    <w:rsid w:val="00CA4652"/>
    <w:rsid w:val="00CA5FE3"/>
    <w:rsid w:val="00CA78B0"/>
    <w:rsid w:val="00CA7AC8"/>
    <w:rsid w:val="00CA7BB6"/>
    <w:rsid w:val="00CB0439"/>
    <w:rsid w:val="00CB1151"/>
    <w:rsid w:val="00CB392D"/>
    <w:rsid w:val="00CB3946"/>
    <w:rsid w:val="00CB4428"/>
    <w:rsid w:val="00CB7C6A"/>
    <w:rsid w:val="00CC1DA8"/>
    <w:rsid w:val="00CC27B9"/>
    <w:rsid w:val="00CC2CBE"/>
    <w:rsid w:val="00CC57AB"/>
    <w:rsid w:val="00CC60C0"/>
    <w:rsid w:val="00CC7191"/>
    <w:rsid w:val="00CC7790"/>
    <w:rsid w:val="00CC78DC"/>
    <w:rsid w:val="00CC7A52"/>
    <w:rsid w:val="00CD061D"/>
    <w:rsid w:val="00CD4EEB"/>
    <w:rsid w:val="00CE05A7"/>
    <w:rsid w:val="00CE2A36"/>
    <w:rsid w:val="00CE2FAB"/>
    <w:rsid w:val="00CE4BF2"/>
    <w:rsid w:val="00CE5607"/>
    <w:rsid w:val="00CE5801"/>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3CEF"/>
    <w:rsid w:val="00D163F9"/>
    <w:rsid w:val="00D16B1A"/>
    <w:rsid w:val="00D17D0E"/>
    <w:rsid w:val="00D203E6"/>
    <w:rsid w:val="00D2145D"/>
    <w:rsid w:val="00D227C9"/>
    <w:rsid w:val="00D23327"/>
    <w:rsid w:val="00D2616E"/>
    <w:rsid w:val="00D30113"/>
    <w:rsid w:val="00D325E7"/>
    <w:rsid w:val="00D332C5"/>
    <w:rsid w:val="00D33517"/>
    <w:rsid w:val="00D374DF"/>
    <w:rsid w:val="00D419E3"/>
    <w:rsid w:val="00D44D0A"/>
    <w:rsid w:val="00D454CA"/>
    <w:rsid w:val="00D46C4B"/>
    <w:rsid w:val="00D50EDC"/>
    <w:rsid w:val="00D51618"/>
    <w:rsid w:val="00D51E9E"/>
    <w:rsid w:val="00D53B8E"/>
    <w:rsid w:val="00D568B0"/>
    <w:rsid w:val="00D571CF"/>
    <w:rsid w:val="00D57D93"/>
    <w:rsid w:val="00D618C1"/>
    <w:rsid w:val="00D628B7"/>
    <w:rsid w:val="00D6683B"/>
    <w:rsid w:val="00D71AA1"/>
    <w:rsid w:val="00D72740"/>
    <w:rsid w:val="00D7557B"/>
    <w:rsid w:val="00D81EFE"/>
    <w:rsid w:val="00D82769"/>
    <w:rsid w:val="00D83A64"/>
    <w:rsid w:val="00D849A1"/>
    <w:rsid w:val="00D852B7"/>
    <w:rsid w:val="00D866A3"/>
    <w:rsid w:val="00D95C1D"/>
    <w:rsid w:val="00DA026B"/>
    <w:rsid w:val="00DA1CDC"/>
    <w:rsid w:val="00DA20DE"/>
    <w:rsid w:val="00DA2AE7"/>
    <w:rsid w:val="00DA3683"/>
    <w:rsid w:val="00DA4A48"/>
    <w:rsid w:val="00DA4FE3"/>
    <w:rsid w:val="00DA71F3"/>
    <w:rsid w:val="00DB0D33"/>
    <w:rsid w:val="00DB121D"/>
    <w:rsid w:val="00DB1E9D"/>
    <w:rsid w:val="00DB2221"/>
    <w:rsid w:val="00DB5CA1"/>
    <w:rsid w:val="00DB60FD"/>
    <w:rsid w:val="00DB69E0"/>
    <w:rsid w:val="00DB78AA"/>
    <w:rsid w:val="00DC00DB"/>
    <w:rsid w:val="00DC245F"/>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6F8C"/>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23E7"/>
    <w:rsid w:val="00E14A14"/>
    <w:rsid w:val="00E1707A"/>
    <w:rsid w:val="00E220CB"/>
    <w:rsid w:val="00E2347C"/>
    <w:rsid w:val="00E23782"/>
    <w:rsid w:val="00E238BB"/>
    <w:rsid w:val="00E24E3E"/>
    <w:rsid w:val="00E24F40"/>
    <w:rsid w:val="00E25435"/>
    <w:rsid w:val="00E265B8"/>
    <w:rsid w:val="00E3046C"/>
    <w:rsid w:val="00E32AD2"/>
    <w:rsid w:val="00E34F79"/>
    <w:rsid w:val="00E35C00"/>
    <w:rsid w:val="00E373BD"/>
    <w:rsid w:val="00E41304"/>
    <w:rsid w:val="00E468B5"/>
    <w:rsid w:val="00E47061"/>
    <w:rsid w:val="00E50552"/>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9347E"/>
    <w:rsid w:val="00EA0A6E"/>
    <w:rsid w:val="00EA14F3"/>
    <w:rsid w:val="00EA1B3F"/>
    <w:rsid w:val="00EA2C15"/>
    <w:rsid w:val="00EA3795"/>
    <w:rsid w:val="00EB17D2"/>
    <w:rsid w:val="00EB7090"/>
    <w:rsid w:val="00EC06D3"/>
    <w:rsid w:val="00EC318A"/>
    <w:rsid w:val="00EC33B6"/>
    <w:rsid w:val="00EC443C"/>
    <w:rsid w:val="00EC5D18"/>
    <w:rsid w:val="00EC6266"/>
    <w:rsid w:val="00ED06DA"/>
    <w:rsid w:val="00ED0F48"/>
    <w:rsid w:val="00ED1209"/>
    <w:rsid w:val="00ED290B"/>
    <w:rsid w:val="00ED2C84"/>
    <w:rsid w:val="00ED41DA"/>
    <w:rsid w:val="00ED75AF"/>
    <w:rsid w:val="00EE26E8"/>
    <w:rsid w:val="00EE31B0"/>
    <w:rsid w:val="00EE3DA8"/>
    <w:rsid w:val="00EE4D8D"/>
    <w:rsid w:val="00EE5CB1"/>
    <w:rsid w:val="00EE6523"/>
    <w:rsid w:val="00EE6C74"/>
    <w:rsid w:val="00EE723B"/>
    <w:rsid w:val="00EF0BB3"/>
    <w:rsid w:val="00EF0E69"/>
    <w:rsid w:val="00EF18C8"/>
    <w:rsid w:val="00EF3E01"/>
    <w:rsid w:val="00EF630F"/>
    <w:rsid w:val="00F0244E"/>
    <w:rsid w:val="00F02F94"/>
    <w:rsid w:val="00F04E0E"/>
    <w:rsid w:val="00F06970"/>
    <w:rsid w:val="00F11977"/>
    <w:rsid w:val="00F12302"/>
    <w:rsid w:val="00F12ACE"/>
    <w:rsid w:val="00F14858"/>
    <w:rsid w:val="00F17A2E"/>
    <w:rsid w:val="00F21E2C"/>
    <w:rsid w:val="00F22CC1"/>
    <w:rsid w:val="00F2376D"/>
    <w:rsid w:val="00F257A5"/>
    <w:rsid w:val="00F261CD"/>
    <w:rsid w:val="00F303AC"/>
    <w:rsid w:val="00F31092"/>
    <w:rsid w:val="00F331AA"/>
    <w:rsid w:val="00F33E4F"/>
    <w:rsid w:val="00F3788D"/>
    <w:rsid w:val="00F4122A"/>
    <w:rsid w:val="00F43A00"/>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80B7B"/>
    <w:rsid w:val="00F82BE5"/>
    <w:rsid w:val="00F86FA0"/>
    <w:rsid w:val="00F8797A"/>
    <w:rsid w:val="00F90071"/>
    <w:rsid w:val="00F904CC"/>
    <w:rsid w:val="00F91FBB"/>
    <w:rsid w:val="00F920C7"/>
    <w:rsid w:val="00F939F3"/>
    <w:rsid w:val="00F939F5"/>
    <w:rsid w:val="00F95DCE"/>
    <w:rsid w:val="00FA034B"/>
    <w:rsid w:val="00FA0499"/>
    <w:rsid w:val="00FA102A"/>
    <w:rsid w:val="00FA123A"/>
    <w:rsid w:val="00FA292C"/>
    <w:rsid w:val="00FA6AFC"/>
    <w:rsid w:val="00FB00CE"/>
    <w:rsid w:val="00FB1C3E"/>
    <w:rsid w:val="00FB47CC"/>
    <w:rsid w:val="00FB4C24"/>
    <w:rsid w:val="00FB4F77"/>
    <w:rsid w:val="00FB612D"/>
    <w:rsid w:val="00FB6C02"/>
    <w:rsid w:val="00FB74A8"/>
    <w:rsid w:val="00FB7B7D"/>
    <w:rsid w:val="00FC1AC5"/>
    <w:rsid w:val="00FC5F89"/>
    <w:rsid w:val="00FD0C7C"/>
    <w:rsid w:val="00FD1D31"/>
    <w:rsid w:val="00FD2A70"/>
    <w:rsid w:val="00FD3126"/>
    <w:rsid w:val="00FD38E5"/>
    <w:rsid w:val="00FD3EF1"/>
    <w:rsid w:val="00FD78FE"/>
    <w:rsid w:val="00FE0A69"/>
    <w:rsid w:val="00FE0BBB"/>
    <w:rsid w:val="00FE2900"/>
    <w:rsid w:val="00FE33C0"/>
    <w:rsid w:val="00FE3730"/>
    <w:rsid w:val="00FE38A9"/>
    <w:rsid w:val="00FE40F8"/>
    <w:rsid w:val="00FE47C2"/>
    <w:rsid w:val="00FE6C31"/>
    <w:rsid w:val="00FE78AF"/>
    <w:rsid w:val="00FE7C72"/>
    <w:rsid w:val="00FF117F"/>
    <w:rsid w:val="00FF197C"/>
    <w:rsid w:val="00FF20A6"/>
    <w:rsid w:val="00FF35B9"/>
    <w:rsid w:val="00FF392C"/>
    <w:rsid w:val="00FF5F5D"/>
    <w:rsid w:val="05F3574A"/>
    <w:rsid w:val="0EFC0DE4"/>
    <w:rsid w:val="103457CF"/>
    <w:rsid w:val="10BE38C8"/>
    <w:rsid w:val="175F4F12"/>
    <w:rsid w:val="18BC772E"/>
    <w:rsid w:val="1A163D01"/>
    <w:rsid w:val="1C7B446F"/>
    <w:rsid w:val="1E2C4D2C"/>
    <w:rsid w:val="241C1A78"/>
    <w:rsid w:val="25172E45"/>
    <w:rsid w:val="256B2B41"/>
    <w:rsid w:val="2C850A2A"/>
    <w:rsid w:val="30C30477"/>
    <w:rsid w:val="3624761E"/>
    <w:rsid w:val="3AA87FD7"/>
    <w:rsid w:val="44B34295"/>
    <w:rsid w:val="4A5901DE"/>
    <w:rsid w:val="56AC3E6D"/>
    <w:rsid w:val="59316F82"/>
    <w:rsid w:val="598D6930"/>
    <w:rsid w:val="611541FB"/>
    <w:rsid w:val="656A3939"/>
    <w:rsid w:val="68866A63"/>
    <w:rsid w:val="6E7E46FD"/>
    <w:rsid w:val="7841712E"/>
    <w:rsid w:val="7ADB3E06"/>
    <w:rsid w:val="7B4C3507"/>
    <w:rsid w:val="7D5C5A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qFormat="1"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21"/>
    <w:qFormat/>
    <w:locked/>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Balloon Text"/>
    <w:basedOn w:val="1"/>
    <w:link w:val="25"/>
    <w:semiHidden/>
    <w:qFormat/>
    <w:uiPriority w:val="99"/>
    <w:rPr>
      <w:sz w:val="18"/>
      <w:szCs w:val="18"/>
    </w:rPr>
  </w:style>
  <w:style w:type="paragraph" w:styleId="5">
    <w:name w:val="footer"/>
    <w:basedOn w:val="1"/>
    <w:link w:val="22"/>
    <w:semiHidden/>
    <w:qFormat/>
    <w:uiPriority w:val="99"/>
    <w:pPr>
      <w:tabs>
        <w:tab w:val="center" w:pos="4153"/>
        <w:tab w:val="right" w:pos="8306"/>
      </w:tabs>
      <w:snapToGrid w:val="0"/>
      <w:jc w:val="left"/>
    </w:pPr>
    <w:rPr>
      <w:sz w:val="18"/>
      <w:szCs w:val="18"/>
    </w:rPr>
  </w:style>
  <w:style w:type="paragraph" w:styleId="6">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99"/>
    <w:rPr>
      <w:rFonts w:cs="Times New Roman"/>
      <w:b/>
      <w:bCs/>
    </w:rPr>
  </w:style>
  <w:style w:type="character" w:styleId="11">
    <w:name w:val="page number"/>
    <w:basedOn w:val="9"/>
    <w:qFormat/>
    <w:uiPriority w:val="99"/>
    <w:rPr>
      <w:rFonts w:cs="Times New Roman"/>
    </w:rPr>
  </w:style>
  <w:style w:type="character" w:styleId="12">
    <w:name w:val="FollowedHyperlink"/>
    <w:basedOn w:val="9"/>
    <w:semiHidden/>
    <w:unhideWhenUsed/>
    <w:uiPriority w:val="99"/>
    <w:rPr>
      <w:color w:val="000000"/>
      <w:u w:val="none"/>
    </w:rPr>
  </w:style>
  <w:style w:type="character" w:styleId="13">
    <w:name w:val="Emphasis"/>
    <w:basedOn w:val="9"/>
    <w:qFormat/>
    <w:locked/>
    <w:uiPriority w:val="0"/>
  </w:style>
  <w:style w:type="character" w:styleId="14">
    <w:name w:val="HTML Definition"/>
    <w:basedOn w:val="9"/>
    <w:semiHidden/>
    <w:unhideWhenUsed/>
    <w:uiPriority w:val="99"/>
  </w:style>
  <w:style w:type="character" w:styleId="15">
    <w:name w:val="HTML Variable"/>
    <w:basedOn w:val="9"/>
    <w:semiHidden/>
    <w:unhideWhenUsed/>
    <w:uiPriority w:val="99"/>
  </w:style>
  <w:style w:type="character" w:styleId="16">
    <w:name w:val="Hyperlink"/>
    <w:basedOn w:val="9"/>
    <w:qFormat/>
    <w:uiPriority w:val="99"/>
    <w:rPr>
      <w:rFonts w:cs="Times New Roman"/>
      <w:color w:val="0000FF"/>
      <w:u w:val="single"/>
    </w:rPr>
  </w:style>
  <w:style w:type="character" w:styleId="17">
    <w:name w:val="HTML Code"/>
    <w:basedOn w:val="9"/>
    <w:semiHidden/>
    <w:unhideWhenUsed/>
    <w:uiPriority w:val="99"/>
    <w:rPr>
      <w:rFonts w:hint="default" w:ascii="serif" w:hAnsi="serif" w:eastAsia="serif" w:cs="serif"/>
      <w:sz w:val="21"/>
      <w:szCs w:val="21"/>
    </w:rPr>
  </w:style>
  <w:style w:type="character" w:styleId="18">
    <w:name w:val="HTML Cite"/>
    <w:basedOn w:val="9"/>
    <w:semiHidden/>
    <w:unhideWhenUsed/>
    <w:uiPriority w:val="99"/>
  </w:style>
  <w:style w:type="character" w:styleId="19">
    <w:name w:val="HTML Keyboard"/>
    <w:basedOn w:val="9"/>
    <w:semiHidden/>
    <w:unhideWhenUsed/>
    <w:qFormat/>
    <w:uiPriority w:val="99"/>
    <w:rPr>
      <w:rFonts w:hint="default" w:ascii="serif" w:hAnsi="serif" w:eastAsia="serif" w:cs="serif"/>
      <w:sz w:val="21"/>
      <w:szCs w:val="21"/>
      <w:u w:val="single"/>
    </w:rPr>
  </w:style>
  <w:style w:type="character" w:styleId="20">
    <w:name w:val="HTML Sample"/>
    <w:basedOn w:val="9"/>
    <w:semiHidden/>
    <w:unhideWhenUsed/>
    <w:uiPriority w:val="99"/>
    <w:rPr>
      <w:rFonts w:ascii="serif" w:hAnsi="serif" w:eastAsia="serif" w:cs="serif"/>
      <w:sz w:val="21"/>
      <w:szCs w:val="21"/>
    </w:rPr>
  </w:style>
  <w:style w:type="character" w:customStyle="1" w:styleId="21">
    <w:name w:val="Heading 3 Char"/>
    <w:basedOn w:val="9"/>
    <w:link w:val="2"/>
    <w:semiHidden/>
    <w:qFormat/>
    <w:uiPriority w:val="9"/>
    <w:rPr>
      <w:rFonts w:ascii="Calibri" w:hAnsi="Calibri" w:cs="Calibri"/>
      <w:b/>
      <w:bCs/>
      <w:sz w:val="32"/>
      <w:szCs w:val="32"/>
    </w:rPr>
  </w:style>
  <w:style w:type="character" w:customStyle="1" w:styleId="22">
    <w:name w:val="Footer Char"/>
    <w:basedOn w:val="9"/>
    <w:link w:val="5"/>
    <w:semiHidden/>
    <w:qFormat/>
    <w:locked/>
    <w:uiPriority w:val="99"/>
    <w:rPr>
      <w:rFonts w:cs="Times New Roman"/>
      <w:sz w:val="18"/>
      <w:szCs w:val="18"/>
    </w:rPr>
  </w:style>
  <w:style w:type="character" w:customStyle="1" w:styleId="23">
    <w:name w:val="Header Char"/>
    <w:basedOn w:val="9"/>
    <w:link w:val="6"/>
    <w:semiHidden/>
    <w:qFormat/>
    <w:locked/>
    <w:uiPriority w:val="99"/>
    <w:rPr>
      <w:rFonts w:cs="Times New Roman"/>
      <w:sz w:val="18"/>
      <w:szCs w:val="18"/>
    </w:rPr>
  </w:style>
  <w:style w:type="paragraph" w:customStyle="1" w:styleId="24">
    <w:name w:val="List Paragraph1"/>
    <w:basedOn w:val="1"/>
    <w:qFormat/>
    <w:uiPriority w:val="99"/>
    <w:pPr>
      <w:ind w:firstLine="420" w:firstLineChars="200"/>
    </w:pPr>
  </w:style>
  <w:style w:type="character" w:customStyle="1" w:styleId="25">
    <w:name w:val="Balloon Text Char"/>
    <w:basedOn w:val="9"/>
    <w:link w:val="4"/>
    <w:semiHidden/>
    <w:qFormat/>
    <w:locked/>
    <w:uiPriority w:val="99"/>
    <w:rPr>
      <w:rFonts w:ascii="Calibri" w:hAnsi="Calibri" w:cs="Calibri"/>
      <w:sz w:val="2"/>
    </w:rPr>
  </w:style>
  <w:style w:type="paragraph" w:customStyle="1" w:styleId="26">
    <w:name w:val="Char"/>
    <w:basedOn w:val="1"/>
    <w:qFormat/>
    <w:uiPriority w:val="99"/>
    <w:pPr>
      <w:tabs>
        <w:tab w:val="left" w:pos="360"/>
      </w:tabs>
    </w:pPr>
    <w:rPr>
      <w:rFonts w:ascii="Times New Roman" w:hAnsi="Times New Roman" w:cs="Times New Roman"/>
      <w:sz w:val="24"/>
      <w:szCs w:val="24"/>
    </w:rPr>
  </w:style>
  <w:style w:type="character" w:customStyle="1" w:styleId="27">
    <w:name w:val="apple-converted-space"/>
    <w:basedOn w:val="9"/>
    <w:qFormat/>
    <w:uiPriority w:val="99"/>
    <w:rPr>
      <w:rFonts w:cs="Times New Roman"/>
    </w:rPr>
  </w:style>
  <w:style w:type="paragraph" w:customStyle="1" w:styleId="28">
    <w:name w:val="List Paragraph"/>
    <w:basedOn w:val="1"/>
    <w:qFormat/>
    <w:uiPriority w:val="0"/>
    <w:pPr>
      <w:ind w:firstLine="420" w:firstLineChars="200"/>
    </w:pPr>
  </w:style>
  <w:style w:type="character" w:customStyle="1" w:styleId="29">
    <w:name w:val="z-crt1"/>
    <w:basedOn w:val="9"/>
    <w:qFormat/>
    <w:uiPriority w:val="0"/>
    <w:rPr>
      <w:color w:val="FFFFFF"/>
      <w:bdr w:val="single" w:color="5295E6" w:sz="6" w:space="0"/>
      <w:shd w:val="clear" w:fill="5295E6"/>
    </w:rPr>
  </w:style>
  <w:style w:type="character" w:customStyle="1" w:styleId="30">
    <w:name w:val="z-crt2"/>
    <w:basedOn w:val="9"/>
    <w:qFormat/>
    <w:uiPriority w:val="0"/>
    <w:rPr>
      <w:color w:val="FFFFFF"/>
      <w:bdr w:val="single" w:color="5294E5" w:sz="6" w:space="0"/>
      <w:shd w:val="clear" w:fill="5294E5"/>
    </w:rPr>
  </w:style>
  <w:style w:type="character" w:customStyle="1" w:styleId="31">
    <w:name w:val="first-child"/>
    <w:basedOn w:val="9"/>
    <w:qFormat/>
    <w:uiPriority w:val="0"/>
  </w:style>
  <w:style w:type="character" w:customStyle="1" w:styleId="32">
    <w:name w:val="r-search"/>
    <w:basedOn w:val="9"/>
    <w:qFormat/>
    <w:uiPriority w:val="0"/>
  </w:style>
  <w:style w:type="character" w:customStyle="1" w:styleId="33">
    <w:name w:val="r-search1"/>
    <w:basedOn w:val="9"/>
    <w:qFormat/>
    <w:uiPriority w:val="0"/>
  </w:style>
  <w:style w:type="character" w:customStyle="1" w:styleId="34">
    <w:name w:val="ewm"/>
    <w:basedOn w:val="9"/>
    <w:qFormat/>
    <w:uiPriority w:val="0"/>
  </w:style>
  <w:style w:type="character" w:customStyle="1" w:styleId="35">
    <w:name w:val="hover34"/>
    <w:basedOn w:val="9"/>
    <w:qFormat/>
    <w:uiPriority w:val="0"/>
    <w:rPr>
      <w:color w:val="FFFFFF"/>
      <w:bdr w:val="single" w:color="5294E5" w:sz="6" w:space="0"/>
      <w:shd w:val="clear" w:fill="5294E5"/>
    </w:rPr>
  </w:style>
  <w:style w:type="character" w:customStyle="1" w:styleId="36">
    <w:name w:val="first-child1"/>
    <w:basedOn w:val="9"/>
    <w:qFormat/>
    <w:uiPriority w:val="0"/>
  </w:style>
  <w:style w:type="character" w:customStyle="1" w:styleId="37">
    <w:name w:val="z-crt3"/>
    <w:basedOn w:val="9"/>
    <w:qFormat/>
    <w:uiPriority w:val="0"/>
    <w:rPr>
      <w:color w:val="FFFFFF"/>
      <w:bdr w:val="single" w:color="5295E6" w:sz="6" w:space="0"/>
      <w:shd w:val="clear" w:fill="5295E6"/>
    </w:rPr>
  </w:style>
  <w:style w:type="character" w:customStyle="1" w:styleId="38">
    <w:name w:val="z-crt4"/>
    <w:basedOn w:val="9"/>
    <w:qFormat/>
    <w:uiPriority w:val="0"/>
    <w:rPr>
      <w:color w:val="FFFFFF"/>
      <w:bdr w:val="single" w:color="5294E5" w:sz="6" w:space="0"/>
      <w:shd w:val="clear" w:fill="5294E5"/>
    </w:rPr>
  </w:style>
  <w:style w:type="character" w:customStyle="1" w:styleId="39">
    <w:name w:val="fontborder"/>
    <w:basedOn w:val="9"/>
    <w:qFormat/>
    <w:uiPriority w:val="0"/>
    <w:rPr>
      <w:bdr w:val="single" w:color="000000" w:sz="6" w:space="0"/>
    </w:rPr>
  </w:style>
  <w:style w:type="character" w:customStyle="1" w:styleId="40">
    <w:name w:val="fontstrikethrough"/>
    <w:basedOn w:val="9"/>
    <w:qFormat/>
    <w:uiPriority w:val="0"/>
    <w:rPr>
      <w:strike/>
    </w:rPr>
  </w:style>
  <w:style w:type="character" w:customStyle="1" w:styleId="41">
    <w:name w:val="gwds_nopic"/>
    <w:basedOn w:val="9"/>
    <w:uiPriority w:val="0"/>
  </w:style>
  <w:style w:type="character" w:customStyle="1" w:styleId="42">
    <w:name w:val="more4"/>
    <w:basedOn w:val="9"/>
    <w:uiPriority w:val="0"/>
    <w:rPr>
      <w:color w:val="666666"/>
      <w:sz w:val="14"/>
      <w:szCs w:val="14"/>
      <w:bdr w:val="none" w:color="auto" w:sz="0" w:space="0"/>
    </w:rPr>
  </w:style>
  <w:style w:type="character" w:customStyle="1" w:styleId="43">
    <w:name w:val="bg01"/>
    <w:basedOn w:val="9"/>
    <w:uiPriority w:val="0"/>
  </w:style>
  <w:style w:type="character" w:customStyle="1" w:styleId="44">
    <w:name w:val="m01"/>
    <w:basedOn w:val="9"/>
    <w:uiPriority w:val="0"/>
  </w:style>
  <w:style w:type="character" w:customStyle="1" w:styleId="45">
    <w:name w:val="m011"/>
    <w:basedOn w:val="9"/>
    <w:uiPriority w:val="0"/>
  </w:style>
  <w:style w:type="character" w:customStyle="1" w:styleId="46">
    <w:name w:val="bg02"/>
    <w:basedOn w:val="9"/>
    <w:uiPriority w:val="0"/>
  </w:style>
  <w:style w:type="character" w:customStyle="1" w:styleId="47">
    <w:name w:val="tabg"/>
    <w:basedOn w:val="9"/>
    <w:uiPriority w:val="0"/>
    <w:rPr>
      <w:color w:val="FFFFFF"/>
      <w:sz w:val="21"/>
      <w:szCs w:val="21"/>
      <w:bdr w:val="none" w:color="auto" w:sz="0" w:space="0"/>
    </w:rPr>
  </w:style>
  <w:style w:type="character" w:customStyle="1" w:styleId="48">
    <w:name w:val="font"/>
    <w:basedOn w:val="9"/>
    <w:uiPriority w:val="0"/>
  </w:style>
  <w:style w:type="character" w:customStyle="1" w:styleId="49">
    <w:name w:val="font1"/>
    <w:basedOn w:val="9"/>
    <w:uiPriority w:val="0"/>
  </w:style>
  <w:style w:type="character" w:customStyle="1" w:styleId="50">
    <w:name w:val="gwds_nopic1"/>
    <w:basedOn w:val="9"/>
    <w:uiPriority w:val="0"/>
  </w:style>
  <w:style w:type="character" w:customStyle="1" w:styleId="51">
    <w:name w:val="icon01"/>
    <w:basedOn w:val="9"/>
    <w:uiPriority w:val="0"/>
    <w:rPr>
      <w:sz w:val="14"/>
      <w:szCs w:val="14"/>
      <w:bdr w:val="none" w:color="auto" w:sz="0" w:space="0"/>
    </w:rPr>
  </w:style>
  <w:style w:type="character" w:customStyle="1" w:styleId="52">
    <w:name w:val="sjx"/>
    <w:basedOn w:val="9"/>
    <w:uiPriority w:val="0"/>
  </w:style>
  <w:style w:type="character" w:customStyle="1" w:styleId="53">
    <w:name w:val="icon02"/>
    <w:basedOn w:val="9"/>
    <w:uiPriority w:val="0"/>
    <w:rPr>
      <w:sz w:val="14"/>
      <w:szCs w:val="14"/>
      <w:bdr w:val="none" w:color="auto" w:sz="0" w:space="0"/>
    </w:rPr>
  </w:style>
  <w:style w:type="character" w:customStyle="1" w:styleId="54">
    <w:name w:val="gl_news_sz2"/>
    <w:basedOn w:val="9"/>
    <w:uiPriority w:val="0"/>
    <w:rPr>
      <w:color w:val="FFFFFF"/>
      <w:shd w:val="clear" w:fill="A32A2A"/>
    </w:rPr>
  </w:style>
  <w:style w:type="character" w:customStyle="1" w:styleId="55">
    <w:name w:val="time"/>
    <w:basedOn w:val="9"/>
    <w:uiPriority w:val="0"/>
  </w:style>
  <w:style w:type="character" w:customStyle="1" w:styleId="56">
    <w:name w:val="icon014"/>
    <w:basedOn w:val="9"/>
    <w:uiPriority w:val="0"/>
    <w:rPr>
      <w:sz w:val="14"/>
      <w:szCs w:val="14"/>
      <w:bdr w:val="none" w:color="auto" w:sz="0" w:space="0"/>
    </w:rPr>
  </w:style>
  <w:style w:type="character" w:customStyle="1" w:styleId="57">
    <w:name w:val="gl_news_sz"/>
    <w:basedOn w:val="9"/>
    <w:uiPriority w:val="0"/>
    <w:rPr>
      <w:color w:val="FFFFFF"/>
      <w:shd w:val="clear" w:fill="A32A2A"/>
    </w:rPr>
  </w:style>
  <w:style w:type="character" w:customStyle="1" w:styleId="58">
    <w:name w:val="icon024"/>
    <w:basedOn w:val="9"/>
    <w:uiPriority w:val="0"/>
    <w:rPr>
      <w:sz w:val="14"/>
      <w:szCs w:val="14"/>
      <w:bdr w:val="none" w:color="auto" w:sz="0"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9</Pages>
  <Words>647</Words>
  <Characters>3689</Characters>
  <Lines>0</Lines>
  <Paragraphs>0</Paragraphs>
  <TotalTime>4</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2019-03-12T04:32:00Z</dcterms:created>
  <dc:creator>Lenovo User</dc:creator>
  <cp:lastModifiedBy>陈雅焰</cp:lastModifiedBy>
  <cp:lastPrinted>2020-01-03T03:37:00Z</cp:lastPrinted>
  <dcterms:modified xsi:type="dcterms:W3CDTF">2020-02-11T01:26:11Z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