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黑体" w:hAnsi="黑体" w:eastAsia="黑体" w:cs="黑体"/>
          <w:sz w:val="32"/>
          <w:szCs w:val="32"/>
        </w:rPr>
      </w:pPr>
      <w:r>
        <w:rPr>
          <w:rFonts w:hint="eastAsia" w:ascii="黑体" w:hAnsi="黑体" w:eastAsia="黑体" w:cs="黑体"/>
          <w:sz w:val="32"/>
          <w:szCs w:val="32"/>
        </w:rPr>
        <w:t>附件：</w:t>
      </w:r>
    </w:p>
    <w:p>
      <w:pPr>
        <w:spacing w:line="560" w:lineRule="exact"/>
        <w:jc w:val="left"/>
        <w:rPr>
          <w:rFonts w:ascii="方正小标宋简体" w:hAnsi="微软雅黑" w:eastAsia="方正小标宋简体"/>
          <w:sz w:val="44"/>
          <w:szCs w:val="44"/>
        </w:rPr>
      </w:pPr>
    </w:p>
    <w:p>
      <w:pPr>
        <w:spacing w:line="560" w:lineRule="exact"/>
        <w:jc w:val="center"/>
        <w:rPr>
          <w:rFonts w:hint="eastAsia" w:ascii="方正小标宋简体" w:hAnsi="微软雅黑" w:eastAsia="方正小标宋简体"/>
          <w:sz w:val="44"/>
          <w:szCs w:val="44"/>
          <w:lang w:eastAsia="zh-CN"/>
        </w:rPr>
      </w:pPr>
      <w:r>
        <w:rPr>
          <w:rFonts w:hint="eastAsia" w:ascii="方正小标宋简体" w:hAnsi="微软雅黑" w:eastAsia="方正小标宋简体"/>
          <w:sz w:val="44"/>
          <w:szCs w:val="44"/>
          <w:lang w:eastAsia="zh-CN"/>
        </w:rPr>
        <w:t>金峰镇胪峰大道西侧前林片区</w:t>
      </w:r>
    </w:p>
    <w:p>
      <w:pPr>
        <w:spacing w:line="560" w:lineRule="exact"/>
        <w:jc w:val="center"/>
        <w:rPr>
          <w:rFonts w:ascii="方正小标宋简体" w:hAnsi="微软雅黑" w:eastAsia="方正小标宋简体"/>
          <w:sz w:val="44"/>
          <w:szCs w:val="44"/>
        </w:rPr>
      </w:pPr>
      <w:r>
        <w:rPr>
          <w:rFonts w:hint="eastAsia" w:ascii="方正小标宋简体" w:hAnsi="微软雅黑" w:eastAsia="方正小标宋简体"/>
          <w:sz w:val="44"/>
          <w:szCs w:val="44"/>
        </w:rPr>
        <w:t>土地征收成片开发方案（征求意见稿）</w:t>
      </w:r>
    </w:p>
    <w:p>
      <w:pPr>
        <w:spacing w:line="560" w:lineRule="exact"/>
        <w:jc w:val="center"/>
        <w:rPr>
          <w:rFonts w:ascii="方正小标宋简体" w:hAnsi="微软雅黑" w:eastAsia="方正小标宋简体"/>
          <w:sz w:val="44"/>
          <w:szCs w:val="44"/>
        </w:rPr>
      </w:pP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一、编制依据</w:t>
      </w:r>
    </w:p>
    <w:p>
      <w:pPr>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依据</w:t>
      </w:r>
      <w:r>
        <w:rPr>
          <w:rFonts w:ascii="仿宋_GB2312" w:hAnsi="宋体" w:eastAsia="仿宋_GB2312"/>
          <w:sz w:val="32"/>
          <w:szCs w:val="32"/>
        </w:rPr>
        <w:t>《中华人民共和国土地管理法》（2019年修正版）</w:t>
      </w:r>
      <w:r>
        <w:rPr>
          <w:rFonts w:hint="eastAsia" w:ascii="仿宋_GB2312" w:hAnsi="宋体" w:eastAsia="仿宋_GB2312"/>
          <w:sz w:val="32"/>
          <w:szCs w:val="32"/>
        </w:rPr>
        <w:t>、</w:t>
      </w:r>
      <w:r>
        <w:rPr>
          <w:rFonts w:hint="eastAsia" w:ascii="仿宋_GB2312" w:hAnsi="仿宋_GB2312" w:eastAsia="仿宋_GB2312" w:cs="仿宋_GB2312"/>
          <w:kern w:val="0"/>
          <w:sz w:val="32"/>
          <w:szCs w:val="32"/>
        </w:rPr>
        <w:t>《自然资源部关于印发&lt;土地征收成片开发标准&gt;的通知》（自然资规〔2023〕7号 ）</w:t>
      </w:r>
      <w:r>
        <w:rPr>
          <w:rFonts w:hint="eastAsia" w:ascii="仿宋_GB2312" w:hAnsi="宋体" w:eastAsia="仿宋_GB2312"/>
          <w:sz w:val="32"/>
          <w:szCs w:val="32"/>
        </w:rPr>
        <w:t>、</w:t>
      </w:r>
      <w:r>
        <w:rPr>
          <w:rFonts w:hint="eastAsia" w:ascii="仿宋_GB2312" w:hAnsi="宋体" w:eastAsia="仿宋_GB2312"/>
          <w:sz w:val="32"/>
          <w:szCs w:val="32"/>
          <w:lang w:eastAsia="zh-CN"/>
        </w:rPr>
        <w:t>《</w:t>
      </w:r>
      <w:r>
        <w:rPr>
          <w:rFonts w:hint="eastAsia" w:ascii="仿宋_GB2312" w:hAnsi="宋体" w:eastAsia="仿宋_GB2312"/>
          <w:sz w:val="32"/>
          <w:szCs w:val="32"/>
        </w:rPr>
        <w:t>自然资源部关于印发</w:t>
      </w:r>
      <w:r>
        <w:rPr>
          <w:rFonts w:hint="eastAsia" w:ascii="仿宋_GB2312" w:hAnsi="宋体" w:eastAsia="仿宋_GB2312"/>
          <w:sz w:val="32"/>
          <w:szCs w:val="32"/>
          <w:lang w:val="en-US" w:eastAsia="zh-CN"/>
        </w:rPr>
        <w:t>&lt;</w:t>
      </w:r>
      <w:r>
        <w:rPr>
          <w:rFonts w:hint="eastAsia" w:ascii="仿宋_GB2312" w:hAnsi="宋体" w:eastAsia="仿宋_GB2312"/>
          <w:sz w:val="32"/>
          <w:szCs w:val="32"/>
        </w:rPr>
        <w:t>国土空间调查、规划、用途管制用地用海分类指南</w:t>
      </w:r>
      <w:r>
        <w:rPr>
          <w:rFonts w:hint="eastAsia" w:ascii="仿宋_GB2312" w:hAnsi="宋体" w:eastAsia="仿宋_GB2312"/>
          <w:sz w:val="32"/>
          <w:szCs w:val="32"/>
          <w:lang w:val="en-US" w:eastAsia="zh-CN"/>
        </w:rPr>
        <w:t>&gt;</w:t>
      </w:r>
      <w:r>
        <w:rPr>
          <w:rFonts w:hint="eastAsia" w:ascii="仿宋_GB2312" w:hAnsi="宋体" w:eastAsia="仿宋_GB2312"/>
          <w:sz w:val="32"/>
          <w:szCs w:val="32"/>
        </w:rPr>
        <w:t>的通知</w:t>
      </w:r>
      <w:r>
        <w:rPr>
          <w:rFonts w:hint="eastAsia" w:ascii="仿宋_GB2312" w:hAnsi="宋体" w:eastAsia="仿宋_GB2312"/>
          <w:sz w:val="32"/>
          <w:szCs w:val="32"/>
          <w:lang w:eastAsia="zh-CN"/>
        </w:rPr>
        <w:t>》（</w:t>
      </w:r>
      <w:r>
        <w:rPr>
          <w:rFonts w:hint="eastAsia" w:ascii="仿宋_GB2312" w:hAnsi="宋体" w:eastAsia="仿宋_GB2312"/>
          <w:sz w:val="32"/>
          <w:szCs w:val="32"/>
        </w:rPr>
        <w:t>自然资发〔2023〕234号</w:t>
      </w:r>
      <w:r>
        <w:rPr>
          <w:rFonts w:hint="eastAsia" w:ascii="仿宋_GB2312" w:hAnsi="宋体" w:eastAsia="仿宋_GB2312"/>
          <w:sz w:val="32"/>
          <w:szCs w:val="32"/>
          <w:lang w:eastAsia="zh-CN"/>
        </w:rPr>
        <w:t>）</w:t>
      </w:r>
      <w:r>
        <w:rPr>
          <w:rFonts w:hint="eastAsia" w:ascii="仿宋_GB2312" w:hAnsi="宋体" w:eastAsia="仿宋_GB2312"/>
          <w:sz w:val="32"/>
          <w:szCs w:val="32"/>
        </w:rPr>
        <w:t>、</w:t>
      </w:r>
      <w:r>
        <w:rPr>
          <w:rFonts w:ascii="仿宋_GB2312" w:hAnsi="宋体" w:eastAsia="仿宋_GB2312"/>
          <w:sz w:val="32"/>
          <w:szCs w:val="32"/>
        </w:rPr>
        <w:t>《福建省自然资源厅关于印发〈福建省土地征收成片开发方案报批实施细则（试行）〉的通知》（闽自然资发〔2021〕3号，下文简称《实施细则》）</w:t>
      </w:r>
      <w:r>
        <w:rPr>
          <w:rFonts w:hint="eastAsia" w:ascii="仿宋_GB2312" w:hAnsi="宋体" w:eastAsia="仿宋_GB2312"/>
          <w:sz w:val="32"/>
          <w:szCs w:val="32"/>
        </w:rPr>
        <w:t>、</w:t>
      </w:r>
      <w:r>
        <w:rPr>
          <w:rFonts w:ascii="仿宋_GB2312" w:hAnsi="宋体" w:eastAsia="仿宋_GB2312"/>
          <w:sz w:val="32"/>
          <w:szCs w:val="32"/>
        </w:rPr>
        <w:t>《福建省土地征收成片开发方案编制参考指南(试行)》（闽自然资发〔2021〕6号）</w:t>
      </w:r>
      <w:r>
        <w:rPr>
          <w:rFonts w:hint="eastAsia" w:ascii="仿宋_GB2312" w:hAnsi="宋体" w:eastAsia="仿宋_GB2312"/>
          <w:sz w:val="32"/>
          <w:szCs w:val="32"/>
        </w:rPr>
        <w:t>、</w:t>
      </w:r>
      <w:r>
        <w:rPr>
          <w:rFonts w:hint="eastAsia" w:ascii="仿宋_GB2312" w:hAnsi="仿宋_GB2312" w:eastAsia="仿宋_GB2312" w:cs="仿宋_GB2312"/>
          <w:sz w:val="32"/>
          <w:szCs w:val="32"/>
          <w:lang w:val="en-US" w:eastAsia="zh-CN"/>
        </w:rPr>
        <w:t>《长乐区金峰镇胪峰大道西侧前林片区（地块）控制性详细规划》（长政综</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155</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w:t>
      </w:r>
      <w:r>
        <w:rPr>
          <w:rFonts w:hint="eastAsia" w:ascii="仿宋_GB2312" w:hAnsi="宋体" w:eastAsia="仿宋_GB2312"/>
          <w:sz w:val="32"/>
          <w:szCs w:val="32"/>
          <w:lang w:eastAsia="zh-CN"/>
        </w:rPr>
        <w:t>、</w:t>
      </w:r>
      <w:r>
        <w:rPr>
          <w:rFonts w:hint="eastAsia" w:ascii="仿宋_GB2312" w:hAnsi="宋体" w:eastAsia="仿宋_GB2312"/>
          <w:sz w:val="32"/>
          <w:szCs w:val="32"/>
        </w:rPr>
        <w:t>《福州市长乐区202</w:t>
      </w:r>
      <w:r>
        <w:rPr>
          <w:rFonts w:hint="eastAsia" w:ascii="仿宋_GB2312" w:hAnsi="宋体" w:eastAsia="仿宋_GB2312"/>
          <w:sz w:val="32"/>
          <w:szCs w:val="32"/>
          <w:lang w:val="en-US" w:eastAsia="zh-CN"/>
        </w:rPr>
        <w:t>3</w:t>
      </w:r>
      <w:r>
        <w:rPr>
          <w:rFonts w:hint="eastAsia" w:ascii="仿宋_GB2312" w:hAnsi="宋体" w:eastAsia="仿宋_GB2312"/>
          <w:sz w:val="32"/>
          <w:szCs w:val="32"/>
        </w:rPr>
        <w:t>年国民经济和社会发展计划执行情况与202</w:t>
      </w:r>
      <w:r>
        <w:rPr>
          <w:rFonts w:hint="eastAsia" w:ascii="仿宋_GB2312" w:hAnsi="宋体" w:eastAsia="仿宋_GB2312"/>
          <w:sz w:val="32"/>
          <w:szCs w:val="32"/>
          <w:lang w:val="en-US" w:eastAsia="zh-CN"/>
        </w:rPr>
        <w:t>4</w:t>
      </w:r>
      <w:r>
        <w:rPr>
          <w:rFonts w:hint="eastAsia" w:ascii="仿宋_GB2312" w:hAnsi="宋体" w:eastAsia="仿宋_GB2312"/>
          <w:sz w:val="32"/>
          <w:szCs w:val="32"/>
        </w:rPr>
        <w:t>年计划草案的报告》</w:t>
      </w:r>
      <w:r>
        <w:rPr>
          <w:rFonts w:ascii="仿宋_GB2312" w:hAnsi="宋体" w:eastAsia="仿宋_GB2312"/>
          <w:sz w:val="32"/>
          <w:szCs w:val="32"/>
        </w:rPr>
        <w:t>。</w:t>
      </w:r>
    </w:p>
    <w:p>
      <w:pPr>
        <w:pStyle w:val="2"/>
        <w:numPr>
          <w:ilvl w:val="0"/>
          <w:numId w:val="0"/>
        </w:numPr>
        <w:spacing w:line="560" w:lineRule="exact"/>
        <w:ind w:firstLine="640" w:firstLineChars="200"/>
        <w:rPr>
          <w:rFonts w:ascii="黑体" w:hAnsi="黑体" w:eastAsia="黑体"/>
          <w:b w:val="0"/>
          <w:szCs w:val="32"/>
        </w:rPr>
      </w:pPr>
      <w:r>
        <w:rPr>
          <w:rFonts w:hint="eastAsia" w:ascii="黑体" w:hAnsi="黑体" w:eastAsia="黑体"/>
          <w:b w:val="0"/>
          <w:szCs w:val="32"/>
        </w:rPr>
        <w:t>二、基本情况</w:t>
      </w:r>
    </w:p>
    <w:p>
      <w:pPr>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w:t>
      </w:r>
      <w:r>
        <w:rPr>
          <w:rFonts w:hint="eastAsia" w:ascii="Times New Roman" w:hAnsi="Times New Roman" w:eastAsia="仿宋_GB2312"/>
          <w:sz w:val="32"/>
          <w:szCs w:val="32"/>
          <w:lang w:val="en-US" w:eastAsia="zh-CN"/>
        </w:rPr>
        <w:t>方案</w:t>
      </w:r>
      <w:r>
        <w:rPr>
          <w:rFonts w:hint="eastAsia" w:ascii="仿宋_GB2312" w:hAnsi="仿宋_GB2312" w:eastAsia="仿宋_GB2312" w:cs="仿宋_GB2312"/>
          <w:sz w:val="32"/>
          <w:szCs w:val="32"/>
        </w:rPr>
        <w:t>东至</w:t>
      </w:r>
      <w:r>
        <w:rPr>
          <w:rFonts w:hint="eastAsia" w:ascii="仿宋_GB2312" w:hAnsi="仿宋_GB2312" w:eastAsia="仿宋_GB2312" w:cs="仿宋_GB2312"/>
          <w:sz w:val="32"/>
          <w:szCs w:val="32"/>
          <w:lang w:val="en-US" w:eastAsia="zh-CN"/>
        </w:rPr>
        <w:t>胪峰大道和金港路交界</w:t>
      </w:r>
      <w:r>
        <w:rPr>
          <w:rFonts w:hint="eastAsia" w:ascii="仿宋_GB2312" w:hAnsi="仿宋_GB2312" w:eastAsia="仿宋_GB2312" w:cs="仿宋_GB2312"/>
          <w:sz w:val="32"/>
          <w:szCs w:val="32"/>
        </w:rPr>
        <w:t>，西至</w:t>
      </w:r>
      <w:r>
        <w:rPr>
          <w:rFonts w:hint="eastAsia" w:ascii="仿宋_GB2312" w:hAnsi="仿宋_GB2312" w:eastAsia="仿宋_GB2312" w:cs="仿宋_GB2312"/>
          <w:sz w:val="32"/>
          <w:szCs w:val="32"/>
          <w:lang w:val="en-US" w:eastAsia="zh-CN"/>
        </w:rPr>
        <w:t>金港路</w:t>
      </w:r>
      <w:r>
        <w:rPr>
          <w:rFonts w:hint="eastAsia" w:ascii="仿宋_GB2312" w:hAnsi="仿宋_GB2312" w:eastAsia="仿宋_GB2312" w:cs="仿宋_GB2312"/>
          <w:sz w:val="32"/>
          <w:szCs w:val="32"/>
        </w:rPr>
        <w:t>，南至</w:t>
      </w:r>
      <w:r>
        <w:rPr>
          <w:rFonts w:hint="eastAsia" w:ascii="仿宋_GB2312" w:hAnsi="仿宋_GB2312" w:eastAsia="仿宋_GB2312" w:cs="仿宋_GB2312"/>
          <w:sz w:val="32"/>
          <w:szCs w:val="32"/>
          <w:lang w:val="en-US" w:eastAsia="zh-CN"/>
        </w:rPr>
        <w:t>前林村委会</w:t>
      </w:r>
      <w:r>
        <w:rPr>
          <w:rFonts w:hint="eastAsia" w:ascii="仿宋_GB2312" w:hAnsi="仿宋_GB2312" w:eastAsia="仿宋_GB2312" w:cs="仿宋_GB2312"/>
          <w:sz w:val="32"/>
          <w:szCs w:val="32"/>
        </w:rPr>
        <w:t>，北至</w:t>
      </w:r>
      <w:r>
        <w:rPr>
          <w:rFonts w:hint="eastAsia" w:ascii="仿宋_GB2312" w:hAnsi="仿宋_GB2312" w:eastAsia="仿宋_GB2312" w:cs="仿宋_GB2312"/>
          <w:sz w:val="32"/>
          <w:szCs w:val="32"/>
          <w:lang w:val="en-US" w:eastAsia="zh-CN"/>
        </w:rPr>
        <w:t>世贸璀璨天城</w:t>
      </w:r>
      <w:r>
        <w:rPr>
          <w:rFonts w:hint="eastAsia" w:ascii="Times New Roman" w:hAnsi="Times New Roman" w:eastAsia="仿宋_GB2312"/>
          <w:sz w:val="32"/>
          <w:szCs w:val="32"/>
        </w:rPr>
        <w:t>。</w:t>
      </w:r>
      <w:r>
        <w:rPr>
          <w:rFonts w:hint="eastAsia" w:ascii="Times New Roman" w:hAnsi="Times New Roman" w:eastAsia="仿宋_GB2312"/>
          <w:color w:val="000000" w:themeColor="text1"/>
          <w:sz w:val="32"/>
          <w:szCs w:val="32"/>
          <w:lang w:val="en-US" w:eastAsia="zh-CN"/>
          <w14:textFill>
            <w14:solidFill>
              <w14:schemeClr w14:val="tx1"/>
            </w14:solidFill>
          </w14:textFill>
        </w:rPr>
        <w:t>片区</w:t>
      </w:r>
      <w:r>
        <w:rPr>
          <w:rFonts w:hint="eastAsia" w:ascii="仿宋_GB2312" w:hAnsi="仿宋_GB2312" w:eastAsia="仿宋_GB2312" w:cs="仿宋_GB2312"/>
          <w:sz w:val="32"/>
          <w:szCs w:val="32"/>
        </w:rPr>
        <w:t>涉及</w:t>
      </w:r>
      <w:r>
        <w:rPr>
          <w:rFonts w:hint="eastAsia" w:ascii="仿宋_GB2312" w:hAnsi="仿宋_GB2312" w:eastAsia="仿宋_GB2312" w:cs="仿宋_GB2312"/>
          <w:sz w:val="32"/>
          <w:szCs w:val="32"/>
          <w:lang w:val="en-US" w:eastAsia="zh-CN"/>
        </w:rPr>
        <w:t>金峰镇前林村</w:t>
      </w:r>
      <w:r>
        <w:rPr>
          <w:rFonts w:hint="eastAsia" w:ascii="仿宋_GB2312" w:hAnsi="仿宋_GB2312" w:eastAsia="仿宋_GB2312" w:cs="仿宋_GB2312"/>
          <w:sz w:val="32"/>
          <w:szCs w:val="32"/>
        </w:rPr>
        <w:t>，共1个镇1个村；涉及</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个国有单位，不涉及省级和国家级开发区</w:t>
      </w:r>
      <w:r>
        <w:rPr>
          <w:rFonts w:ascii="Times New Roman" w:hAnsi="Times New Roman" w:eastAsia="仿宋_GB2312"/>
          <w:color w:val="000000" w:themeColor="text1"/>
          <w:sz w:val="32"/>
          <w:szCs w:val="32"/>
          <w14:textFill>
            <w14:solidFill>
              <w14:schemeClr w14:val="tx1"/>
            </w14:solidFill>
          </w14:textFill>
        </w:rPr>
        <w:t>。</w:t>
      </w:r>
    </w:p>
    <w:p>
      <w:pPr>
        <w:ind w:firstLine="640" w:firstLineChars="200"/>
        <w:rPr>
          <w:rFonts w:ascii="Times New Roman" w:hAnsi="Times New Roman" w:eastAsia="仿宋_GB2312" w:cs="仿宋_GB2312"/>
          <w:color w:val="000000" w:themeColor="text1"/>
          <w:sz w:val="32"/>
          <w:szCs w:val="32"/>
          <w14:textFill>
            <w14:solidFill>
              <w14:schemeClr w14:val="tx1"/>
            </w14:solidFill>
          </w14:textFill>
        </w:rPr>
      </w:pPr>
      <w:r>
        <w:rPr>
          <w:rFonts w:hint="eastAsia" w:ascii="Times New Roman" w:hAnsi="Times New Roman" w:eastAsia="仿宋_GB2312"/>
          <w:color w:val="000000" w:themeColor="text1"/>
          <w:sz w:val="32"/>
          <w:szCs w:val="32"/>
          <w14:textFill>
            <w14:solidFill>
              <w14:schemeClr w14:val="tx1"/>
            </w14:solidFill>
          </w14:textFill>
        </w:rPr>
        <w:t>根据实地勘测调查，本方案成片开发范围总面积</w:t>
      </w:r>
      <w:r>
        <w:rPr>
          <w:rFonts w:hint="eastAsia" w:ascii="仿宋_GB2312" w:hAnsi="仿宋_GB2312" w:eastAsia="仿宋_GB2312" w:cs="仿宋_GB2312"/>
          <w:sz w:val="32"/>
          <w:szCs w:val="32"/>
        </w:rPr>
        <w:t>7.2055</w:t>
      </w:r>
      <w:r>
        <w:rPr>
          <w:rFonts w:hint="eastAsia" w:ascii="Times New Roman" w:hAnsi="Times New Roman" w:eastAsia="仿宋_GB2312"/>
          <w:color w:val="000000" w:themeColor="text1"/>
          <w:sz w:val="32"/>
          <w:szCs w:val="32"/>
          <w14:textFill>
            <w14:solidFill>
              <w14:schemeClr w14:val="tx1"/>
            </w14:solidFill>
          </w14:textFill>
        </w:rPr>
        <w:t>公顷，</w:t>
      </w:r>
      <w:r>
        <w:rPr>
          <w:rFonts w:hint="eastAsia" w:ascii="Times New Roman" w:hAnsi="Times New Roman" w:eastAsia="仿宋_GB2312"/>
          <w:color w:val="000000" w:themeColor="text1"/>
          <w:sz w:val="32"/>
          <w:szCs w:val="32"/>
          <w:lang w:val="en-US" w:eastAsia="zh-CN"/>
          <w14:textFill>
            <w14:solidFill>
              <w14:schemeClr w14:val="tx1"/>
            </w14:solidFill>
          </w14:textFill>
        </w:rPr>
        <w:t>其中</w:t>
      </w:r>
      <w:r>
        <w:rPr>
          <w:rFonts w:hint="eastAsia" w:ascii="仿宋_GB2312" w:hAnsi="仿宋_GB2312" w:eastAsia="仿宋_GB2312" w:cs="仿宋_GB2312"/>
          <w:sz w:val="32"/>
          <w:szCs w:val="32"/>
        </w:rPr>
        <w:t>集体土地2.6792公顷，国有土地4.5263公顷</w:t>
      </w:r>
      <w:r>
        <w:rPr>
          <w:rFonts w:hint="eastAsia" w:ascii="Times New Roman" w:hAnsi="Times New Roman" w:eastAsia="仿宋_GB2312"/>
          <w:color w:val="000000" w:themeColor="text1"/>
          <w:sz w:val="32"/>
          <w:szCs w:val="32"/>
          <w:lang w:val="en-US" w:eastAsia="zh-CN"/>
          <w14:textFill>
            <w14:solidFill>
              <w14:schemeClr w14:val="tx1"/>
            </w14:solidFill>
          </w14:textFill>
        </w:rPr>
        <w:t>；涉及</w:t>
      </w:r>
      <w:r>
        <w:rPr>
          <w:rFonts w:hint="eastAsia" w:ascii="仿宋_GB2312" w:hAnsi="仿宋_GB2312" w:eastAsia="仿宋_GB2312" w:cs="仿宋_GB2312"/>
          <w:sz w:val="32"/>
          <w:szCs w:val="32"/>
        </w:rPr>
        <w:t>农用地1.792</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 xml:space="preserve"> 公顷（</w:t>
      </w:r>
      <w:r>
        <w:rPr>
          <w:rFonts w:hint="eastAsia" w:ascii="仿宋_GB2312" w:hAnsi="仿宋_GB2312" w:eastAsia="仿宋_GB2312" w:cs="仿宋_GB2312"/>
          <w:sz w:val="32"/>
          <w:szCs w:val="32"/>
          <w:lang w:val="en-US" w:eastAsia="zh-CN"/>
        </w:rPr>
        <w:t>含</w:t>
      </w:r>
      <w:r>
        <w:rPr>
          <w:rFonts w:hint="eastAsia" w:ascii="仿宋_GB2312" w:hAnsi="仿宋_GB2312" w:eastAsia="仿宋_GB2312" w:cs="仿宋_GB2312"/>
          <w:sz w:val="32"/>
          <w:szCs w:val="32"/>
        </w:rPr>
        <w:t>耕地1.6578公顷），建设用地5.384</w:t>
      </w:r>
      <w:r>
        <w:rPr>
          <w:rFonts w:hint="eastAsia"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rPr>
        <w:t>公顷</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未利用地0.0295公顷</w:t>
      </w:r>
      <w:r>
        <w:rPr>
          <w:rFonts w:ascii="Times New Roman" w:hAnsi="Times New Roman" w:eastAsia="仿宋_GB2312"/>
          <w:color w:val="000000" w:themeColor="text1"/>
          <w:sz w:val="32"/>
          <w:szCs w:val="32"/>
          <w14:textFill>
            <w14:solidFill>
              <w14:schemeClr w14:val="tx1"/>
            </w14:solidFill>
          </w14:textFill>
        </w:rPr>
        <w:t>。</w:t>
      </w:r>
    </w:p>
    <w:p>
      <w:pPr>
        <w:pStyle w:val="2"/>
        <w:numPr>
          <w:ilvl w:val="0"/>
          <w:numId w:val="0"/>
        </w:numPr>
        <w:spacing w:line="560" w:lineRule="exact"/>
        <w:ind w:firstLine="640" w:firstLineChars="200"/>
        <w:rPr>
          <w:rFonts w:ascii="黑体" w:hAnsi="黑体" w:eastAsia="黑体"/>
          <w:b w:val="0"/>
          <w:szCs w:val="32"/>
        </w:rPr>
      </w:pPr>
      <w:r>
        <w:rPr>
          <w:rFonts w:ascii="黑体" w:hAnsi="黑体" w:eastAsia="黑体"/>
          <w:b w:val="0"/>
          <w:szCs w:val="32"/>
        </w:rPr>
        <w:t xml:space="preserve"> </w:t>
      </w:r>
      <w:r>
        <w:rPr>
          <w:rFonts w:hint="eastAsia" w:ascii="黑体" w:hAnsi="黑体" w:eastAsia="黑体"/>
          <w:b w:val="0"/>
          <w:szCs w:val="32"/>
        </w:rPr>
        <w:t>三、项目的必要性</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sz w:val="32"/>
          <w:szCs w:val="32"/>
          <w:highlight w:val="none"/>
          <w:lang w:val="en-US" w:eastAsia="zh-CN"/>
        </w:rPr>
      </w:pPr>
      <w:r>
        <w:rPr>
          <w:rFonts w:hint="eastAsia" w:ascii="Times New Roman" w:hAnsi="Times New Roman" w:eastAsia="仿宋_GB2312"/>
          <w:sz w:val="32"/>
          <w:szCs w:val="32"/>
          <w:highlight w:val="none"/>
        </w:rPr>
        <w:t>片区的建设</w:t>
      </w:r>
      <w:r>
        <w:rPr>
          <w:rFonts w:hint="eastAsia" w:ascii="Times New Roman" w:hAnsi="Times New Roman" w:eastAsia="仿宋_GB2312"/>
          <w:sz w:val="32"/>
          <w:szCs w:val="32"/>
          <w:highlight w:val="none"/>
          <w:lang w:val="en-US" w:eastAsia="zh-CN"/>
        </w:rPr>
        <w:t>有利于</w:t>
      </w:r>
      <w:r>
        <w:rPr>
          <w:rFonts w:hint="eastAsia" w:ascii="仿宋_GB2312" w:hAnsi="仿宋_GB2312" w:eastAsia="仿宋_GB2312" w:cs="仿宋_GB2312"/>
          <w:sz w:val="32"/>
          <w:szCs w:val="32"/>
          <w:highlight w:val="none"/>
          <w:lang w:val="en-US" w:eastAsia="zh-CN"/>
        </w:rPr>
        <w:t>加快金峰镇低效利用工业再开发实现产业升级转型，加快土地整备和工业园改造提升，有效破解土地要素制约难题，为承接国际航空港相关产业辐射留足产业发展空间，为金峰镇经济高质量发展注入新动能、导入新产业、焕发新生机。</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四、规划土地用途分析</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本方案用地总面积7.2055公顷，主要为工矿用地。其中工矿用地4.2818公顷，实现企业</w:t>
      </w:r>
      <w:r>
        <w:rPr>
          <w:rFonts w:hint="eastAsia" w:ascii="仿宋_GB2312" w:hAnsi="仿宋_GB2312" w:eastAsia="仿宋_GB2312" w:cs="仿宋_GB2312"/>
          <w:sz w:val="32"/>
          <w:szCs w:val="32"/>
          <w:lang w:val="en-US" w:eastAsia="zh-CN"/>
        </w:rPr>
        <w:t>生产</w:t>
      </w:r>
      <w:r>
        <w:rPr>
          <w:rFonts w:hint="eastAsia" w:ascii="仿宋_GB2312" w:hAnsi="仿宋_GB2312" w:eastAsia="仿宋_GB2312" w:cs="仿宋_GB2312"/>
          <w:sz w:val="32"/>
          <w:szCs w:val="32"/>
        </w:rPr>
        <w:t>的功能；交通运输用地2.9237公顷，为现状的</w:t>
      </w:r>
      <w:r>
        <w:rPr>
          <w:rFonts w:hint="eastAsia" w:ascii="仿宋_GB2312" w:hAnsi="仿宋_GB2312" w:eastAsia="仿宋_GB2312" w:cs="仿宋_GB2312"/>
          <w:sz w:val="32"/>
          <w:szCs w:val="32"/>
          <w:lang w:val="en-US" w:eastAsia="zh-CN"/>
        </w:rPr>
        <w:t>金港路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实现</w:t>
      </w:r>
      <w:r>
        <w:rPr>
          <w:rFonts w:hint="eastAsia" w:ascii="仿宋_GB2312" w:hAnsi="仿宋_GB2312" w:eastAsia="仿宋_GB2312" w:cs="仿宋_GB2312"/>
          <w:sz w:val="32"/>
          <w:szCs w:val="32"/>
        </w:rPr>
        <w:t>提高出行可达性和交通效率的功能。</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五、公益性用地</w:t>
      </w:r>
      <w:r>
        <w:rPr>
          <w:rFonts w:ascii="黑体" w:hAnsi="黑体" w:eastAsia="黑体"/>
          <w:b w:val="0"/>
          <w:szCs w:val="32"/>
        </w:rPr>
        <w:t>情况</w:t>
      </w:r>
    </w:p>
    <w:p>
      <w:pPr>
        <w:spacing w:line="600" w:lineRule="exact"/>
        <w:ind w:firstLine="640" w:firstLineChars="200"/>
        <w:rPr>
          <w:rFonts w:ascii="仿宋_GB2312" w:hAnsi="宋体" w:eastAsia="仿宋_GB2312"/>
          <w:sz w:val="32"/>
          <w:szCs w:val="32"/>
        </w:rPr>
      </w:pPr>
      <w:r>
        <w:rPr>
          <w:rFonts w:hint="eastAsia" w:ascii="仿宋_GB2312" w:hAnsi="仿宋_GB2312" w:eastAsia="仿宋_GB2312" w:cs="仿宋_GB2312"/>
          <w:sz w:val="32"/>
          <w:szCs w:val="32"/>
        </w:rPr>
        <w:t>公益性用地包含交通运输用地，合计2.9237公顷，占用地总面积的40.58%</w:t>
      </w:r>
      <w:r>
        <w:rPr>
          <w:rFonts w:hint="eastAsia" w:ascii="仿宋_GB2312" w:hAnsi="仿宋_GB2312" w:eastAsia="仿宋_GB2312" w:cs="仿宋_GB2312"/>
          <w:sz w:val="32"/>
          <w:szCs w:val="32"/>
          <w:highlight w:val="none"/>
        </w:rPr>
        <w:t>，符合自然资规</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highlight w:val="none"/>
        </w:rPr>
        <w:t>文规定</w:t>
      </w:r>
      <w:r>
        <w:rPr>
          <w:rFonts w:ascii="Times New Roman" w:hAnsi="Times New Roman"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六</w:t>
      </w:r>
      <w:r>
        <w:rPr>
          <w:rFonts w:ascii="黑体" w:hAnsi="黑体" w:eastAsia="黑体"/>
          <w:b w:val="0"/>
          <w:szCs w:val="32"/>
        </w:rPr>
        <w:t>、规划符合情况</w:t>
      </w:r>
    </w:p>
    <w:p>
      <w:pPr>
        <w:spacing w:line="600" w:lineRule="exact"/>
        <w:ind w:firstLine="640" w:firstLineChars="200"/>
        <w:rPr>
          <w:rFonts w:ascii="仿宋_GB2312" w:hAnsi="宋体" w:eastAsia="仿宋_GB2312"/>
          <w:sz w:val="32"/>
          <w:szCs w:val="32"/>
        </w:rPr>
      </w:pPr>
      <w:r>
        <w:rPr>
          <w:rFonts w:ascii="仿宋_GB2312" w:hAnsi="宋体" w:eastAsia="仿宋_GB2312"/>
          <w:sz w:val="32"/>
          <w:szCs w:val="32"/>
        </w:rPr>
        <w:t>本方案符合</w:t>
      </w:r>
      <w:r>
        <w:rPr>
          <w:rFonts w:hint="eastAsia" w:ascii="仿宋_GB2312" w:hAnsi="宋体" w:eastAsia="仿宋_GB2312"/>
          <w:sz w:val="32"/>
          <w:szCs w:val="32"/>
          <w:lang w:val="en-US" w:eastAsia="zh-CN"/>
        </w:rPr>
        <w:t>福州市长乐区</w:t>
      </w:r>
      <w:r>
        <w:rPr>
          <w:rFonts w:ascii="仿宋_GB2312" w:hAnsi="宋体" w:eastAsia="仿宋_GB2312"/>
          <w:sz w:val="32"/>
          <w:szCs w:val="32"/>
        </w:rPr>
        <w:t>国民经济和社会发展规划，已纳入</w:t>
      </w:r>
      <w:r>
        <w:rPr>
          <w:rFonts w:hint="eastAsia" w:ascii="仿宋_GB2312" w:hAnsi="宋体" w:eastAsia="仿宋_GB2312"/>
          <w:sz w:val="32"/>
          <w:szCs w:val="32"/>
          <w:lang w:val="en-US" w:eastAsia="zh-CN"/>
        </w:rPr>
        <w:t>福州市长乐区2024年度</w:t>
      </w:r>
      <w:r>
        <w:rPr>
          <w:rFonts w:ascii="仿宋_GB2312" w:hAnsi="宋体" w:eastAsia="仿宋_GB2312"/>
          <w:sz w:val="32"/>
          <w:szCs w:val="32"/>
        </w:rPr>
        <w:t>国民经济和社会发展年度计划。</w:t>
      </w:r>
      <w:r>
        <w:rPr>
          <w:rFonts w:hint="eastAsia" w:ascii="仿宋_GB2312" w:hAnsi="宋体" w:eastAsia="仿宋_GB2312"/>
          <w:sz w:val="32"/>
          <w:szCs w:val="32"/>
          <w:lang w:val="en-US" w:eastAsia="zh-CN"/>
        </w:rPr>
        <w:t>位于城镇开发边界的集中建设区内</w:t>
      </w:r>
      <w:r>
        <w:rPr>
          <w:rFonts w:hint="eastAsia" w:ascii="仿宋_GB2312" w:hAnsi="宋体" w:eastAsia="仿宋_GB2312"/>
          <w:sz w:val="32"/>
          <w:szCs w:val="32"/>
        </w:rPr>
        <w:t>，</w:t>
      </w:r>
      <w:r>
        <w:rPr>
          <w:rFonts w:hint="eastAsia" w:ascii="仿宋_GB2312" w:hAnsi="宋体" w:eastAsia="仿宋_GB2312"/>
          <w:sz w:val="32"/>
          <w:szCs w:val="32"/>
          <w:lang w:val="en-US" w:eastAsia="zh-CN"/>
        </w:rPr>
        <w:t>已纳入正在编制规划期至2035年的国土空间规划及“一张图”，并符合规划管控要求</w:t>
      </w:r>
      <w:r>
        <w:rPr>
          <w:rFonts w:hint="eastAsia" w:ascii="仿宋_GB2312" w:hAnsi="宋体" w:eastAsia="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七</w:t>
      </w:r>
      <w:r>
        <w:rPr>
          <w:rFonts w:ascii="黑体" w:hAnsi="黑体" w:eastAsia="黑体"/>
          <w:b w:val="0"/>
          <w:szCs w:val="32"/>
        </w:rPr>
        <w:t>、</w:t>
      </w:r>
      <w:r>
        <w:rPr>
          <w:rFonts w:hint="eastAsia" w:ascii="黑体" w:hAnsi="黑体" w:eastAsia="黑体"/>
          <w:b w:val="0"/>
          <w:szCs w:val="32"/>
        </w:rPr>
        <w:t>永久基本农田及生态保护情况</w:t>
      </w:r>
    </w:p>
    <w:p>
      <w:pPr>
        <w:spacing w:line="600" w:lineRule="exact"/>
        <w:ind w:firstLine="640" w:firstLineChars="200"/>
        <w:rPr>
          <w:rFonts w:ascii="仿宋_GB2312" w:hAnsi="宋体" w:eastAsia="仿宋_GB2312"/>
          <w:sz w:val="32"/>
          <w:szCs w:val="32"/>
        </w:rPr>
      </w:pPr>
      <w:r>
        <w:rPr>
          <w:rFonts w:hint="eastAsia" w:ascii="仿宋_GB2312" w:hAnsi="宋体" w:eastAsia="仿宋_GB2312"/>
          <w:sz w:val="32"/>
          <w:szCs w:val="32"/>
        </w:rPr>
        <w:t>成片开发范围内不涉及永久基本农田、陆域生态保护红线等，不涉及历史文化名城、名镇、名村及传统村落，不涉及各级文物保护单位、不可移动文物登记点及已公布历史建筑。符合成片开发项目送审报批的要求。</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八</w:t>
      </w:r>
      <w:r>
        <w:rPr>
          <w:rFonts w:ascii="黑体" w:hAnsi="黑体" w:eastAsia="黑体"/>
          <w:b w:val="0"/>
          <w:szCs w:val="32"/>
        </w:rPr>
        <w:t>、</w:t>
      </w:r>
      <w:r>
        <w:rPr>
          <w:rFonts w:hint="eastAsia" w:ascii="黑体" w:hAnsi="黑体" w:eastAsia="黑体"/>
          <w:b w:val="0"/>
          <w:szCs w:val="32"/>
        </w:rPr>
        <w:t>实施计划</w:t>
      </w:r>
    </w:p>
    <w:p>
      <w:pPr>
        <w:spacing w:line="600" w:lineRule="exact"/>
        <w:ind w:firstLine="640" w:firstLineChars="200"/>
        <w:rPr>
          <w:rFonts w:hint="eastAsia" w:ascii="仿宋_GB2312" w:hAnsi="宋体" w:eastAsia="仿宋_GB2312"/>
          <w:sz w:val="32"/>
          <w:szCs w:val="32"/>
        </w:rPr>
      </w:pPr>
      <w:r>
        <w:rPr>
          <w:rFonts w:hint="eastAsia" w:ascii="仿宋_GB2312" w:hAnsi="仿宋_GB2312" w:eastAsia="仿宋_GB2312" w:cs="仿宋_GB2312"/>
          <w:sz w:val="32"/>
          <w:szCs w:val="32"/>
        </w:rPr>
        <w:t>本方案用地总面积7.2055公顷，其中涉及已完成实施面积4.5263公顷，</w:t>
      </w:r>
      <w:r>
        <w:rPr>
          <w:rFonts w:hint="eastAsia" w:ascii="仿宋_GB2312" w:hAnsi="仿宋_GB2312" w:eastAsia="仿宋_GB2312" w:cs="仿宋_GB2312"/>
          <w:sz w:val="32"/>
          <w:szCs w:val="32"/>
          <w:lang w:val="en-US" w:eastAsia="zh-CN"/>
        </w:rPr>
        <w:t>现状道路</w:t>
      </w:r>
      <w:r>
        <w:rPr>
          <w:rFonts w:hint="eastAsia" w:ascii="仿宋_GB2312" w:hAnsi="仿宋_GB2312" w:eastAsia="仿宋_GB2312" w:cs="仿宋_GB2312"/>
          <w:sz w:val="32"/>
          <w:szCs w:val="32"/>
        </w:rPr>
        <w:t>0.0591</w:t>
      </w:r>
      <w:r>
        <w:rPr>
          <w:rFonts w:hint="eastAsia" w:ascii="仿宋_GB2312" w:hAnsi="仿宋_GB2312" w:eastAsia="仿宋_GB2312" w:cs="仿宋_GB2312"/>
          <w:sz w:val="32"/>
          <w:szCs w:val="32"/>
          <w:lang w:val="en-US" w:eastAsia="zh-CN"/>
        </w:rPr>
        <w:t>公顷</w:t>
      </w:r>
      <w:r>
        <w:rPr>
          <w:rFonts w:hint="eastAsia" w:ascii="仿宋_GB2312" w:hAnsi="仿宋_GB2312" w:eastAsia="仿宋_GB2312" w:cs="仿宋_GB2312"/>
          <w:sz w:val="32"/>
          <w:szCs w:val="32"/>
        </w:rPr>
        <w:t>不实施，故拟安排实施项目面积2.6201公顷，计划实施周期为批复后第一年</w:t>
      </w:r>
      <w:r>
        <w:rPr>
          <w:rFonts w:hint="eastAsia" w:ascii="仿宋_GB2312" w:hAnsi="仿宋_GB2312" w:eastAsia="仿宋_GB2312" w:cs="仿宋_GB2312"/>
          <w:sz w:val="32"/>
          <w:szCs w:val="32"/>
          <w:lang w:val="en-US" w:eastAsia="zh-CN"/>
        </w:rPr>
        <w:t>至批复后第三年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年内实施完毕</w:t>
      </w:r>
      <w:r>
        <w:rPr>
          <w:rFonts w:hint="eastAsia" w:ascii="仿宋_GB2312" w:hAnsi="仿宋_GB2312" w:eastAsia="仿宋_GB2312" w:cs="仿宋_GB2312"/>
          <w:sz w:val="32"/>
          <w:szCs w:val="32"/>
          <w:highlight w:val="none"/>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九、效益评估</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sz w:val="32"/>
          <w:szCs w:val="32"/>
        </w:rPr>
      </w:pPr>
      <w:r>
        <w:rPr>
          <w:rFonts w:hint="eastAsia" w:ascii="仿宋_GB2312" w:hAnsi="宋体" w:eastAsia="仿宋_GB2312"/>
          <w:bCs/>
          <w:sz w:val="32"/>
          <w:szCs w:val="32"/>
        </w:rPr>
        <w:t>（一）土地利用效益：</w:t>
      </w:r>
      <w:r>
        <w:rPr>
          <w:rFonts w:hint="eastAsia" w:ascii="仿宋_GB2312" w:hAnsi="仿宋_GB2312" w:eastAsia="仿宋_GB2312" w:cs="仿宋_GB2312"/>
          <w:sz w:val="32"/>
          <w:szCs w:val="32"/>
        </w:rPr>
        <w:t>本方案依据《金峰镇西片区（市政新区至纺织城）控制性详细规划》合理规划工业用地，</w:t>
      </w:r>
      <w:r>
        <w:rPr>
          <w:rFonts w:hint="eastAsia" w:ascii="仿宋_GB2312" w:hAnsi="仿宋_GB2312" w:eastAsia="仿宋_GB2312" w:cs="仿宋_GB2312"/>
          <w:sz w:val="32"/>
          <w:szCs w:val="32"/>
          <w:lang w:val="en-US" w:eastAsia="zh-CN"/>
        </w:rPr>
        <w:t>工业用地</w:t>
      </w:r>
      <w:r>
        <w:rPr>
          <w:rFonts w:hint="eastAsia" w:ascii="仿宋_GB2312" w:hAnsi="仿宋_GB2312" w:eastAsia="仿宋_GB2312" w:cs="仿宋_GB2312"/>
          <w:sz w:val="32"/>
          <w:szCs w:val="32"/>
        </w:rPr>
        <w:t>容积率按照《福建省人民政府关于进一步推进工业用地提质增效促进工业经济高质量发展的通知》（闽政〔2022〕19号）要求，在原省定标准（不含用地容积率1.0以下的行业）的基础上提高10%以上，不低于</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rPr>
        <w:t>。</w:t>
      </w:r>
    </w:p>
    <w:p>
      <w:pPr>
        <w:ind w:firstLine="640" w:firstLineChars="200"/>
        <w:rPr>
          <w:rFonts w:ascii="仿宋_GB2312" w:hAnsi="宋体" w:eastAsia="仿宋_GB2312"/>
          <w:bCs/>
          <w:sz w:val="32"/>
          <w:szCs w:val="32"/>
        </w:rPr>
      </w:pPr>
      <w:r>
        <w:rPr>
          <w:rFonts w:hint="eastAsia" w:ascii="仿宋_GB2312" w:hAnsi="宋体" w:eastAsia="仿宋_GB2312"/>
          <w:bCs/>
          <w:sz w:val="32"/>
          <w:szCs w:val="32"/>
        </w:rPr>
        <w:t>（二）经济效益：</w:t>
      </w:r>
      <w:r>
        <w:rPr>
          <w:rFonts w:hint="eastAsia" w:ascii="仿宋_GB2312" w:hAnsi="仿宋_GB2312" w:eastAsia="仿宋_GB2312" w:cs="仿宋_GB2312"/>
          <w:sz w:val="32"/>
          <w:szCs w:val="32"/>
          <w:highlight w:val="none"/>
          <w:lang w:val="en-US" w:eastAsia="zh-CN"/>
        </w:rPr>
        <w:t>本片区拟规划建设智造产业园区，通过项目建设</w:t>
      </w:r>
      <w:r>
        <w:rPr>
          <w:rFonts w:hint="eastAsia" w:ascii="仿宋_GB2312" w:hAnsi="仿宋_GB2312" w:eastAsia="仿宋_GB2312" w:cs="仿宋_GB2312"/>
          <w:sz w:val="32"/>
          <w:szCs w:val="32"/>
        </w:rPr>
        <w:t>预计将实现年产值</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亿元以上，年税收</w:t>
      </w:r>
      <w:r>
        <w:rPr>
          <w:rFonts w:hint="eastAsia" w:ascii="仿宋_GB2312" w:hAnsi="仿宋_GB2312" w:eastAsia="仿宋_GB2312" w:cs="仿宋_GB2312"/>
          <w:sz w:val="32"/>
          <w:szCs w:val="32"/>
          <w:lang w:val="en-US" w:eastAsia="zh-CN"/>
        </w:rPr>
        <w:t>0.13</w:t>
      </w:r>
      <w:r>
        <w:rPr>
          <w:rFonts w:hint="eastAsia" w:ascii="仿宋_GB2312" w:hAnsi="仿宋_GB2312" w:eastAsia="仿宋_GB2312" w:cs="仿宋_GB2312"/>
          <w:sz w:val="32"/>
          <w:szCs w:val="32"/>
        </w:rPr>
        <w:t>亿元以上。</w:t>
      </w:r>
      <w:r>
        <w:rPr>
          <w:rFonts w:hint="eastAsia" w:ascii="仿宋_GB2312" w:hAnsi="仿宋_GB2312" w:eastAsia="仿宋_GB2312" w:cs="仿宋_GB2312"/>
          <w:sz w:val="32"/>
          <w:szCs w:val="32"/>
          <w:lang w:val="en-US" w:eastAsia="zh-CN"/>
        </w:rPr>
        <w:t>除了</w:t>
      </w:r>
      <w:r>
        <w:rPr>
          <w:rFonts w:hint="eastAsia" w:ascii="仿宋_GB2312" w:hAnsi="仿宋_GB2312" w:eastAsia="仿宋_GB2312" w:cs="仿宋_GB2312"/>
          <w:sz w:val="32"/>
          <w:szCs w:val="32"/>
        </w:rPr>
        <w:t>带来可观的直接经济效益，还可以为地区就业、交通、人居环境提升等带来良好的间接经济效益</w:t>
      </w:r>
      <w:r>
        <w:rPr>
          <w:rFonts w:hint="eastAsia" w:ascii="Times New Roman" w:hAnsi="Times New Roman" w:eastAsia="仿宋_GB2312"/>
          <w:sz w:val="32"/>
          <w:szCs w:val="32"/>
        </w:rPr>
        <w:t>。</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（三）社会效益：本片区规划工业用地</w:t>
      </w:r>
      <w:r>
        <w:rPr>
          <w:rFonts w:hint="eastAsia" w:ascii="仿宋_GB2312" w:hAnsi="仿宋_GB2312" w:eastAsia="仿宋_GB2312" w:cs="仿宋_GB2312"/>
          <w:sz w:val="32"/>
          <w:szCs w:val="32"/>
        </w:rPr>
        <w:t>4.2818</w:t>
      </w:r>
      <w:r>
        <w:rPr>
          <w:rFonts w:ascii="仿宋_GB2312" w:hAnsi="宋体" w:eastAsia="仿宋_GB2312"/>
          <w:bCs/>
          <w:sz w:val="32"/>
          <w:szCs w:val="32"/>
        </w:rPr>
        <w:t>公顷</w:t>
      </w:r>
      <w:r>
        <w:rPr>
          <w:rFonts w:hint="eastAsia" w:ascii="仿宋_GB2312" w:hAnsi="宋体" w:eastAsia="仿宋_GB2312"/>
          <w:bCs/>
          <w:sz w:val="32"/>
          <w:szCs w:val="32"/>
          <w:lang w:eastAsia="zh-CN"/>
        </w:rPr>
        <w:t>，</w:t>
      </w:r>
      <w:r>
        <w:rPr>
          <w:rFonts w:hint="eastAsia" w:ascii="仿宋_GB2312" w:hAnsi="宋体" w:eastAsia="仿宋_GB2312"/>
          <w:bCs/>
          <w:sz w:val="32"/>
          <w:szCs w:val="32"/>
          <w:lang w:val="en-US" w:eastAsia="zh-CN"/>
        </w:rPr>
        <w:t>项目</w:t>
      </w:r>
      <w:r>
        <w:rPr>
          <w:rFonts w:hint="eastAsia" w:ascii="仿宋_GB2312" w:hAnsi="宋体" w:eastAsia="仿宋_GB2312"/>
          <w:bCs/>
          <w:sz w:val="32"/>
          <w:szCs w:val="32"/>
        </w:rPr>
        <w:t>建成后，预计可新增就业人口约</w:t>
      </w:r>
      <w:r>
        <w:rPr>
          <w:rFonts w:hint="eastAsia" w:ascii="仿宋_GB2312" w:hAnsi="仿宋_GB2312" w:eastAsia="仿宋_GB2312" w:cs="仿宋_GB2312"/>
          <w:sz w:val="32"/>
          <w:szCs w:val="32"/>
          <w:highlight w:val="none"/>
          <w:lang w:val="en-US" w:eastAsia="zh-CN"/>
        </w:rPr>
        <w:t>800</w:t>
      </w:r>
      <w:r>
        <w:rPr>
          <w:rFonts w:hint="eastAsia" w:ascii="仿宋_GB2312" w:hAnsi="宋体" w:eastAsia="仿宋_GB2312"/>
          <w:bCs/>
          <w:sz w:val="32"/>
          <w:szCs w:val="32"/>
        </w:rPr>
        <w:t>人，有效解决当地就业保障问题，维持社会稳定发展</w:t>
      </w:r>
      <w:r>
        <w:rPr>
          <w:rFonts w:ascii="仿宋_GB2312" w:hAnsi="宋体" w:eastAsia="仿宋_GB2312"/>
          <w:bCs/>
          <w:sz w:val="32"/>
          <w:szCs w:val="32"/>
        </w:rPr>
        <w:t>。</w:t>
      </w:r>
    </w:p>
    <w:p>
      <w:pPr>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bCs/>
          <w:sz w:val="32"/>
          <w:szCs w:val="32"/>
        </w:rPr>
      </w:pPr>
      <w:r>
        <w:rPr>
          <w:rFonts w:hint="eastAsia" w:ascii="仿宋_GB2312" w:hAnsi="宋体" w:eastAsia="仿宋_GB2312"/>
          <w:bCs/>
          <w:sz w:val="32"/>
          <w:szCs w:val="32"/>
        </w:rPr>
        <w:t>（四）生态效益：</w:t>
      </w:r>
      <w:r>
        <w:rPr>
          <w:rFonts w:hint="eastAsia" w:ascii="仿宋_GB2312" w:hAnsi="宋体" w:eastAsia="仿宋_GB2312"/>
          <w:bCs/>
          <w:sz w:val="32"/>
          <w:szCs w:val="32"/>
          <w:lang w:val="en-US" w:eastAsia="zh-CN"/>
        </w:rPr>
        <w:t>片区的建设</w:t>
      </w:r>
      <w:r>
        <w:rPr>
          <w:rFonts w:hint="eastAsia" w:ascii="仿宋_GB2312" w:hAnsi="仿宋_GB2312" w:eastAsia="仿宋_GB2312" w:cs="仿宋_GB2312"/>
          <w:sz w:val="32"/>
          <w:szCs w:val="32"/>
        </w:rPr>
        <w:t>对区域所在大气环境、生态环境、水环境、土壤环境影响较小</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通过</w:t>
      </w:r>
      <w:r>
        <w:rPr>
          <w:rFonts w:hint="eastAsia" w:ascii="仿宋_GB2312" w:hAnsi="宋体" w:eastAsia="仿宋_GB2312"/>
          <w:bCs/>
          <w:sz w:val="32"/>
          <w:szCs w:val="32"/>
        </w:rPr>
        <w:t>方案的实施将带动周边水环境治理项目建设，</w:t>
      </w:r>
      <w:r>
        <w:rPr>
          <w:rFonts w:hint="eastAsia" w:ascii="仿宋_GB2312" w:hAnsi="宋体" w:eastAsia="仿宋_GB2312"/>
          <w:bCs/>
          <w:sz w:val="32"/>
          <w:szCs w:val="32"/>
          <w:lang w:val="en-US" w:eastAsia="zh-CN"/>
        </w:rPr>
        <w:t>有效</w:t>
      </w:r>
      <w:r>
        <w:rPr>
          <w:rFonts w:hint="eastAsia" w:ascii="仿宋_GB2312" w:hAnsi="宋体" w:eastAsia="仿宋_GB2312"/>
          <w:bCs/>
          <w:sz w:val="32"/>
          <w:szCs w:val="32"/>
        </w:rPr>
        <w:t>提升产业园区生态环境</w:t>
      </w:r>
      <w:r>
        <w:rPr>
          <w:rFonts w:hint="eastAsia" w:ascii="仿宋_GB2312" w:hAnsi="仿宋_GB2312" w:eastAsia="仿宋_GB2312" w:cs="仿宋_GB2312"/>
          <w:sz w:val="32"/>
          <w:szCs w:val="32"/>
        </w:rPr>
        <w:t>。</w:t>
      </w:r>
    </w:p>
    <w:p>
      <w:pPr>
        <w:pStyle w:val="2"/>
        <w:numPr>
          <w:ilvl w:val="0"/>
          <w:numId w:val="0"/>
        </w:numPr>
        <w:spacing w:line="600" w:lineRule="exact"/>
        <w:ind w:firstLine="640" w:firstLineChars="200"/>
        <w:rPr>
          <w:rFonts w:ascii="黑体" w:hAnsi="黑体" w:eastAsia="黑体"/>
          <w:b w:val="0"/>
          <w:szCs w:val="32"/>
        </w:rPr>
      </w:pPr>
      <w:r>
        <w:rPr>
          <w:rFonts w:hint="eastAsia" w:ascii="黑体" w:hAnsi="黑体" w:eastAsia="黑体"/>
          <w:b w:val="0"/>
          <w:szCs w:val="32"/>
        </w:rPr>
        <w:t>十、结论</w:t>
      </w:r>
    </w:p>
    <w:p>
      <w:pPr>
        <w:spacing w:line="600" w:lineRule="exact"/>
        <w:ind w:firstLine="640" w:firstLineChars="200"/>
        <w:rPr>
          <w:rFonts w:ascii="仿宋_GB2312" w:hAnsi="宋体" w:eastAsia="仿宋_GB2312"/>
          <w:bCs/>
          <w:sz w:val="32"/>
          <w:szCs w:val="32"/>
        </w:rPr>
      </w:pPr>
      <w:r>
        <w:rPr>
          <w:rFonts w:hint="eastAsia" w:ascii="仿宋_GB2312" w:hAnsi="宋体" w:eastAsia="仿宋_GB2312"/>
          <w:bCs/>
          <w:sz w:val="32"/>
          <w:szCs w:val="32"/>
        </w:rPr>
        <w:t>《</w:t>
      </w:r>
      <w:r>
        <w:rPr>
          <w:rFonts w:hint="eastAsia" w:ascii="仿宋_GB2312" w:hAnsi="宋体" w:eastAsia="仿宋_GB2312"/>
          <w:bCs/>
          <w:sz w:val="32"/>
          <w:szCs w:val="32"/>
          <w:lang w:eastAsia="zh-CN"/>
        </w:rPr>
        <w:t>金峰镇胪峰大道西侧前林片区</w:t>
      </w:r>
      <w:r>
        <w:rPr>
          <w:rFonts w:hint="eastAsia" w:ascii="仿宋_GB2312" w:hAnsi="宋体" w:eastAsia="仿宋_GB2312"/>
          <w:bCs/>
          <w:sz w:val="32"/>
          <w:szCs w:val="32"/>
        </w:rPr>
        <w:t>土地征收成片开发方案》符合土地征收成片开发的标准。</w:t>
      </w:r>
    </w:p>
    <w:p>
      <w:pPr>
        <w:widowControl/>
        <w:spacing w:line="560" w:lineRule="exact"/>
        <w:jc w:val="left"/>
        <w:rPr>
          <w:rFonts w:ascii="仿宋_GB2312" w:hAnsi="宋体" w:eastAsia="仿宋_GB2312"/>
          <w:bCs/>
          <w:sz w:val="32"/>
          <w:szCs w:val="32"/>
        </w:rPr>
        <w:sectPr>
          <w:footerReference r:id="rId3" w:type="default"/>
          <w:pgSz w:w="11906" w:h="16838"/>
          <w:pgMar w:top="1984" w:right="1474" w:bottom="1871" w:left="1587" w:header="851" w:footer="992" w:gutter="0"/>
          <w:pgNumType w:fmt="numberInDash"/>
          <w:cols w:space="425" w:num="1"/>
          <w:docGrid w:type="lines" w:linePitch="312" w:charSpace="0"/>
        </w:sectPr>
      </w:pPr>
      <w:r>
        <w:rPr>
          <w:rFonts w:ascii="仿宋_GB2312" w:hAnsi="宋体" w:eastAsia="仿宋_GB2312"/>
          <w:bCs/>
          <w:sz w:val="32"/>
          <w:szCs w:val="32"/>
        </w:rPr>
        <w:br w:type="page"/>
      </w:r>
      <w:bookmarkStart w:id="0" w:name="_GoBack"/>
      <w:bookmarkEnd w:id="0"/>
    </w:p>
    <w:p>
      <w:pPr>
        <w:widowControl/>
        <w:spacing w:line="560" w:lineRule="exact"/>
        <w:jc w:val="left"/>
        <w:rPr>
          <w:rFonts w:hint="eastAsia" w:ascii="仿宋_GB2312" w:hAnsi="宋体" w:eastAsia="仿宋_GB2312"/>
          <w:bCs/>
          <w:sz w:val="32"/>
          <w:szCs w:val="32"/>
        </w:rPr>
      </w:pPr>
      <w:r>
        <w:rPr>
          <w:rFonts w:hint="eastAsia" w:ascii="仿宋_GB2312" w:hAnsi="宋体" w:eastAsia="仿宋_GB2312"/>
          <w:bCs/>
          <w:sz w:val="32"/>
          <w:szCs w:val="32"/>
        </w:rPr>
        <w:t>附图：</w:t>
      </w:r>
      <w:r>
        <w:rPr>
          <w:rFonts w:hint="eastAsia" w:ascii="仿宋_GB2312" w:hAnsi="宋体" w:eastAsia="仿宋_GB2312"/>
          <w:bCs/>
          <w:sz w:val="32"/>
          <w:szCs w:val="32"/>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Pr>
          <w:rFonts w:hint="eastAsia" w:ascii="仿宋_GB2312" w:hAnsi="宋体" w:eastAsia="仿宋_GB2312"/>
          <w:bCs/>
          <w:sz w:val="32"/>
          <w:szCs w:val="32"/>
        </w:rPr>
        <w:instrText xml:space="preserve">ADDIN CNKISM.UserStyle</w:instrText>
      </w:r>
      <w:r>
        <w:rPr>
          <w:rFonts w:hint="eastAsia" w:ascii="仿宋_GB2312" w:hAnsi="宋体" w:eastAsia="仿宋_GB2312"/>
          <w:bCs/>
          <w:sz w:val="32"/>
          <w:szCs w:val="32"/>
        </w:rPr>
        <w:fldChar w:fldCharType="end"/>
      </w:r>
      <w:r>
        <w:rPr>
          <w:rFonts w:hint="eastAsia" w:ascii="仿宋_GB2312" w:hAnsi="宋体" w:eastAsia="仿宋_GB2312"/>
          <w:bCs/>
          <w:sz w:val="32"/>
          <w:szCs w:val="32"/>
        </w:rPr>
        <w:t>成片开发位置示意图</w:t>
      </w:r>
    </w:p>
    <w:p>
      <w:pPr>
        <w:widowControl/>
        <w:spacing w:line="560" w:lineRule="exact"/>
        <w:jc w:val="left"/>
        <w:rPr>
          <w:rFonts w:hint="eastAsia" w:ascii="仿宋_GB2312" w:hAnsi="宋体" w:eastAsia="仿宋_GB2312"/>
          <w:bCs/>
          <w:sz w:val="32"/>
          <w:szCs w:val="32"/>
          <w:lang w:eastAsia="zh-CN"/>
        </w:rPr>
      </w:pPr>
      <w:r>
        <w:rPr>
          <w:rFonts w:hint="eastAsia" w:ascii="仿宋_GB2312" w:hAnsi="宋体" w:eastAsia="仿宋_GB2312"/>
          <w:bCs/>
          <w:sz w:val="32"/>
          <w:szCs w:val="32"/>
          <w:lang w:eastAsia="zh-CN"/>
        </w:rPr>
        <w:drawing>
          <wp:anchor distT="0" distB="0" distL="114300" distR="114300" simplePos="0" relativeHeight="251659264" behindDoc="0" locked="0" layoutInCell="1" allowOverlap="1">
            <wp:simplePos x="0" y="0"/>
            <wp:positionH relativeFrom="column">
              <wp:posOffset>-39370</wp:posOffset>
            </wp:positionH>
            <wp:positionV relativeFrom="paragraph">
              <wp:posOffset>31115</wp:posOffset>
            </wp:positionV>
            <wp:extent cx="8354695" cy="5906770"/>
            <wp:effectExtent l="0" t="0" r="8255" b="17780"/>
            <wp:wrapNone/>
            <wp:docPr id="2" name="图片 2" descr="H:/4、2023年/02长乐成片开发/02片区/11金峰/03金峰镇胪峰大道西侧前林片区/02图件/1.金峰镇胪峰大道西侧前林片区成片开发位置示意图.jpg1.金峰镇胪峰大道西侧前林片区成片开发位置示意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4、2023年/02长乐成片开发/02片区/11金峰/03金峰镇胪峰大道西侧前林片区/02图件/1.金峰镇胪峰大道西侧前林片区成片开发位置示意图.jpg1.金峰镇胪峰大道西侧前林片区成片开发位置示意图"/>
                    <pic:cNvPicPr>
                      <a:picLocks noChangeAspect="1"/>
                    </pic:cNvPicPr>
                  </pic:nvPicPr>
                  <pic:blipFill>
                    <a:blip r:embed="rId5"/>
                    <a:srcRect l="5" r="5"/>
                    <a:stretch>
                      <a:fillRect/>
                    </a:stretch>
                  </pic:blipFill>
                  <pic:spPr>
                    <a:xfrm>
                      <a:off x="0" y="0"/>
                      <a:ext cx="8354695" cy="5906770"/>
                    </a:xfrm>
                    <a:prstGeom prst="rect">
                      <a:avLst/>
                    </a:prstGeom>
                  </pic:spPr>
                </pic:pic>
              </a:graphicData>
            </a:graphic>
          </wp:anchor>
        </w:drawing>
      </w:r>
    </w:p>
    <w:sectPr>
      <w:pgSz w:w="16838" w:h="11906" w:orient="landscape"/>
      <w:pgMar w:top="1587" w:right="1984" w:bottom="1474" w:left="187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2CDC8B4-4155-4A42-B816-8F5BCBD9BC4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embedRegular r:id="rId2" w:fontKey="{963371CE-CDBA-4875-84FD-206A989C6AA6}"/>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3" w:fontKey="{9342F714-1388-4912-97CB-984FF37C44EE}"/>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sdt>
                    <w:sdtPr>
                      <w:rPr>
                        <w:rFonts w:hint="eastAsia" w:ascii="仿宋_GB2312" w:hAnsi="仿宋_GB2312" w:eastAsia="仿宋_GB2312" w:cs="仿宋_GB2312"/>
                        <w:sz w:val="28"/>
                        <w:szCs w:val="28"/>
                      </w:rPr>
                      <w:id w:val="58834674"/>
                    </w:sdtPr>
                    <w:sdtEndPr>
                      <w:rPr>
                        <w:rFonts w:hint="eastAsia" w:ascii="仿宋_GB2312" w:hAnsi="仿宋_GB2312" w:eastAsia="仿宋_GB2312" w:cs="仿宋_GB2312"/>
                        <w:sz w:val="28"/>
                        <w:szCs w:val="28"/>
                      </w:rPr>
                    </w:sdtEndPr>
                    <w:sdtContent>
                      <w:p>
                        <w:pPr>
                          <w:pStyle w:val="5"/>
                          <w:jc w:val="center"/>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PAGE   \* MERGEFORMAT</w:instrText>
                        </w:r>
                        <w:r>
                          <w:rPr>
                            <w:rFonts w:hint="eastAsia" w:ascii="仿宋_GB2312" w:hAnsi="仿宋_GB2312" w:eastAsia="仿宋_GB2312" w:cs="仿宋_GB2312"/>
                            <w:sz w:val="28"/>
                            <w:szCs w:val="28"/>
                          </w:rPr>
                          <w:fldChar w:fldCharType="separate"/>
                        </w:r>
                        <w:r>
                          <w:rPr>
                            <w:rFonts w:ascii="仿宋_GB2312" w:hAnsi="仿宋_GB2312" w:eastAsia="仿宋_GB2312" w:cs="仿宋_GB2312"/>
                            <w:sz w:val="28"/>
                            <w:szCs w:val="28"/>
                            <w:lang w:val="zh-CN"/>
                          </w:rPr>
                          <w:t>-</w:t>
                        </w:r>
                        <w:r>
                          <w:rPr>
                            <w:rFonts w:ascii="仿宋_GB2312" w:hAnsi="仿宋_GB2312" w:eastAsia="仿宋_GB2312" w:cs="仿宋_GB2312"/>
                            <w:sz w:val="28"/>
                            <w:szCs w:val="28"/>
                          </w:rPr>
                          <w:t xml:space="preserve"> 6 -</w:t>
                        </w:r>
                        <w:r>
                          <w:rPr>
                            <w:rFonts w:hint="eastAsia" w:ascii="仿宋_GB2312" w:hAnsi="仿宋_GB2312" w:eastAsia="仿宋_GB2312" w:cs="仿宋_GB2312"/>
                            <w:sz w:val="28"/>
                            <w:szCs w:val="28"/>
                          </w:rPr>
                          <w:fldChar w:fldCharType="end"/>
                        </w:r>
                      </w:p>
                    </w:sdtContent>
                  </w:sdt>
                  <w:p/>
                </w:txbxContent>
              </v:textbox>
            </v:shape>
          </w:pict>
        </mc:Fallback>
      </mc:AlternateContent>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3563CF"/>
    <w:multiLevelType w:val="multilevel"/>
    <w:tmpl w:val="5A3563CF"/>
    <w:lvl w:ilvl="0" w:tentative="0">
      <w:start w:val="1"/>
      <w:numFmt w:val="chineseCountingThousand"/>
      <w:pStyle w:val="2"/>
      <w:lvlText w:val="%1、"/>
      <w:lvlJc w:val="left"/>
      <w:pPr>
        <w:ind w:left="420" w:hanging="420"/>
      </w:pPr>
    </w:lvl>
    <w:lvl w:ilvl="1" w:tentative="0">
      <w:start w:val="1"/>
      <w:numFmt w:val="chineseCountingThousand"/>
      <w:lvlText w:val="(%2)"/>
      <w:lvlJc w:val="left"/>
      <w:pPr>
        <w:ind w:left="1500" w:hanging="1080"/>
      </w:pPr>
      <w:rPr>
        <w:rFonts w:hint="default"/>
      </w:rPr>
    </w:lvl>
    <w:lvl w:ilvl="2" w:tentative="0">
      <w:start w:val="1"/>
      <w:numFmt w:val="decimal"/>
      <w:lvlText w:val="（%3）"/>
      <w:lvlJc w:val="left"/>
      <w:pPr>
        <w:ind w:left="1590" w:hanging="750"/>
      </w:pPr>
      <w:rPr>
        <w:rFonts w:ascii="宋体" w:hAnsi="宋体" w:eastAsia="宋体" w:cstheme="minorBidi"/>
      </w:r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NiNjc2YzU2ZGY4OTkxNWE2ZTg2ZTZiNzRmYTk4YzIifQ=="/>
  </w:docVars>
  <w:rsids>
    <w:rsidRoot w:val="008206CE"/>
    <w:rsid w:val="0001648C"/>
    <w:rsid w:val="00092A71"/>
    <w:rsid w:val="000D625A"/>
    <w:rsid w:val="000E1D34"/>
    <w:rsid w:val="001003E4"/>
    <w:rsid w:val="001124C3"/>
    <w:rsid w:val="0017500E"/>
    <w:rsid w:val="00185ADC"/>
    <w:rsid w:val="00192A04"/>
    <w:rsid w:val="001B343A"/>
    <w:rsid w:val="001B3812"/>
    <w:rsid w:val="001E3A33"/>
    <w:rsid w:val="00203CA3"/>
    <w:rsid w:val="00205DAA"/>
    <w:rsid w:val="00281003"/>
    <w:rsid w:val="002900E7"/>
    <w:rsid w:val="002B2A77"/>
    <w:rsid w:val="002C118E"/>
    <w:rsid w:val="002D182C"/>
    <w:rsid w:val="002D63E5"/>
    <w:rsid w:val="002D695C"/>
    <w:rsid w:val="00324166"/>
    <w:rsid w:val="00362ECF"/>
    <w:rsid w:val="00362F0D"/>
    <w:rsid w:val="0039709A"/>
    <w:rsid w:val="003C013F"/>
    <w:rsid w:val="003C1698"/>
    <w:rsid w:val="003D5CCE"/>
    <w:rsid w:val="003D6A6A"/>
    <w:rsid w:val="003F2701"/>
    <w:rsid w:val="00403C96"/>
    <w:rsid w:val="004115CE"/>
    <w:rsid w:val="004222B9"/>
    <w:rsid w:val="0045559D"/>
    <w:rsid w:val="0047022B"/>
    <w:rsid w:val="00483624"/>
    <w:rsid w:val="004B3819"/>
    <w:rsid w:val="004C3CEC"/>
    <w:rsid w:val="004E52D9"/>
    <w:rsid w:val="004F732D"/>
    <w:rsid w:val="004F7B5C"/>
    <w:rsid w:val="00592D1D"/>
    <w:rsid w:val="005A5028"/>
    <w:rsid w:val="005B29D3"/>
    <w:rsid w:val="005C46A5"/>
    <w:rsid w:val="005F2900"/>
    <w:rsid w:val="0062343E"/>
    <w:rsid w:val="006A1E58"/>
    <w:rsid w:val="006C2E13"/>
    <w:rsid w:val="006E058D"/>
    <w:rsid w:val="006E54EA"/>
    <w:rsid w:val="00741F64"/>
    <w:rsid w:val="007B08E7"/>
    <w:rsid w:val="007C1789"/>
    <w:rsid w:val="007C664D"/>
    <w:rsid w:val="007E0469"/>
    <w:rsid w:val="007E5E8F"/>
    <w:rsid w:val="007F5F66"/>
    <w:rsid w:val="0080566A"/>
    <w:rsid w:val="0081107F"/>
    <w:rsid w:val="008206CE"/>
    <w:rsid w:val="00837B0E"/>
    <w:rsid w:val="00840B86"/>
    <w:rsid w:val="00854B1E"/>
    <w:rsid w:val="00875513"/>
    <w:rsid w:val="00876F89"/>
    <w:rsid w:val="008B2064"/>
    <w:rsid w:val="008C2457"/>
    <w:rsid w:val="008D15AD"/>
    <w:rsid w:val="008D681F"/>
    <w:rsid w:val="008E4700"/>
    <w:rsid w:val="00980643"/>
    <w:rsid w:val="009B153D"/>
    <w:rsid w:val="009B4C4F"/>
    <w:rsid w:val="009E7626"/>
    <w:rsid w:val="00A15E5C"/>
    <w:rsid w:val="00A3488C"/>
    <w:rsid w:val="00A70559"/>
    <w:rsid w:val="00AA3880"/>
    <w:rsid w:val="00AA6605"/>
    <w:rsid w:val="00AB0671"/>
    <w:rsid w:val="00AC134A"/>
    <w:rsid w:val="00AE562E"/>
    <w:rsid w:val="00B35D53"/>
    <w:rsid w:val="00B37B2B"/>
    <w:rsid w:val="00B40891"/>
    <w:rsid w:val="00B44426"/>
    <w:rsid w:val="00B4767A"/>
    <w:rsid w:val="00BC26AC"/>
    <w:rsid w:val="00BC391E"/>
    <w:rsid w:val="00BD514B"/>
    <w:rsid w:val="00BE3644"/>
    <w:rsid w:val="00C153D0"/>
    <w:rsid w:val="00C220EA"/>
    <w:rsid w:val="00C24E90"/>
    <w:rsid w:val="00C8022C"/>
    <w:rsid w:val="00C91473"/>
    <w:rsid w:val="00C968E3"/>
    <w:rsid w:val="00CC6411"/>
    <w:rsid w:val="00CD02E1"/>
    <w:rsid w:val="00CF55B1"/>
    <w:rsid w:val="00D32A4E"/>
    <w:rsid w:val="00D42F39"/>
    <w:rsid w:val="00D83EC3"/>
    <w:rsid w:val="00D87007"/>
    <w:rsid w:val="00D936B6"/>
    <w:rsid w:val="00DA1BA1"/>
    <w:rsid w:val="00DC7F6D"/>
    <w:rsid w:val="00E01AF7"/>
    <w:rsid w:val="00E64310"/>
    <w:rsid w:val="00E814F1"/>
    <w:rsid w:val="00E95CDA"/>
    <w:rsid w:val="00EA4C8A"/>
    <w:rsid w:val="00EA51D6"/>
    <w:rsid w:val="00EA7E2C"/>
    <w:rsid w:val="00EB0C74"/>
    <w:rsid w:val="00F14B00"/>
    <w:rsid w:val="00F57216"/>
    <w:rsid w:val="00F72FDB"/>
    <w:rsid w:val="00F744E6"/>
    <w:rsid w:val="00F76A8F"/>
    <w:rsid w:val="00F86FAC"/>
    <w:rsid w:val="00FB42D5"/>
    <w:rsid w:val="00FE4166"/>
    <w:rsid w:val="013D72DA"/>
    <w:rsid w:val="03F71FF4"/>
    <w:rsid w:val="055C30DB"/>
    <w:rsid w:val="06267F37"/>
    <w:rsid w:val="06E447B4"/>
    <w:rsid w:val="08091E3E"/>
    <w:rsid w:val="0903562B"/>
    <w:rsid w:val="09F83B1B"/>
    <w:rsid w:val="0A9D62A2"/>
    <w:rsid w:val="0C9634DB"/>
    <w:rsid w:val="0D0E136C"/>
    <w:rsid w:val="0DCB24AA"/>
    <w:rsid w:val="0F53554E"/>
    <w:rsid w:val="0FC45556"/>
    <w:rsid w:val="128946D9"/>
    <w:rsid w:val="13470C11"/>
    <w:rsid w:val="157E3EF9"/>
    <w:rsid w:val="17116C5C"/>
    <w:rsid w:val="171E05BA"/>
    <w:rsid w:val="171E28E6"/>
    <w:rsid w:val="18BA49DA"/>
    <w:rsid w:val="1C0A5EC2"/>
    <w:rsid w:val="1CF46698"/>
    <w:rsid w:val="1D7B2915"/>
    <w:rsid w:val="1E232195"/>
    <w:rsid w:val="1F840D10"/>
    <w:rsid w:val="20C703C4"/>
    <w:rsid w:val="20F877D1"/>
    <w:rsid w:val="24322CB0"/>
    <w:rsid w:val="26693331"/>
    <w:rsid w:val="2673237E"/>
    <w:rsid w:val="27A80F84"/>
    <w:rsid w:val="2AD14BC8"/>
    <w:rsid w:val="2B8C58CB"/>
    <w:rsid w:val="2D7C1CBC"/>
    <w:rsid w:val="2F552DE2"/>
    <w:rsid w:val="307F5335"/>
    <w:rsid w:val="33BC433A"/>
    <w:rsid w:val="34AB3A79"/>
    <w:rsid w:val="34E10FF8"/>
    <w:rsid w:val="354237EC"/>
    <w:rsid w:val="375B04FF"/>
    <w:rsid w:val="39894AE1"/>
    <w:rsid w:val="3C6D75A1"/>
    <w:rsid w:val="3D195E9A"/>
    <w:rsid w:val="3D6A4E53"/>
    <w:rsid w:val="3EA72992"/>
    <w:rsid w:val="3F397A0D"/>
    <w:rsid w:val="43AE6A0F"/>
    <w:rsid w:val="4BC77528"/>
    <w:rsid w:val="4C0C7897"/>
    <w:rsid w:val="4E267909"/>
    <w:rsid w:val="4EFE6EAA"/>
    <w:rsid w:val="4F292AC6"/>
    <w:rsid w:val="4FC7696F"/>
    <w:rsid w:val="55674809"/>
    <w:rsid w:val="5DBB1B81"/>
    <w:rsid w:val="60002BE9"/>
    <w:rsid w:val="63672428"/>
    <w:rsid w:val="6497128F"/>
    <w:rsid w:val="65783E19"/>
    <w:rsid w:val="65A5070E"/>
    <w:rsid w:val="682956B5"/>
    <w:rsid w:val="684D1CB0"/>
    <w:rsid w:val="6C2E7063"/>
    <w:rsid w:val="6C7E5805"/>
    <w:rsid w:val="6C801D01"/>
    <w:rsid w:val="6FD31984"/>
    <w:rsid w:val="74F6547D"/>
    <w:rsid w:val="758301C4"/>
    <w:rsid w:val="76CC4006"/>
    <w:rsid w:val="784529A4"/>
    <w:rsid w:val="79C17DB5"/>
    <w:rsid w:val="7AE865FB"/>
    <w:rsid w:val="7B93102C"/>
    <w:rsid w:val="7C320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3"/>
    <w:autoRedefine/>
    <w:qFormat/>
    <w:uiPriority w:val="9"/>
    <w:pPr>
      <w:keepNext/>
      <w:keepLines/>
      <w:numPr>
        <w:ilvl w:val="0"/>
        <w:numId w:val="1"/>
      </w:numPr>
      <w:spacing w:line="578" w:lineRule="auto"/>
      <w:outlineLvl w:val="0"/>
    </w:pPr>
    <w:rPr>
      <w:rFonts w:eastAsia="微软雅黑"/>
      <w:b/>
      <w:bCs/>
      <w:kern w:val="44"/>
      <w:sz w:val="32"/>
      <w:szCs w:val="44"/>
    </w:rPr>
  </w:style>
  <w:style w:type="character" w:default="1" w:styleId="11">
    <w:name w:val="Default Paragraph Font"/>
    <w:autoRedefine/>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3">
    <w:name w:val="annotation text"/>
    <w:basedOn w:val="1"/>
    <w:link w:val="16"/>
    <w:autoRedefine/>
    <w:semiHidden/>
    <w:unhideWhenUsed/>
    <w:qFormat/>
    <w:uiPriority w:val="99"/>
    <w:pPr>
      <w:jc w:val="left"/>
    </w:pPr>
  </w:style>
  <w:style w:type="paragraph" w:styleId="4">
    <w:name w:val="Balloon Text"/>
    <w:basedOn w:val="1"/>
    <w:link w:val="18"/>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8">
    <w:name w:val="annotation subject"/>
    <w:basedOn w:val="3"/>
    <w:next w:val="3"/>
    <w:link w:val="17"/>
    <w:autoRedefine/>
    <w:semiHidden/>
    <w:unhideWhenUsed/>
    <w:qFormat/>
    <w:uiPriority w:val="99"/>
    <w:rPr>
      <w:b/>
      <w:bCs/>
    </w:rPr>
  </w:style>
  <w:style w:type="table" w:styleId="10">
    <w:name w:val="Table Grid"/>
    <w:basedOn w:val="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annotation reference"/>
    <w:basedOn w:val="11"/>
    <w:autoRedefine/>
    <w:semiHidden/>
    <w:unhideWhenUsed/>
    <w:qFormat/>
    <w:uiPriority w:val="99"/>
    <w:rPr>
      <w:sz w:val="21"/>
      <w:szCs w:val="21"/>
    </w:rPr>
  </w:style>
  <w:style w:type="character" w:customStyle="1" w:styleId="13">
    <w:name w:val="标题 1 字符"/>
    <w:basedOn w:val="11"/>
    <w:link w:val="2"/>
    <w:autoRedefine/>
    <w:qFormat/>
    <w:uiPriority w:val="9"/>
    <w:rPr>
      <w:rFonts w:eastAsia="微软雅黑"/>
      <w:b/>
      <w:bCs/>
      <w:kern w:val="44"/>
      <w:sz w:val="32"/>
      <w:szCs w:val="44"/>
    </w:rPr>
  </w:style>
  <w:style w:type="character" w:customStyle="1" w:styleId="14">
    <w:name w:val="页脚 字符"/>
    <w:basedOn w:val="11"/>
    <w:link w:val="5"/>
    <w:autoRedefine/>
    <w:qFormat/>
    <w:uiPriority w:val="99"/>
    <w:rPr>
      <w:sz w:val="18"/>
      <w:szCs w:val="18"/>
    </w:rPr>
  </w:style>
  <w:style w:type="character" w:customStyle="1" w:styleId="15">
    <w:name w:val="页眉 字符"/>
    <w:basedOn w:val="11"/>
    <w:link w:val="6"/>
    <w:autoRedefine/>
    <w:qFormat/>
    <w:uiPriority w:val="99"/>
    <w:rPr>
      <w:sz w:val="18"/>
      <w:szCs w:val="18"/>
    </w:rPr>
  </w:style>
  <w:style w:type="character" w:customStyle="1" w:styleId="16">
    <w:name w:val="批注文字 字符"/>
    <w:basedOn w:val="11"/>
    <w:link w:val="3"/>
    <w:autoRedefine/>
    <w:semiHidden/>
    <w:qFormat/>
    <w:uiPriority w:val="99"/>
    <w:rPr>
      <w:kern w:val="2"/>
      <w:sz w:val="21"/>
      <w:szCs w:val="22"/>
    </w:rPr>
  </w:style>
  <w:style w:type="character" w:customStyle="1" w:styleId="17">
    <w:name w:val="批注主题 字符"/>
    <w:basedOn w:val="16"/>
    <w:link w:val="8"/>
    <w:autoRedefine/>
    <w:semiHidden/>
    <w:qFormat/>
    <w:uiPriority w:val="99"/>
    <w:rPr>
      <w:b/>
      <w:bCs/>
      <w:kern w:val="2"/>
      <w:sz w:val="21"/>
      <w:szCs w:val="22"/>
    </w:rPr>
  </w:style>
  <w:style w:type="character" w:customStyle="1" w:styleId="18">
    <w:name w:val="批注框文本 字符"/>
    <w:basedOn w:val="11"/>
    <w:link w:val="4"/>
    <w:autoRedefine/>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C09742E-6F1C-4A4F-B01D-4AECC0EDDD94}">
  <ds:schemaRefs/>
</ds:datastoreItem>
</file>

<file path=docProps/app.xml><?xml version="1.0" encoding="utf-8"?>
<Properties xmlns="http://schemas.openxmlformats.org/officeDocument/2006/extended-properties" xmlns:vt="http://schemas.openxmlformats.org/officeDocument/2006/docPropsVTypes">
  <Template>Normal</Template>
  <Company>fzghy</Company>
  <Pages>5</Pages>
  <Words>1464</Words>
  <Characters>1600</Characters>
  <Lines>1</Lines>
  <Paragraphs>3</Paragraphs>
  <TotalTime>0</TotalTime>
  <ScaleCrop>false</ScaleCrop>
  <LinksUpToDate>false</LinksUpToDate>
  <CharactersWithSpaces>1601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2022-10-09T08:38:00Z</dcterms:created>
  <dc:creator>刘龙华</dc:creator>
  <cp:lastModifiedBy>李文进</cp:lastModifiedBy>
  <cp:lastPrinted>2022-07-12T06:46:00Z</cp:lastPrinted>
  <dcterms:modified xsi:type="dcterms:W3CDTF">2024-03-13T04:08:07Z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6F77DEB2D51349089D7FE569B49C81ED</vt:lpwstr>
  </property>
</Properties>
</file>