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lang w:eastAsia="zh-CN"/>
        </w:rPr>
        <w:t>鹤上地铁站北侧片区</w:t>
      </w:r>
      <w:r>
        <w:rPr>
          <w:rFonts w:hint="eastAsia" w:ascii="方正小标宋简体" w:hAnsi="微软雅黑" w:eastAsia="方正小标宋简体"/>
          <w:sz w:val="44"/>
          <w:szCs w:val="44"/>
        </w:rPr>
        <w:t>土地征收成片开发</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方案（征求意见稿）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w:t>
      </w:r>
      <w:r>
        <w:rPr>
          <w:rFonts w:ascii="仿宋_GB2312" w:hAnsi="宋体" w:eastAsia="仿宋_GB2312"/>
          <w:sz w:val="32"/>
          <w:szCs w:val="32"/>
        </w:rPr>
        <w:t>《中华人民共和国土地管理法》（2019年修正版）</w:t>
      </w:r>
      <w:r>
        <w:rPr>
          <w:rFonts w:hint="eastAsia" w:ascii="仿宋_GB2312" w:hAnsi="宋体" w:eastAsia="仿宋_GB2312"/>
          <w:sz w:val="32"/>
          <w:szCs w:val="32"/>
        </w:rPr>
        <w:t>、</w:t>
      </w:r>
      <w:r>
        <w:rPr>
          <w:rFonts w:hint="eastAsia" w:ascii="仿宋_GB2312" w:hAnsi="仿宋_GB2312" w:eastAsia="仿宋_GB2312" w:cs="仿宋_GB2312"/>
          <w:kern w:val="0"/>
          <w:sz w:val="32"/>
          <w:szCs w:val="32"/>
        </w:rPr>
        <w:t>《自然资源部关于印发&lt;土地征收成片开发标准&gt;的通知》（自然资规〔2023〕7号 ）</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自然资源部关于印发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rPr>
        <w:t>国土空间调查、规划、用途管制用地用海分类指南</w:t>
      </w:r>
      <w:r>
        <w:rPr>
          <w:rFonts w:hint="eastAsia" w:ascii="仿宋_GB2312" w:hAnsi="宋体" w:eastAsia="仿宋_GB2312"/>
          <w:sz w:val="32"/>
          <w:szCs w:val="32"/>
          <w:lang w:val="en-US" w:eastAsia="zh-CN"/>
        </w:rPr>
        <w:t>&gt;</w:t>
      </w:r>
      <w:r>
        <w:rPr>
          <w:rFonts w:hint="eastAsia" w:ascii="仿宋_GB2312" w:hAnsi="宋体" w:eastAsia="仿宋_GB2312"/>
          <w:sz w:val="32"/>
          <w:szCs w:val="32"/>
        </w:rPr>
        <w:t>的通知</w:t>
      </w:r>
      <w:r>
        <w:rPr>
          <w:rFonts w:hint="eastAsia" w:ascii="仿宋_GB2312" w:hAnsi="宋体" w:eastAsia="仿宋_GB2312"/>
          <w:sz w:val="32"/>
          <w:szCs w:val="32"/>
          <w:lang w:eastAsia="zh-CN"/>
        </w:rPr>
        <w:t>》（</w:t>
      </w:r>
      <w:r>
        <w:rPr>
          <w:rFonts w:hint="eastAsia" w:ascii="仿宋_GB2312" w:hAnsi="宋体" w:eastAsia="仿宋_GB2312"/>
          <w:sz w:val="32"/>
          <w:szCs w:val="32"/>
        </w:rPr>
        <w:t>自然资发〔2023〕234号</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ascii="仿宋_GB2312" w:hAnsi="宋体" w:eastAsia="仿宋_GB2312"/>
          <w:sz w:val="32"/>
          <w:szCs w:val="32"/>
        </w:rPr>
        <w:t>《福建省自然资源厅关于印发〈福建省土地征收成片开发方案报批实施细则（试行）〉的通知》（闽自然资发〔2021〕3号，下文简称《实施细则》）</w:t>
      </w:r>
      <w:r>
        <w:rPr>
          <w:rFonts w:hint="eastAsia" w:ascii="仿宋_GB2312" w:hAnsi="宋体" w:eastAsia="仿宋_GB2312"/>
          <w:sz w:val="32"/>
          <w:szCs w:val="32"/>
        </w:rPr>
        <w:t>、</w:t>
      </w:r>
      <w:r>
        <w:rPr>
          <w:rFonts w:ascii="仿宋_GB2312" w:hAnsi="宋体" w:eastAsia="仿宋_GB2312"/>
          <w:sz w:val="32"/>
          <w:szCs w:val="32"/>
        </w:rPr>
        <w:t>《福建省土地征收成片开发方案编制参考指南(试行)》（闽自然资发〔2021〕6号）</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仿宋_GB2312" w:eastAsia="仿宋_GB2312" w:cs="仿宋_GB2312"/>
          <w:sz w:val="32"/>
          <w:szCs w:val="32"/>
          <w:lang w:val="en-US" w:eastAsia="zh-CN"/>
        </w:rPr>
        <w:t>长乐鹤上镇中心区控制性详细规划</w:t>
      </w:r>
      <w:r>
        <w:rPr>
          <w:rFonts w:ascii="仿宋_GB2312" w:hAnsi="宋体" w:eastAsia="仿宋_GB2312"/>
          <w:sz w:val="32"/>
          <w:szCs w:val="32"/>
        </w:rPr>
        <w:t>》</w:t>
      </w:r>
      <w:r>
        <w:rPr>
          <w:rFonts w:hint="eastAsia" w:ascii="仿宋_GB2312" w:hAnsi="宋体" w:eastAsia="仿宋_GB2312"/>
          <w:sz w:val="32"/>
          <w:szCs w:val="32"/>
        </w:rPr>
        <w:t>、《长乐鹤京片区控制性详细规划》</w:t>
      </w:r>
      <w:r>
        <w:rPr>
          <w:rFonts w:hint="eastAsia" w:ascii="仿宋_GB2312" w:hAnsi="宋体" w:eastAsia="仿宋_GB2312"/>
          <w:sz w:val="32"/>
          <w:szCs w:val="32"/>
          <w:lang w:eastAsia="zh-CN"/>
        </w:rPr>
        <w:t>、</w:t>
      </w:r>
      <w:r>
        <w:rPr>
          <w:rFonts w:hint="eastAsia" w:ascii="仿宋_GB2312" w:hAnsi="宋体" w:eastAsia="仿宋_GB2312"/>
          <w:sz w:val="32"/>
          <w:szCs w:val="32"/>
        </w:rPr>
        <w:t>《福州市长乐区202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年国民经济和社会发展计划执行情况与202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年计划草案的报告》</w:t>
      </w:r>
      <w:r>
        <w:rPr>
          <w:rFonts w:ascii="仿宋_GB2312" w:hAnsi="宋体" w:eastAsia="仿宋_GB2312"/>
          <w:sz w:val="32"/>
          <w:szCs w:val="32"/>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方案</w:t>
      </w: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val="en-US" w:eastAsia="zh-CN"/>
        </w:rPr>
        <w:t>至福建永盛金属制品有限公司</w:t>
      </w: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lang w:val="en-US" w:eastAsia="zh-CN"/>
        </w:rPr>
        <w:t>福州地铁6号线鹤上站以西100米</w:t>
      </w:r>
      <w:r>
        <w:rPr>
          <w:rFonts w:hint="eastAsia" w:ascii="仿宋_GB2312" w:hAnsi="仿宋_GB2312" w:eastAsia="仿宋_GB2312" w:cs="仿宋_GB2312"/>
          <w:sz w:val="32"/>
          <w:szCs w:val="32"/>
        </w:rPr>
        <w:t>，南至国道316</w:t>
      </w:r>
      <w:r>
        <w:rPr>
          <w:rFonts w:hint="eastAsia" w:ascii="仿宋_GB2312" w:hAnsi="仿宋_GB2312" w:eastAsia="仿宋_GB2312" w:cs="仿宋_GB2312"/>
          <w:sz w:val="32"/>
          <w:szCs w:val="32"/>
          <w:lang w:val="en-US" w:eastAsia="zh-CN"/>
        </w:rPr>
        <w:t>以北400米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北至鹤梅线</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片区</w:t>
      </w:r>
      <w:r>
        <w:rPr>
          <w:rFonts w:hint="eastAsia" w:ascii="Times New Roman" w:hAnsi="Times New Roman" w:eastAsia="仿宋_GB2312"/>
          <w:color w:val="000000" w:themeColor="text1"/>
          <w:sz w:val="32"/>
          <w:szCs w:val="32"/>
          <w14:textFill>
            <w14:solidFill>
              <w14:schemeClr w14:val="tx1"/>
            </w14:solidFill>
          </w14:textFill>
        </w:rPr>
        <w:t>涉及</w:t>
      </w:r>
      <w:r>
        <w:rPr>
          <w:rFonts w:hint="eastAsia" w:ascii="仿宋_GB2312" w:hAnsi="仿宋_GB2312" w:eastAsia="仿宋_GB2312" w:cs="仿宋_GB2312"/>
          <w:sz w:val="32"/>
          <w:szCs w:val="32"/>
        </w:rPr>
        <w:t>鹤上镇</w:t>
      </w:r>
      <w:r>
        <w:rPr>
          <w:rFonts w:hint="eastAsia" w:ascii="仿宋_GB2312" w:hAnsi="仿宋_GB2312" w:eastAsia="仿宋_GB2312" w:cs="仿宋_GB2312"/>
          <w:sz w:val="32"/>
          <w:szCs w:val="32"/>
          <w:lang w:val="en-US" w:eastAsia="zh-CN"/>
        </w:rPr>
        <w:t>仙街村和北山村</w:t>
      </w:r>
      <w:r>
        <w:rPr>
          <w:rFonts w:hint="eastAsia" w:ascii="Times New Roman" w:hAnsi="Times New Roman" w:eastAsia="仿宋_GB2312"/>
          <w:color w:val="000000" w:themeColor="text1"/>
          <w:sz w:val="32"/>
          <w:szCs w:val="32"/>
          <w14:textFill>
            <w14:solidFill>
              <w14:schemeClr w14:val="tx1"/>
            </w14:solidFill>
          </w14:textFill>
        </w:rPr>
        <w:t>，共</w:t>
      </w:r>
      <w:r>
        <w:rPr>
          <w:rFonts w:hint="eastAsia" w:ascii="Times New Roman" w:hAnsi="Times New Roman" w:eastAsia="仿宋_GB2312"/>
          <w:sz w:val="32"/>
          <w:szCs w:val="32"/>
        </w:rPr>
        <w:t>1个</w:t>
      </w:r>
      <w:r>
        <w:rPr>
          <w:rFonts w:hint="eastAsia" w:ascii="Times New Roman" w:hAnsi="Times New Roman" w:eastAsia="仿宋_GB2312"/>
          <w:sz w:val="32"/>
          <w:szCs w:val="32"/>
          <w:lang w:val="en-US" w:eastAsia="zh-CN"/>
        </w:rPr>
        <w:t>镇2</w:t>
      </w:r>
      <w:r>
        <w:rPr>
          <w:rFonts w:hint="eastAsia" w:ascii="Times New Roman" w:hAnsi="Times New Roman" w:eastAsia="仿宋_GB2312"/>
          <w:sz w:val="32"/>
          <w:szCs w:val="32"/>
        </w:rPr>
        <w:t>个村</w:t>
      </w:r>
      <w:r>
        <w:rPr>
          <w:rFonts w:ascii="Times New Roman" w:hAnsi="Times New Roman" w:eastAsia="仿宋_GB2312"/>
          <w:color w:val="000000" w:themeColor="text1"/>
          <w:sz w:val="32"/>
          <w:szCs w:val="32"/>
          <w14:textFill>
            <w14:solidFill>
              <w14:schemeClr w14:val="tx1"/>
            </w14:solidFill>
          </w14:textFill>
        </w:rPr>
        <w:t>，涉及</w:t>
      </w: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ascii="Times New Roman" w:hAnsi="Times New Roman" w:eastAsia="仿宋_GB2312"/>
          <w:color w:val="000000" w:themeColor="text1"/>
          <w:sz w:val="32"/>
          <w:szCs w:val="32"/>
          <w14:textFill>
            <w14:solidFill>
              <w14:schemeClr w14:val="tx1"/>
            </w14:solidFill>
          </w14:textFill>
        </w:rPr>
        <w:t>个国有单位，不涉及省级和国家级开发区。</w:t>
      </w:r>
    </w:p>
    <w:p>
      <w:pPr>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hint="eastAsia" w:ascii="仿宋_GB2312" w:hAnsi="仿宋_GB2312" w:eastAsia="仿宋_GB2312" w:cs="仿宋_GB2312"/>
          <w:sz w:val="32"/>
          <w:szCs w:val="32"/>
          <w:lang w:val="en-US" w:eastAsia="zh-CN"/>
        </w:rPr>
        <w:t>8.8729</w:t>
      </w:r>
      <w:r>
        <w:rPr>
          <w:rFonts w:hint="eastAsia"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lang w:val="en-US" w:eastAsia="zh-CN"/>
          <w14:textFill>
            <w14:solidFill>
              <w14:schemeClr w14:val="tx1"/>
            </w14:solidFill>
          </w14:textFill>
        </w:rPr>
        <w:t>其中集体土地面积</w:t>
      </w:r>
      <w:r>
        <w:rPr>
          <w:rFonts w:hint="eastAsia" w:ascii="仿宋_GB2312" w:hAnsi="仿宋_GB2312" w:eastAsia="仿宋_GB2312" w:cs="仿宋_GB2312"/>
          <w:sz w:val="32"/>
          <w:szCs w:val="32"/>
          <w:lang w:val="en-US" w:eastAsia="zh-CN"/>
        </w:rPr>
        <w:t>5.2744</w:t>
      </w:r>
      <w:r>
        <w:rPr>
          <w:rFonts w:hint="eastAsia" w:ascii="Times New Roman" w:hAnsi="Times New Roman" w:eastAsia="仿宋_GB2312"/>
          <w:color w:val="000000" w:themeColor="text1"/>
          <w:sz w:val="32"/>
          <w:szCs w:val="32"/>
          <w:lang w:val="en-US" w:eastAsia="zh-CN"/>
          <w14:textFill>
            <w14:solidFill>
              <w14:schemeClr w14:val="tx1"/>
            </w14:solidFill>
          </w14:textFill>
        </w:rPr>
        <w:t>公顷，国有土地面积</w:t>
      </w:r>
      <w:r>
        <w:rPr>
          <w:rFonts w:hint="eastAsia" w:ascii="仿宋_GB2312" w:hAnsi="仿宋_GB2312" w:eastAsia="仿宋_GB2312" w:cs="仿宋_GB2312"/>
          <w:sz w:val="32"/>
          <w:szCs w:val="32"/>
          <w:lang w:val="en-US" w:eastAsia="zh-CN"/>
        </w:rPr>
        <w:t>3.5985</w:t>
      </w:r>
      <w:r>
        <w:rPr>
          <w:rFonts w:hint="eastAsia" w:ascii="Times New Roman" w:hAnsi="Times New Roman" w:eastAsia="仿宋_GB2312"/>
          <w:color w:val="000000" w:themeColor="text1"/>
          <w:sz w:val="32"/>
          <w:szCs w:val="32"/>
          <w:lang w:val="en-US" w:eastAsia="zh-CN"/>
          <w14:textFill>
            <w14:solidFill>
              <w14:schemeClr w14:val="tx1"/>
            </w14:solidFill>
          </w14:textFill>
        </w:rPr>
        <w:t>公顷；涉及</w:t>
      </w:r>
      <w:r>
        <w:rPr>
          <w:rFonts w:hint="eastAsia" w:ascii="Times New Roman" w:hAnsi="Times New Roman" w:eastAsia="仿宋_GB2312"/>
          <w:color w:val="000000" w:themeColor="text1"/>
          <w:sz w:val="32"/>
          <w:szCs w:val="32"/>
          <w14:textFill>
            <w14:solidFill>
              <w14:schemeClr w14:val="tx1"/>
            </w14:solidFill>
          </w14:textFill>
        </w:rPr>
        <w:t>农用地</w:t>
      </w:r>
      <w:r>
        <w:rPr>
          <w:rFonts w:hint="eastAsia" w:ascii="仿宋_GB2312" w:hAnsi="仿宋_GB2312" w:eastAsia="仿宋_GB2312" w:cs="仿宋_GB2312"/>
          <w:sz w:val="32"/>
          <w:szCs w:val="32"/>
          <w:lang w:val="en-US" w:eastAsia="zh-CN"/>
        </w:rPr>
        <w:t>4.8751公顷（耕地4.0641公顷），建设用地3.9974公顷，未利用地0.0004公顷</w:t>
      </w:r>
      <w:r>
        <w:rPr>
          <w:rFonts w:ascii="Times New Roman" w:hAnsi="Times New Roman" w:eastAsia="仿宋_GB2312"/>
          <w:color w:val="000000" w:themeColor="text1"/>
          <w:sz w:val="32"/>
          <w:szCs w:val="32"/>
          <w14:textFill>
            <w14:solidFill>
              <w14:schemeClr w14:val="tx1"/>
            </w14:solidFill>
          </w14:textFill>
        </w:rPr>
        <w:t>。</w:t>
      </w:r>
    </w:p>
    <w:p>
      <w:pPr>
        <w:pStyle w:val="2"/>
        <w:numPr>
          <w:ilvl w:val="0"/>
          <w:numId w:val="0"/>
        </w:numPr>
        <w:spacing w:line="560" w:lineRule="exact"/>
        <w:ind w:firstLine="640" w:firstLineChars="200"/>
        <w:rPr>
          <w:rFonts w:ascii="黑体" w:hAnsi="黑体" w:eastAsia="黑体"/>
          <w:b w:val="0"/>
          <w:szCs w:val="32"/>
        </w:rPr>
      </w:pPr>
      <w:r>
        <w:rPr>
          <w:rFonts w:ascii="黑体" w:hAnsi="黑体" w:eastAsia="黑体"/>
          <w:b w:val="0"/>
          <w:szCs w:val="32"/>
        </w:rPr>
        <w:t xml:space="preserve"> </w:t>
      </w:r>
      <w:r>
        <w:rPr>
          <w:rFonts w:hint="eastAsia" w:ascii="黑体" w:hAnsi="黑体" w:eastAsia="黑体"/>
          <w:b w:val="0"/>
          <w:szCs w:val="32"/>
        </w:rPr>
        <w:t>三、项目的必要性</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i w:val="0"/>
          <w:iCs w:val="0"/>
          <w:caps w:val="0"/>
          <w:color w:val="333333"/>
          <w:spacing w:val="0"/>
          <w:sz w:val="24"/>
          <w:szCs w:val="24"/>
          <w:shd w:val="clear" w:fill="FFFFFF"/>
          <w:lang w:eastAsia="zh-CN"/>
        </w:rPr>
      </w:pPr>
      <w:r>
        <w:rPr>
          <w:rFonts w:hint="eastAsia" w:ascii="Times New Roman" w:hAnsi="Times New Roman" w:eastAsia="仿宋_GB2312"/>
          <w:sz w:val="32"/>
          <w:szCs w:val="32"/>
          <w:highlight w:val="none"/>
        </w:rPr>
        <w:t>片区的建设</w:t>
      </w:r>
      <w:r>
        <w:rPr>
          <w:rFonts w:hint="eastAsia" w:ascii="Times New Roman" w:hAnsi="Times New Roman" w:eastAsia="仿宋_GB2312"/>
          <w:sz w:val="32"/>
          <w:szCs w:val="32"/>
          <w:highlight w:val="none"/>
          <w:lang w:val="en-US" w:eastAsia="zh-CN"/>
        </w:rPr>
        <w:t>有利于充分</w:t>
      </w:r>
      <w:r>
        <w:rPr>
          <w:rFonts w:hint="eastAsia" w:ascii="仿宋_GB2312" w:hAnsi="仿宋_GB2312" w:eastAsia="仿宋_GB2312" w:cs="仿宋_GB2312"/>
          <w:sz w:val="32"/>
          <w:szCs w:val="32"/>
        </w:rPr>
        <w:t>发挥轨道交通对住房布局优化的引导作用，促进</w:t>
      </w:r>
      <w:r>
        <w:rPr>
          <w:rFonts w:hint="eastAsia" w:ascii="仿宋_GB2312" w:hAnsi="仿宋_GB2312" w:eastAsia="仿宋_GB2312" w:cs="仿宋_GB2312"/>
          <w:sz w:val="32"/>
          <w:szCs w:val="32"/>
          <w:lang w:val="en-US" w:eastAsia="zh-CN"/>
        </w:rPr>
        <w:t>鹤上地铁站</w:t>
      </w:r>
      <w:r>
        <w:rPr>
          <w:rFonts w:hint="eastAsia" w:ascii="仿宋_GB2312" w:hAnsi="仿宋_GB2312" w:eastAsia="仿宋_GB2312" w:cs="仿宋_GB2312"/>
          <w:sz w:val="32"/>
          <w:szCs w:val="32"/>
        </w:rPr>
        <w:t>周边区域商业和公共服务设施项目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以产业为保障，以充足的就业岗位、完善的</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配套，</w:t>
      </w:r>
      <w:r>
        <w:rPr>
          <w:rFonts w:hint="eastAsia" w:ascii="仿宋_GB2312" w:hAnsi="仿宋_GB2312" w:eastAsia="仿宋_GB2312" w:cs="仿宋_GB2312"/>
          <w:sz w:val="32"/>
          <w:szCs w:val="32"/>
          <w:lang w:val="en-US" w:eastAsia="zh-CN"/>
        </w:rPr>
        <w:t>有效</w:t>
      </w:r>
      <w:r>
        <w:rPr>
          <w:rFonts w:hint="default"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鹤上镇</w:t>
      </w:r>
      <w:r>
        <w:rPr>
          <w:rFonts w:hint="default" w:ascii="仿宋_GB2312" w:hAnsi="仿宋_GB2312" w:eastAsia="仿宋_GB2312" w:cs="仿宋_GB2312"/>
          <w:sz w:val="32"/>
          <w:szCs w:val="32"/>
        </w:rPr>
        <w:t>职住平衡和产城融合</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highlight w:val="none"/>
          <w:lang w:val="en-US" w:eastAsia="zh-CN"/>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本方案用地总面积</w:t>
      </w:r>
      <w:r>
        <w:rPr>
          <w:rFonts w:hint="eastAsia" w:ascii="仿宋_GB2312" w:hAnsi="仿宋_GB2312" w:eastAsia="仿宋_GB2312" w:cs="仿宋_GB2312"/>
          <w:sz w:val="32"/>
          <w:szCs w:val="32"/>
          <w:highlight w:val="none"/>
          <w:lang w:eastAsia="zh-CN"/>
        </w:rPr>
        <w:t>8.8729</w:t>
      </w:r>
      <w:r>
        <w:rPr>
          <w:rFonts w:hint="eastAsia" w:ascii="仿宋_GB2312" w:hAnsi="仿宋_GB2312" w:eastAsia="仿宋_GB2312" w:cs="仿宋_GB2312"/>
          <w:sz w:val="32"/>
          <w:szCs w:val="32"/>
        </w:rPr>
        <w:t>公顷，以</w:t>
      </w:r>
      <w:r>
        <w:rPr>
          <w:rFonts w:hint="eastAsia" w:ascii="仿宋_GB2312" w:hAnsi="仿宋_GB2312" w:eastAsia="仿宋_GB2312" w:cs="仿宋_GB2312"/>
          <w:sz w:val="32"/>
          <w:szCs w:val="32"/>
          <w:lang w:val="en-US" w:eastAsia="zh-CN"/>
        </w:rPr>
        <w:t>居住用地</w:t>
      </w:r>
      <w:r>
        <w:rPr>
          <w:rFonts w:hint="eastAsia" w:ascii="仿宋_GB2312" w:hAnsi="仿宋_GB2312" w:eastAsia="仿宋_GB2312" w:cs="仿宋_GB2312"/>
          <w:sz w:val="32"/>
          <w:szCs w:val="32"/>
        </w:rPr>
        <w:t>为主。其中</w:t>
      </w:r>
      <w:r>
        <w:rPr>
          <w:rFonts w:hint="eastAsia" w:ascii="仿宋_GB2312" w:hAnsi="仿宋_GB2312" w:eastAsia="仿宋_GB2312" w:cs="仿宋_GB2312"/>
          <w:sz w:val="32"/>
          <w:szCs w:val="32"/>
          <w:lang w:val="en-US" w:eastAsia="zh-CN"/>
        </w:rPr>
        <w:t>居住</w:t>
      </w:r>
      <w:r>
        <w:rPr>
          <w:rFonts w:hint="eastAsia" w:ascii="仿宋_GB2312" w:hAnsi="仿宋_GB2312" w:eastAsia="仿宋_GB2312" w:cs="仿宋_GB2312"/>
          <w:sz w:val="32"/>
          <w:szCs w:val="32"/>
        </w:rPr>
        <w:t>用地3.7515公顷，实现</w:t>
      </w:r>
      <w:r>
        <w:rPr>
          <w:rFonts w:hint="eastAsia" w:ascii="仿宋_GB2312" w:hAnsi="仿宋_GB2312" w:eastAsia="仿宋_GB2312" w:cs="仿宋_GB2312"/>
          <w:sz w:val="32"/>
          <w:szCs w:val="32"/>
          <w:lang w:val="en-US" w:eastAsia="zh-CN"/>
        </w:rPr>
        <w:t>地铁沿线新建居住用地，满足地区职住平衡的功能</w:t>
      </w:r>
      <w:r>
        <w:rPr>
          <w:rFonts w:hint="eastAsia" w:ascii="仿宋_GB2312" w:hAnsi="仿宋_GB2312" w:eastAsia="仿宋_GB2312" w:cs="仿宋_GB2312"/>
          <w:sz w:val="32"/>
          <w:szCs w:val="32"/>
        </w:rPr>
        <w:t>；工矿用地1.2858公顷，实现</w:t>
      </w:r>
      <w:r>
        <w:rPr>
          <w:rFonts w:hint="eastAsia" w:ascii="仿宋_GB2312" w:hAnsi="仿宋_GB2312" w:eastAsia="仿宋_GB2312" w:cs="仿宋_GB2312"/>
          <w:sz w:val="32"/>
          <w:szCs w:val="32"/>
          <w:lang w:val="en-US" w:eastAsia="zh-CN"/>
        </w:rPr>
        <w:t>企业扩建升级，产业集聚提升的</w:t>
      </w:r>
      <w:r>
        <w:rPr>
          <w:rFonts w:hint="eastAsia" w:ascii="仿宋_GB2312" w:hAnsi="仿宋_GB2312" w:eastAsia="仿宋_GB2312" w:cs="仿宋_GB2312"/>
          <w:sz w:val="32"/>
          <w:szCs w:val="32"/>
        </w:rPr>
        <w:t>功能；交通运输用地3.5486公顷，实现</w:t>
      </w:r>
      <w:r>
        <w:rPr>
          <w:rFonts w:hint="eastAsia" w:ascii="仿宋_GB2312" w:hAnsi="仿宋_GB2312" w:eastAsia="仿宋_GB2312" w:cs="仿宋_GB2312"/>
          <w:sz w:val="32"/>
          <w:szCs w:val="32"/>
          <w:lang w:val="en-US" w:eastAsia="zh-CN"/>
        </w:rPr>
        <w:t>规划道路，连接各地块交通，提高出行可达性和交通效率的功能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绿地与开敞空间用地0.287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公顷，实现</w:t>
      </w:r>
      <w:r>
        <w:rPr>
          <w:rFonts w:hint="eastAsia" w:ascii="仿宋_GB2312" w:hAnsi="仿宋_GB2312" w:eastAsia="仿宋_GB2312" w:cs="仿宋_GB2312"/>
          <w:sz w:val="32"/>
          <w:szCs w:val="32"/>
          <w:lang w:val="en-US" w:eastAsia="zh-CN"/>
        </w:rPr>
        <w:t>休憩、集散、景观等</w:t>
      </w:r>
      <w:r>
        <w:rPr>
          <w:rFonts w:hint="eastAsia" w:ascii="仿宋_GB2312" w:hAnsi="仿宋_GB2312" w:eastAsia="仿宋_GB2312" w:cs="仿宋_GB2312"/>
          <w:sz w:val="32"/>
          <w:szCs w:val="32"/>
        </w:rPr>
        <w:t>功能。</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公益性用地包含交通运输用地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绿地与开敞空间用地，合计</w:t>
      </w:r>
      <w:r>
        <w:rPr>
          <w:rFonts w:hint="eastAsia" w:ascii="仿宋_GB2312" w:hAnsi="仿宋_GB2312" w:eastAsia="仿宋_GB2312" w:cs="仿宋_GB2312"/>
          <w:sz w:val="32"/>
          <w:szCs w:val="32"/>
          <w:lang w:val="en-US" w:eastAsia="zh-CN"/>
        </w:rPr>
        <w:t>3.8356</w:t>
      </w:r>
      <w:r>
        <w:rPr>
          <w:rFonts w:hint="eastAsia" w:ascii="仿宋_GB2312" w:hAnsi="仿宋_GB2312" w:eastAsia="仿宋_GB2312" w:cs="仿宋_GB2312"/>
          <w:sz w:val="32"/>
          <w:szCs w:val="32"/>
        </w:rPr>
        <w:t>公顷，占总用地面积的</w:t>
      </w:r>
      <w:r>
        <w:rPr>
          <w:rFonts w:hint="eastAsia" w:ascii="仿宋_GB2312" w:hAnsi="仿宋_GB2312" w:eastAsia="仿宋_GB2312" w:cs="仿宋_GB2312"/>
          <w:sz w:val="32"/>
          <w:szCs w:val="32"/>
          <w:lang w:val="en-US" w:eastAsia="zh-CN"/>
        </w:rPr>
        <w:t>43.23</w:t>
      </w:r>
      <w:r>
        <w:rPr>
          <w:rFonts w:hint="eastAsia" w:ascii="仿宋_GB2312" w:hAnsi="仿宋_GB2312" w:eastAsia="仿宋_GB2312" w:cs="仿宋_GB2312"/>
          <w:sz w:val="32"/>
          <w:szCs w:val="32"/>
        </w:rPr>
        <w:t>%，符合自然资规〔2020〕5号文件规定</w:t>
      </w:r>
      <w:r>
        <w:rPr>
          <w:rFonts w:ascii="Times New Roman" w:hAnsi="Times New Roman"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本方案符合</w:t>
      </w:r>
      <w:r>
        <w:rPr>
          <w:rFonts w:hint="eastAsia" w:ascii="仿宋_GB2312" w:hAnsi="宋体" w:eastAsia="仿宋_GB2312"/>
          <w:sz w:val="32"/>
          <w:szCs w:val="32"/>
          <w:lang w:val="en-US" w:eastAsia="zh-CN"/>
        </w:rPr>
        <w:t>福州市长乐区</w:t>
      </w:r>
      <w:r>
        <w:rPr>
          <w:rFonts w:ascii="仿宋_GB2312" w:hAnsi="宋体" w:eastAsia="仿宋_GB2312"/>
          <w:sz w:val="32"/>
          <w:szCs w:val="32"/>
        </w:rPr>
        <w:t>国民经济和社会发展规划，已纳入</w:t>
      </w:r>
      <w:r>
        <w:rPr>
          <w:rFonts w:hint="eastAsia" w:ascii="仿宋_GB2312" w:hAnsi="宋体" w:eastAsia="仿宋_GB2312"/>
          <w:sz w:val="32"/>
          <w:szCs w:val="32"/>
          <w:lang w:val="en-US" w:eastAsia="zh-CN"/>
        </w:rPr>
        <w:t>福州市长乐区2024年度</w:t>
      </w:r>
      <w:r>
        <w:rPr>
          <w:rFonts w:ascii="仿宋_GB2312" w:hAnsi="宋体" w:eastAsia="仿宋_GB2312"/>
          <w:sz w:val="32"/>
          <w:szCs w:val="32"/>
        </w:rPr>
        <w:t>国民经济和社会发展年度计划。</w:t>
      </w:r>
      <w:r>
        <w:rPr>
          <w:rFonts w:hint="eastAsia" w:ascii="仿宋_GB2312" w:hAnsi="宋体" w:eastAsia="仿宋_GB2312"/>
          <w:sz w:val="32"/>
          <w:szCs w:val="32"/>
          <w:lang w:val="en-US" w:eastAsia="zh-CN"/>
        </w:rPr>
        <w:t>位于城镇开发边界的集中建设区内</w:t>
      </w:r>
      <w:r>
        <w:rPr>
          <w:rFonts w:hint="eastAsia" w:ascii="仿宋_GB2312" w:hAnsi="宋体" w:eastAsia="仿宋_GB2312"/>
          <w:sz w:val="32"/>
          <w:szCs w:val="32"/>
        </w:rPr>
        <w:t>，</w:t>
      </w:r>
      <w:r>
        <w:rPr>
          <w:rFonts w:hint="eastAsia" w:ascii="仿宋_GB2312" w:hAnsi="宋体" w:eastAsia="仿宋_GB2312"/>
          <w:sz w:val="32"/>
          <w:szCs w:val="32"/>
          <w:lang w:val="en-US" w:eastAsia="zh-CN"/>
        </w:rPr>
        <w:t>已纳入正在编制规划期至2035年的国土空间规划及“一张图”，并符合规划管控要求</w:t>
      </w:r>
      <w:r>
        <w:rPr>
          <w:rFonts w:hint="eastAsia" w:ascii="仿宋_GB2312" w:hAnsi="宋体"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成片开发范围内不涉及永久基本农田、陆域生态保护红线等，不涉及历史文化名城、名镇、名村及传统村落，不涉及各级文物保护单位、不可移动文物登记点及已公布历史建筑。符合成片开发项目送审报批的要求。</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60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本方案用地总面积</w:t>
      </w:r>
      <w:r>
        <w:rPr>
          <w:rFonts w:hint="eastAsia" w:ascii="仿宋_GB2312" w:hAnsi="仿宋_GB2312" w:eastAsia="仿宋_GB2312" w:cs="仿宋_GB2312"/>
          <w:sz w:val="32"/>
          <w:szCs w:val="32"/>
          <w:highlight w:val="none"/>
          <w:lang w:eastAsia="zh-CN"/>
        </w:rPr>
        <w:t>8.8729</w:t>
      </w:r>
      <w:r>
        <w:rPr>
          <w:rFonts w:hint="eastAsia" w:ascii="仿宋_GB2312" w:hAnsi="仿宋_GB2312" w:eastAsia="仿宋_GB2312" w:cs="仿宋_GB2312"/>
          <w:sz w:val="32"/>
          <w:szCs w:val="32"/>
        </w:rPr>
        <w:t>公顷，其中涉及已完成实施面积</w:t>
      </w:r>
      <w:r>
        <w:rPr>
          <w:rFonts w:hint="eastAsia" w:ascii="仿宋_GB2312" w:hAnsi="仿宋_GB2312" w:eastAsia="仿宋_GB2312" w:cs="仿宋_GB2312"/>
          <w:sz w:val="32"/>
          <w:szCs w:val="32"/>
          <w:highlight w:val="none"/>
        </w:rPr>
        <w:t>3.5985</w:t>
      </w:r>
      <w:r>
        <w:rPr>
          <w:rFonts w:hint="eastAsia" w:ascii="仿宋_GB2312" w:hAnsi="仿宋_GB2312" w:eastAsia="仿宋_GB2312" w:cs="仿宋_GB2312"/>
          <w:sz w:val="32"/>
          <w:szCs w:val="32"/>
        </w:rPr>
        <w:t>公顷，拟安排实施项目面积</w:t>
      </w:r>
      <w:r>
        <w:rPr>
          <w:rFonts w:hint="eastAsia" w:ascii="仿宋_GB2312" w:hAnsi="仿宋_GB2312" w:eastAsia="仿宋_GB2312" w:cs="仿宋_GB2312"/>
          <w:sz w:val="32"/>
          <w:szCs w:val="32"/>
          <w:highlight w:val="none"/>
        </w:rPr>
        <w:t>5.2744</w:t>
      </w:r>
      <w:r>
        <w:rPr>
          <w:rFonts w:hint="eastAsia" w:ascii="仿宋_GB2312" w:hAnsi="仿宋_GB2312" w:eastAsia="仿宋_GB2312" w:cs="仿宋_GB2312"/>
          <w:sz w:val="32"/>
          <w:szCs w:val="32"/>
        </w:rPr>
        <w:t>公顷，计划实施周期为</w:t>
      </w:r>
      <w:r>
        <w:rPr>
          <w:rFonts w:hint="eastAsia" w:ascii="仿宋_GB2312" w:hAnsi="仿宋_GB2312" w:eastAsia="仿宋_GB2312" w:cs="仿宋_GB2312"/>
          <w:sz w:val="32"/>
          <w:szCs w:val="32"/>
          <w:highlight w:val="none"/>
        </w:rPr>
        <w:t>批复后第一年至第三年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年内实施完毕</w:t>
      </w:r>
      <w:r>
        <w:rPr>
          <w:rFonts w:hint="eastAsia" w:ascii="仿宋_GB2312" w:hAnsi="宋体"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九、效益评估</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shd w:val="clear" w:color="auto" w:fill="auto"/>
        </w:rPr>
      </w:pPr>
      <w:r>
        <w:rPr>
          <w:rFonts w:hint="eastAsia" w:ascii="仿宋_GB2312" w:hAnsi="宋体" w:eastAsia="仿宋_GB2312"/>
          <w:bCs/>
          <w:sz w:val="32"/>
          <w:szCs w:val="32"/>
        </w:rPr>
        <w:t>（一）土地利用效益：</w:t>
      </w:r>
      <w:r>
        <w:rPr>
          <w:rFonts w:hint="eastAsia" w:ascii="仿宋_GB2312" w:hAnsi="仿宋_GB2312" w:eastAsia="仿宋_GB2312" w:cs="仿宋_GB2312"/>
          <w:sz w:val="32"/>
          <w:szCs w:val="32"/>
        </w:rPr>
        <w:t>本方案依据《长乐鹤上镇中心区控制性详细规划》</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《长乐鹤京片区控制性详细规划》合理规划</w:t>
      </w:r>
      <w:r>
        <w:rPr>
          <w:rFonts w:hint="eastAsia" w:ascii="仿宋_GB2312" w:hAnsi="仿宋_GB2312" w:eastAsia="仿宋_GB2312" w:cs="仿宋_GB2312"/>
          <w:sz w:val="32"/>
          <w:szCs w:val="32"/>
          <w:lang w:val="en-US" w:eastAsia="zh-CN"/>
        </w:rPr>
        <w:t>居住用地和</w:t>
      </w:r>
      <w:r>
        <w:rPr>
          <w:rFonts w:hint="eastAsia" w:ascii="仿宋_GB2312" w:hAnsi="仿宋_GB2312" w:eastAsia="仿宋_GB2312" w:cs="仿宋_GB2312"/>
          <w:sz w:val="32"/>
          <w:szCs w:val="32"/>
        </w:rPr>
        <w:t>工业用地，</w:t>
      </w:r>
      <w:r>
        <w:rPr>
          <w:rFonts w:hint="eastAsia" w:ascii="仿宋_GB2312" w:hAnsi="仿宋_GB2312" w:eastAsia="仿宋_GB2312" w:cs="仿宋_GB2312"/>
          <w:color w:val="auto"/>
          <w:sz w:val="32"/>
          <w:szCs w:val="32"/>
          <w:lang w:val="en-US" w:eastAsia="zh-CN"/>
        </w:rPr>
        <w:t>居住用地容积</w:t>
      </w:r>
      <w:r>
        <w:rPr>
          <w:rFonts w:hint="eastAsia" w:ascii="仿宋_GB2312" w:hAnsi="仿宋_GB2312" w:eastAsia="仿宋_GB2312" w:cs="仿宋_GB2312"/>
          <w:color w:val="auto"/>
          <w:sz w:val="32"/>
          <w:szCs w:val="32"/>
          <w:shd w:val="clear" w:color="auto" w:fill="auto"/>
          <w:lang w:val="en-US" w:eastAsia="zh-CN"/>
        </w:rPr>
        <w:t>率不低于1.0。工业用地</w:t>
      </w:r>
      <w:r>
        <w:rPr>
          <w:rFonts w:hint="eastAsia" w:ascii="仿宋_GB2312" w:hAnsi="仿宋_GB2312" w:eastAsia="仿宋_GB2312" w:cs="仿宋_GB2312"/>
          <w:color w:val="auto"/>
          <w:sz w:val="32"/>
          <w:szCs w:val="32"/>
          <w:shd w:val="clear" w:color="auto" w:fill="auto"/>
        </w:rPr>
        <w:t>容积率按照《福建省人民政府关于进一步推进工业用地提质增效促进工业经济高质量发展的通知》（闽政〔2022〕19号）要求，在原省定标准（不含用地容积率1.0以下的行业）的基础上提高10%以上，不低于1.</w:t>
      </w:r>
      <w:r>
        <w:rPr>
          <w:rFonts w:hint="eastAsia" w:ascii="仿宋_GB2312" w:hAnsi="仿宋_GB2312" w:eastAsia="仿宋_GB2312" w:cs="仿宋_GB2312"/>
          <w:color w:val="auto"/>
          <w:sz w:val="32"/>
          <w:szCs w:val="32"/>
          <w:shd w:val="clear" w:color="auto" w:fill="auto"/>
          <w:lang w:val="en-US" w:eastAsia="zh-CN"/>
        </w:rPr>
        <w:t>32</w:t>
      </w:r>
      <w:bookmarkStart w:id="0" w:name="_GoBack"/>
      <w:bookmarkEnd w:id="0"/>
      <w:r>
        <w:rPr>
          <w:rFonts w:hint="eastAsia" w:ascii="仿宋_GB2312" w:hAnsi="仿宋_GB2312" w:eastAsia="仿宋_GB2312" w:cs="仿宋_GB2312"/>
          <w:color w:val="auto"/>
          <w:sz w:val="32"/>
          <w:szCs w:val="32"/>
          <w:shd w:val="clear" w:color="auto" w:fill="auto"/>
        </w:rPr>
        <w:t>。</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w:t>
      </w:r>
      <w:r>
        <w:rPr>
          <w:rFonts w:hint="eastAsia" w:ascii="Times New Roman" w:hAnsi="Times New Roman" w:eastAsia="仿宋_GB2312"/>
          <w:sz w:val="32"/>
          <w:szCs w:val="32"/>
        </w:rPr>
        <w:t>片区拟引进集水产品收购、生产、销售为一体的新型产业化省级龙头企业，片区内项目的建设有利于带动地区</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的发展、吸引人口</w:t>
      </w:r>
      <w:r>
        <w:rPr>
          <w:rFonts w:hint="eastAsia" w:ascii="Times New Roman" w:hAnsi="Times New Roman" w:eastAsia="仿宋_GB2312"/>
          <w:sz w:val="32"/>
          <w:szCs w:val="32"/>
          <w:lang w:val="en-US" w:eastAsia="zh-CN"/>
        </w:rPr>
        <w:t>聚集</w:t>
      </w:r>
      <w:r>
        <w:rPr>
          <w:rFonts w:hint="eastAsia" w:ascii="Times New Roman" w:hAnsi="Times New Roman" w:eastAsia="仿宋_GB2312"/>
          <w:sz w:val="32"/>
          <w:szCs w:val="32"/>
        </w:rPr>
        <w:t>。</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（三）社会效益：本片区规划工业用地</w:t>
      </w:r>
      <w:r>
        <w:rPr>
          <w:rFonts w:hint="eastAsia" w:ascii="仿宋_GB2312" w:hAnsi="仿宋_GB2312" w:eastAsia="仿宋_GB2312" w:cs="仿宋_GB2312"/>
          <w:sz w:val="32"/>
          <w:szCs w:val="32"/>
          <w:lang w:val="en-US" w:eastAsia="zh-CN"/>
        </w:rPr>
        <w:t>1.2858</w:t>
      </w:r>
      <w:r>
        <w:rPr>
          <w:rFonts w:ascii="仿宋_GB2312" w:hAnsi="宋体" w:eastAsia="仿宋_GB2312"/>
          <w:bCs/>
          <w:sz w:val="32"/>
          <w:szCs w:val="32"/>
        </w:rPr>
        <w:t>公顷</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项目</w:t>
      </w:r>
      <w:r>
        <w:rPr>
          <w:rFonts w:hint="eastAsia" w:ascii="仿宋_GB2312" w:hAnsi="宋体" w:eastAsia="仿宋_GB2312"/>
          <w:bCs/>
          <w:sz w:val="32"/>
          <w:szCs w:val="32"/>
        </w:rPr>
        <w:t>建成后，预计可新增就业人口约</w:t>
      </w:r>
      <w:r>
        <w:rPr>
          <w:rFonts w:hint="eastAsia" w:ascii="仿宋_GB2312" w:hAnsi="宋体" w:eastAsia="仿宋_GB2312"/>
          <w:bCs/>
          <w:sz w:val="32"/>
          <w:szCs w:val="32"/>
          <w:lang w:val="en-US" w:eastAsia="zh-CN"/>
        </w:rPr>
        <w:t>400</w:t>
      </w:r>
      <w:r>
        <w:rPr>
          <w:rFonts w:hint="eastAsia" w:ascii="仿宋_GB2312" w:hAnsi="宋体" w:eastAsia="仿宋_GB2312"/>
          <w:bCs/>
          <w:sz w:val="32"/>
          <w:szCs w:val="32"/>
        </w:rPr>
        <w:t>人，有效解决当地就业保障问题，维持社会稳定发展</w:t>
      </w:r>
      <w:r>
        <w:rPr>
          <w:rFonts w:ascii="仿宋_GB2312" w:hAnsi="宋体" w:eastAsia="仿宋_GB2312"/>
          <w:bCs/>
          <w:sz w:val="32"/>
          <w:szCs w:val="32"/>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（四）生态效益：片区内</w:t>
      </w:r>
      <w:r>
        <w:rPr>
          <w:rFonts w:hint="eastAsia" w:ascii="仿宋_GB2312" w:hAnsi="宋体" w:eastAsia="仿宋_GB2312"/>
          <w:bCs/>
          <w:sz w:val="32"/>
          <w:szCs w:val="32"/>
          <w:lang w:val="en-US" w:eastAsia="zh-CN"/>
        </w:rPr>
        <w:t>规划公园绿地</w:t>
      </w:r>
      <w:r>
        <w:rPr>
          <w:rFonts w:hint="eastAsia" w:ascii="仿宋_GB2312" w:hAnsi="仿宋_GB2312" w:eastAsia="仿宋_GB2312" w:cs="仿宋_GB2312"/>
          <w:sz w:val="32"/>
          <w:szCs w:val="32"/>
        </w:rPr>
        <w:t>0.2870</w:t>
      </w:r>
      <w:r>
        <w:rPr>
          <w:rFonts w:hint="eastAsia" w:ascii="仿宋_GB2312" w:hAnsi="宋体" w:eastAsia="仿宋_GB2312"/>
          <w:bCs/>
          <w:sz w:val="32"/>
          <w:szCs w:val="32"/>
          <w:lang w:val="en-US" w:eastAsia="zh-CN"/>
        </w:rPr>
        <w:t>公顷</w:t>
      </w:r>
      <w:r>
        <w:rPr>
          <w:rFonts w:hint="eastAsia" w:ascii="仿宋_GB2312" w:hAnsi="宋体" w:eastAsia="仿宋_GB2312"/>
          <w:bCs/>
          <w:sz w:val="32"/>
          <w:szCs w:val="32"/>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美化</w:t>
      </w:r>
      <w:r>
        <w:rPr>
          <w:rFonts w:hint="eastAsia" w:ascii="仿宋_GB2312" w:hAnsi="仿宋_GB2312" w:eastAsia="仿宋_GB2312" w:cs="仿宋_GB2312"/>
          <w:sz w:val="32"/>
          <w:szCs w:val="32"/>
        </w:rPr>
        <w:t>城市环境等方面能起到一定作用。</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十、结论</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鹤上地铁站北侧片区</w:t>
      </w:r>
      <w:r>
        <w:rPr>
          <w:rFonts w:hint="eastAsia" w:ascii="仿宋_GB2312" w:hAnsi="宋体" w:eastAsia="仿宋_GB2312"/>
          <w:bCs/>
          <w:sz w:val="32"/>
          <w:szCs w:val="32"/>
        </w:rPr>
        <w:t>土地征收成片开发方案》符合土地征收成片开发的标准。</w:t>
      </w:r>
    </w:p>
    <w:p>
      <w:pPr>
        <w:widowControl/>
        <w:spacing w:line="560" w:lineRule="exact"/>
        <w:jc w:val="left"/>
        <w:rPr>
          <w:rFonts w:ascii="仿宋_GB2312" w:hAnsi="宋体" w:eastAsia="仿宋_GB2312"/>
          <w:bCs/>
          <w:sz w:val="32"/>
          <w:szCs w:val="32"/>
        </w:rPr>
        <w:sectPr>
          <w:footerReference r:id="rId3" w:type="default"/>
          <w:pgSz w:w="11906" w:h="16838"/>
          <w:pgMar w:top="1984" w:right="1474" w:bottom="1871" w:left="1587" w:header="851" w:footer="992" w:gutter="0"/>
          <w:pgNumType w:fmt="numberInDash"/>
          <w:cols w:space="425" w:num="1"/>
          <w:docGrid w:type="lines" w:linePitch="312" w:charSpace="0"/>
        </w:sectPr>
      </w:pPr>
      <w:r>
        <w:rPr>
          <w:rFonts w:ascii="仿宋_GB2312" w:hAnsi="宋体" w:eastAsia="仿宋_GB2312"/>
          <w:bCs/>
          <w:sz w:val="32"/>
          <w:szCs w:val="32"/>
        </w:rPr>
        <w:br w:type="page"/>
      </w:r>
    </w:p>
    <w:p>
      <w:pPr>
        <w:widowControl/>
        <w:spacing w:line="560" w:lineRule="exact"/>
        <w:jc w:val="left"/>
        <w:rPr>
          <w:rFonts w:hint="eastAsia" w:ascii="仿宋_GB2312" w:hAnsi="宋体" w:eastAsia="仿宋_GB2312"/>
          <w:bCs/>
          <w:sz w:val="32"/>
          <w:szCs w:val="32"/>
        </w:rPr>
      </w:pP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widowControl/>
        <w:spacing w:line="560" w:lineRule="exact"/>
        <w:jc w:val="left"/>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31115</wp:posOffset>
            </wp:positionV>
            <wp:extent cx="8354695" cy="5906770"/>
            <wp:effectExtent l="0" t="0" r="8255" b="17780"/>
            <wp:wrapNone/>
            <wp:docPr id="2" name="图片 2" descr="K:/4、2023年/02长乐成片开发/02片区/12鹤上地铁站北侧片区（聚泉）/02图件/1.鹤上地铁站北侧片区成片开发位置示意图.jpg1.鹤上地铁站北侧片区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4、2023年/02长乐成片开发/02片区/12鹤上地铁站北侧片区（聚泉）/02图件/1.鹤上地铁站北侧片区成片开发位置示意图.jpg1.鹤上地铁站北侧片区成片开发位置示意图"/>
                    <pic:cNvPicPr>
                      <a:picLocks noChangeAspect="1"/>
                    </pic:cNvPicPr>
                  </pic:nvPicPr>
                  <pic:blipFill>
                    <a:blip r:embed="rId5"/>
                    <a:srcRect l="5" r="5"/>
                    <a:stretch>
                      <a:fillRect/>
                    </a:stretch>
                  </pic:blipFill>
                  <pic:spPr>
                    <a:xfrm>
                      <a:off x="0" y="0"/>
                      <a:ext cx="8354695" cy="5906770"/>
                    </a:xfrm>
                    <a:prstGeom prst="rect">
                      <a:avLst/>
                    </a:prstGeom>
                  </pic:spPr>
                </pic:pic>
              </a:graphicData>
            </a:graphic>
          </wp:anchor>
        </w:drawing>
      </w:r>
    </w:p>
    <w:sectPr>
      <w:pgSz w:w="16838" w:h="11906" w:orient="landscape"/>
      <w:pgMar w:top="1587" w:right="1984" w:bottom="1474"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B28737-A04A-4D01-AA68-14EEC32A93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2" w:fontKey="{FF3D7852-DD22-4129-914D-C497280DD656}"/>
  </w:font>
  <w:font w:name="方正小标宋简体">
    <w:panose1 w:val="03000509000000000000"/>
    <w:charset w:val="86"/>
    <w:family w:val="auto"/>
    <w:pitch w:val="default"/>
    <w:sig w:usb0="00000001" w:usb1="080E0000" w:usb2="00000000" w:usb3="00000000" w:csb0="00040000" w:csb1="00000000"/>
    <w:embedRegular r:id="rId3" w:fontKey="{95179A3A-FE72-4727-856B-1C321B7CEB34}"/>
  </w:font>
  <w:font w:name="仿宋_GB2312">
    <w:panose1 w:val="02010609030101010101"/>
    <w:charset w:val="86"/>
    <w:family w:val="modern"/>
    <w:pitch w:val="default"/>
    <w:sig w:usb0="00000001" w:usb1="080E0000" w:usb2="00000000" w:usb3="00000000" w:csb0="00040000" w:csb1="00000000"/>
    <w:embedRegular r:id="rId4" w:fontKey="{45AE6F9B-6A12-4E72-A529-7AB076792F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NGJkYTQ5OTAyZmJjZTE1YTM2OWQ1MTQ1YjI5ZGUifQ=="/>
  </w:docVars>
  <w:rsids>
    <w:rsidRoot w:val="008206CE"/>
    <w:rsid w:val="0001648C"/>
    <w:rsid w:val="000255E5"/>
    <w:rsid w:val="00092A71"/>
    <w:rsid w:val="000D625A"/>
    <w:rsid w:val="000E1D34"/>
    <w:rsid w:val="001003E4"/>
    <w:rsid w:val="001124C3"/>
    <w:rsid w:val="0017500E"/>
    <w:rsid w:val="00185ADC"/>
    <w:rsid w:val="00192A04"/>
    <w:rsid w:val="001B343A"/>
    <w:rsid w:val="001B3812"/>
    <w:rsid w:val="001E3A33"/>
    <w:rsid w:val="00203CA3"/>
    <w:rsid w:val="00205DAA"/>
    <w:rsid w:val="00281003"/>
    <w:rsid w:val="002900E7"/>
    <w:rsid w:val="002B2A77"/>
    <w:rsid w:val="002C118E"/>
    <w:rsid w:val="002D182C"/>
    <w:rsid w:val="002D63E5"/>
    <w:rsid w:val="002D695C"/>
    <w:rsid w:val="00324166"/>
    <w:rsid w:val="00362ECF"/>
    <w:rsid w:val="00362F0D"/>
    <w:rsid w:val="0039709A"/>
    <w:rsid w:val="003C013F"/>
    <w:rsid w:val="003C1698"/>
    <w:rsid w:val="003D5CCE"/>
    <w:rsid w:val="003D6A6A"/>
    <w:rsid w:val="003F2701"/>
    <w:rsid w:val="00403C96"/>
    <w:rsid w:val="004115CE"/>
    <w:rsid w:val="004222B9"/>
    <w:rsid w:val="0045559D"/>
    <w:rsid w:val="0047022B"/>
    <w:rsid w:val="00483624"/>
    <w:rsid w:val="004B3819"/>
    <w:rsid w:val="004C3CEC"/>
    <w:rsid w:val="004E52D9"/>
    <w:rsid w:val="004F732D"/>
    <w:rsid w:val="004F7B5C"/>
    <w:rsid w:val="00592D1D"/>
    <w:rsid w:val="005A5028"/>
    <w:rsid w:val="005B29D3"/>
    <w:rsid w:val="005C46A5"/>
    <w:rsid w:val="005F2900"/>
    <w:rsid w:val="0062343E"/>
    <w:rsid w:val="006A1E58"/>
    <w:rsid w:val="006C2E13"/>
    <w:rsid w:val="006E058D"/>
    <w:rsid w:val="006E54EA"/>
    <w:rsid w:val="00741F64"/>
    <w:rsid w:val="007B08E7"/>
    <w:rsid w:val="007C1789"/>
    <w:rsid w:val="007C664D"/>
    <w:rsid w:val="007E0469"/>
    <w:rsid w:val="007E5E8F"/>
    <w:rsid w:val="007F5F66"/>
    <w:rsid w:val="0080566A"/>
    <w:rsid w:val="0081107F"/>
    <w:rsid w:val="008206CE"/>
    <w:rsid w:val="00837B0E"/>
    <w:rsid w:val="00840B86"/>
    <w:rsid w:val="00854B1E"/>
    <w:rsid w:val="00875513"/>
    <w:rsid w:val="00876F89"/>
    <w:rsid w:val="008B2064"/>
    <w:rsid w:val="008C2457"/>
    <w:rsid w:val="008D15AD"/>
    <w:rsid w:val="008D681F"/>
    <w:rsid w:val="008E4700"/>
    <w:rsid w:val="00980643"/>
    <w:rsid w:val="009B153D"/>
    <w:rsid w:val="009B4C4F"/>
    <w:rsid w:val="009E7626"/>
    <w:rsid w:val="00A15E5C"/>
    <w:rsid w:val="00A3488C"/>
    <w:rsid w:val="00A70559"/>
    <w:rsid w:val="00AA3880"/>
    <w:rsid w:val="00AA6605"/>
    <w:rsid w:val="00AB0671"/>
    <w:rsid w:val="00AC134A"/>
    <w:rsid w:val="00AE562E"/>
    <w:rsid w:val="00B35D53"/>
    <w:rsid w:val="00B37B2B"/>
    <w:rsid w:val="00B40891"/>
    <w:rsid w:val="00B44426"/>
    <w:rsid w:val="00B4767A"/>
    <w:rsid w:val="00BC26AC"/>
    <w:rsid w:val="00BC391E"/>
    <w:rsid w:val="00BD514B"/>
    <w:rsid w:val="00BE3644"/>
    <w:rsid w:val="00C153D0"/>
    <w:rsid w:val="00C220EA"/>
    <w:rsid w:val="00C24E90"/>
    <w:rsid w:val="00C8022C"/>
    <w:rsid w:val="00C91473"/>
    <w:rsid w:val="00C968E3"/>
    <w:rsid w:val="00CC6411"/>
    <w:rsid w:val="00CD02E1"/>
    <w:rsid w:val="00CF55B1"/>
    <w:rsid w:val="00D32A4E"/>
    <w:rsid w:val="00D42F39"/>
    <w:rsid w:val="00D83EC3"/>
    <w:rsid w:val="00D87007"/>
    <w:rsid w:val="00D936B6"/>
    <w:rsid w:val="00DA1BA1"/>
    <w:rsid w:val="00DC7F6D"/>
    <w:rsid w:val="00E01AF7"/>
    <w:rsid w:val="00E64310"/>
    <w:rsid w:val="00E814F1"/>
    <w:rsid w:val="00E95CDA"/>
    <w:rsid w:val="00EA4C8A"/>
    <w:rsid w:val="00EA51D6"/>
    <w:rsid w:val="00EA7E2C"/>
    <w:rsid w:val="00EB0C74"/>
    <w:rsid w:val="00F14B00"/>
    <w:rsid w:val="00F57216"/>
    <w:rsid w:val="00F72FDB"/>
    <w:rsid w:val="00F744E6"/>
    <w:rsid w:val="00F76A8F"/>
    <w:rsid w:val="00F86FAC"/>
    <w:rsid w:val="00FB42D5"/>
    <w:rsid w:val="00FE4166"/>
    <w:rsid w:val="013D72DA"/>
    <w:rsid w:val="03F71FF4"/>
    <w:rsid w:val="055C30DB"/>
    <w:rsid w:val="06E447B4"/>
    <w:rsid w:val="0903562B"/>
    <w:rsid w:val="09F83B1B"/>
    <w:rsid w:val="0A9D62A2"/>
    <w:rsid w:val="0D0E136C"/>
    <w:rsid w:val="0DCB24AA"/>
    <w:rsid w:val="0FC45556"/>
    <w:rsid w:val="128946D9"/>
    <w:rsid w:val="13470C11"/>
    <w:rsid w:val="157E3EF9"/>
    <w:rsid w:val="17116C5C"/>
    <w:rsid w:val="171E05BA"/>
    <w:rsid w:val="18BA49DA"/>
    <w:rsid w:val="1C0A5EC2"/>
    <w:rsid w:val="1CF46698"/>
    <w:rsid w:val="1E232195"/>
    <w:rsid w:val="1F840D10"/>
    <w:rsid w:val="20C703C4"/>
    <w:rsid w:val="24322CB0"/>
    <w:rsid w:val="26693331"/>
    <w:rsid w:val="27A80F84"/>
    <w:rsid w:val="2A6E4CCB"/>
    <w:rsid w:val="2AD14BC8"/>
    <w:rsid w:val="2AFD6687"/>
    <w:rsid w:val="2B8C58CB"/>
    <w:rsid w:val="2D7C1CBC"/>
    <w:rsid w:val="2F552DE2"/>
    <w:rsid w:val="307F5335"/>
    <w:rsid w:val="33BC433A"/>
    <w:rsid w:val="34AB3A79"/>
    <w:rsid w:val="354237EC"/>
    <w:rsid w:val="375B04FF"/>
    <w:rsid w:val="39894AE1"/>
    <w:rsid w:val="3C6D75A1"/>
    <w:rsid w:val="3D195E9A"/>
    <w:rsid w:val="3D6A4E53"/>
    <w:rsid w:val="3EA72992"/>
    <w:rsid w:val="43AE6A0F"/>
    <w:rsid w:val="4BC77528"/>
    <w:rsid w:val="4C0C7897"/>
    <w:rsid w:val="4E267909"/>
    <w:rsid w:val="4EFE6EAA"/>
    <w:rsid w:val="4F292AC6"/>
    <w:rsid w:val="4FC7696F"/>
    <w:rsid w:val="54D700A3"/>
    <w:rsid w:val="5DBB1B81"/>
    <w:rsid w:val="60002BE9"/>
    <w:rsid w:val="6497128F"/>
    <w:rsid w:val="65A5070E"/>
    <w:rsid w:val="682956B5"/>
    <w:rsid w:val="684D1CB0"/>
    <w:rsid w:val="6C2E7063"/>
    <w:rsid w:val="6C7E5805"/>
    <w:rsid w:val="758301C4"/>
    <w:rsid w:val="78D44089"/>
    <w:rsid w:val="79C17DB5"/>
    <w:rsid w:val="7AE865FB"/>
    <w:rsid w:val="7B93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rFonts w:eastAsia="微软雅黑"/>
      <w:b/>
      <w:bCs/>
      <w:kern w:val="44"/>
      <w:sz w:val="32"/>
      <w:szCs w:val="44"/>
    </w:rPr>
  </w:style>
  <w:style w:type="character" w:customStyle="1" w:styleId="14">
    <w:name w:val="页脚 字符"/>
    <w:basedOn w:val="11"/>
    <w:link w:val="5"/>
    <w:qFormat/>
    <w:uiPriority w:val="99"/>
    <w:rPr>
      <w:sz w:val="18"/>
      <w:szCs w:val="18"/>
    </w:rPr>
  </w:style>
  <w:style w:type="character" w:customStyle="1" w:styleId="15">
    <w:name w:val="页眉 字符"/>
    <w:basedOn w:val="11"/>
    <w:link w:val="6"/>
    <w:qFormat/>
    <w:uiPriority w:val="99"/>
    <w:rPr>
      <w:sz w:val="18"/>
      <w:szCs w:val="18"/>
    </w:rPr>
  </w:style>
  <w:style w:type="character" w:customStyle="1" w:styleId="16">
    <w:name w:val="批注文字 字符"/>
    <w:basedOn w:val="11"/>
    <w:link w:val="3"/>
    <w:semiHidden/>
    <w:qFormat/>
    <w:uiPriority w:val="99"/>
    <w:rPr>
      <w:kern w:val="2"/>
      <w:sz w:val="21"/>
      <w:szCs w:val="22"/>
    </w:rPr>
  </w:style>
  <w:style w:type="character" w:customStyle="1" w:styleId="17">
    <w:name w:val="批注主题 字符"/>
    <w:basedOn w:val="16"/>
    <w:link w:val="8"/>
    <w:semiHidden/>
    <w:qFormat/>
    <w:uiPriority w:val="99"/>
    <w:rPr>
      <w:b/>
      <w:bCs/>
      <w:kern w:val="2"/>
      <w:sz w:val="21"/>
      <w:szCs w:val="22"/>
    </w:rPr>
  </w:style>
  <w:style w:type="character" w:customStyle="1" w:styleId="18">
    <w:name w:val="批注框文本 字符"/>
    <w:basedOn w:val="11"/>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9742E-6F1C-4A4F-B01D-4AECC0EDDD94}">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1464</Words>
  <Characters>1600</Characters>
  <Lines>1</Lines>
  <Paragraphs>3</Paragraphs>
  <TotalTime>97</TotalTime>
  <ScaleCrop>false</ScaleCrop>
  <LinksUpToDate>false</LinksUpToDate>
  <CharactersWithSpaces>1601</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2022-10-09T08:38:00Z</dcterms:created>
  <dc:creator>刘龙华</dc:creator>
  <cp:lastModifiedBy>檀林倩</cp:lastModifiedBy>
  <cp:lastPrinted>2024-01-02T07:57:19Z</cp:lastPrinted>
  <dcterms:modified xsi:type="dcterms:W3CDTF">2024-01-02T08:39:51Z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ICV">
    <vt:lpwstr>6F77DEB2D51349089D7FE569B49C81ED</vt:lpwstr>
  </property>
</Properties>
</file>