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1E" w:rsidRDefault="00256894">
      <w:pPr>
        <w:spacing w:line="560" w:lineRule="exact"/>
        <w:jc w:val="left"/>
        <w:rPr>
          <w:rFonts w:ascii="黑体" w:eastAsia="黑体" w:hAnsi="黑体" w:cs="黑体"/>
          <w:sz w:val="32"/>
          <w:szCs w:val="32"/>
        </w:rPr>
      </w:pPr>
      <w:r>
        <w:rPr>
          <w:rFonts w:ascii="仿宋_GB2312" w:eastAsia="仿宋_GB2312" w:hAnsi="仿宋_GB2312" w:cs="仿宋_GB2312" w:hint="eastAsia"/>
          <w:b/>
          <w:bCs/>
          <w:sz w:val="32"/>
          <w:szCs w:val="32"/>
        </w:rPr>
        <w:t>附件：</w:t>
      </w:r>
    </w:p>
    <w:p w:rsidR="00CD771E" w:rsidRDefault="00CD771E">
      <w:pPr>
        <w:spacing w:line="560" w:lineRule="exact"/>
        <w:jc w:val="left"/>
        <w:rPr>
          <w:rFonts w:ascii="方正小标宋简体" w:eastAsia="方正小标宋简体" w:hAnsi="微软雅黑"/>
          <w:sz w:val="44"/>
          <w:szCs w:val="44"/>
        </w:rPr>
      </w:pPr>
    </w:p>
    <w:p w:rsidR="00CD771E" w:rsidRDefault="00256894">
      <w:pPr>
        <w:spacing w:line="56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首</w:t>
      </w:r>
      <w:proofErr w:type="gramStart"/>
      <w:r>
        <w:rPr>
          <w:rFonts w:ascii="方正小标宋简体" w:eastAsia="方正小标宋简体" w:hAnsi="微软雅黑" w:hint="eastAsia"/>
          <w:sz w:val="44"/>
          <w:szCs w:val="44"/>
        </w:rPr>
        <w:t>祉</w:t>
      </w:r>
      <w:proofErr w:type="gramEnd"/>
      <w:r>
        <w:rPr>
          <w:rFonts w:ascii="方正小标宋简体" w:eastAsia="方正小标宋简体" w:hAnsi="微软雅黑" w:hint="eastAsia"/>
          <w:sz w:val="44"/>
          <w:szCs w:val="44"/>
        </w:rPr>
        <w:t>村西南部片区土地征收成片开发</w:t>
      </w:r>
      <w:r>
        <w:rPr>
          <w:rFonts w:ascii="方正小标宋简体" w:eastAsia="方正小标宋简体" w:hAnsi="微软雅黑"/>
          <w:sz w:val="44"/>
          <w:szCs w:val="44"/>
        </w:rPr>
        <w:t>方案</w:t>
      </w:r>
    </w:p>
    <w:p w:rsidR="00CD771E" w:rsidRDefault="00256894">
      <w:pPr>
        <w:spacing w:line="56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（征求意见稿）</w:t>
      </w:r>
    </w:p>
    <w:p w:rsidR="00CD771E" w:rsidRDefault="00CD771E">
      <w:pPr>
        <w:spacing w:line="560" w:lineRule="exact"/>
        <w:jc w:val="center"/>
        <w:rPr>
          <w:rFonts w:ascii="方正小标宋简体" w:eastAsia="方正小标宋简体" w:hAnsi="微软雅黑"/>
          <w:sz w:val="44"/>
          <w:szCs w:val="44"/>
        </w:rPr>
      </w:pP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一、编制依据</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依据《中华人民共和国土地管理法》（2019年修正版）、《自然资源部关于印发&lt;土地征收成片开发标准（试行）&gt;的通知》（自然资规〔2020〕5号）、</w:t>
      </w:r>
      <w:bookmarkStart w:id="0" w:name="_Hlk62547865"/>
      <w:r>
        <w:rPr>
          <w:rFonts w:ascii="仿宋_GB2312" w:eastAsia="仿宋_GB2312" w:hAnsi="仿宋_GB2312" w:cs="仿宋_GB2312" w:hint="eastAsia"/>
          <w:sz w:val="32"/>
          <w:szCs w:val="32"/>
        </w:rPr>
        <w:t>《福建省自然资源厅关于印发〈福建省土地征收成片开发方案报批实施细则（试行）〉的通知》（闽自然资发〔2021〕3号）、《自然资源部办公厅关于印发〈国土空间调查、规划、用途管制用地用海分类指南（试行）〉》（自然资办发〔2020〕51号）、</w:t>
      </w:r>
      <w:bookmarkEnd w:id="0"/>
      <w:r>
        <w:rPr>
          <w:rFonts w:ascii="仿宋_GB2312" w:eastAsia="仿宋_GB2312" w:hAnsi="仿宋_GB2312" w:cs="仿宋_GB2312" w:hint="eastAsia"/>
          <w:sz w:val="32"/>
          <w:szCs w:val="32"/>
        </w:rPr>
        <w:t>《福建省自然资源厅关于印发〈福建省土地征收成片开发方案报批实施细则（试行）〉的通知》（闽自然资发〔2021〕3号）、《福建省土地征收成片开发方案编制参考指南(试行)》（闽自然资发〔2021〕6号）编制《首祉村西南部片区土地征收成片开发方案》。</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二、基本情况</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本片区位于福州滨海新城范围内，具体范围为：</w:t>
      </w:r>
      <w:r w:rsidR="00AA5BAD">
        <w:rPr>
          <w:rFonts w:ascii="仿宋_GB2312" w:eastAsia="仿宋_GB2312" w:hAnsi="仿宋_GB2312" w:cs="仿宋_GB2312" w:hint="eastAsia"/>
          <w:sz w:val="32"/>
          <w:szCs w:val="32"/>
        </w:rPr>
        <w:t>东至国道G228</w:t>
      </w:r>
      <w:r w:rsidR="00120FCD">
        <w:rPr>
          <w:rFonts w:ascii="仿宋_GB2312" w:eastAsia="仿宋_GB2312" w:hAnsi="仿宋_GB2312" w:cs="仿宋_GB2312" w:hint="eastAsia"/>
          <w:sz w:val="32"/>
          <w:szCs w:val="32"/>
        </w:rPr>
        <w:t>、</w:t>
      </w:r>
      <w:r w:rsidR="00E85CF0">
        <w:rPr>
          <w:rFonts w:ascii="仿宋_GB2312" w:eastAsia="仿宋_GB2312" w:hAnsi="仿宋_GB2312" w:cs="仿宋_GB2312" w:hint="eastAsia"/>
          <w:sz w:val="32"/>
          <w:szCs w:val="32"/>
        </w:rPr>
        <w:t>西至西皋水库、南至</w:t>
      </w:r>
      <w:r w:rsidR="00E04593">
        <w:rPr>
          <w:rFonts w:ascii="仿宋_GB2312" w:eastAsia="仿宋_GB2312" w:hAnsi="仿宋_GB2312" w:cs="仿宋_GB2312" w:hint="eastAsia"/>
          <w:sz w:val="32"/>
          <w:szCs w:val="32"/>
        </w:rPr>
        <w:t>首祉溪</w:t>
      </w:r>
      <w:bookmarkStart w:id="1" w:name="_GoBack"/>
      <w:bookmarkEnd w:id="1"/>
      <w:r w:rsidR="00E85CF0">
        <w:rPr>
          <w:rFonts w:ascii="仿宋_GB2312" w:eastAsia="仿宋_GB2312" w:hAnsi="仿宋_GB2312" w:cs="仿宋_GB2312" w:hint="eastAsia"/>
          <w:sz w:val="32"/>
          <w:szCs w:val="32"/>
        </w:rPr>
        <w:t>、北至龟山</w:t>
      </w:r>
      <w:r>
        <w:rPr>
          <w:rFonts w:ascii="仿宋_GB2312" w:eastAsia="仿宋_GB2312" w:hAnsi="仿宋_GB2312" w:cs="仿宋_GB2312" w:hint="eastAsia"/>
          <w:sz w:val="32"/>
          <w:szCs w:val="32"/>
        </w:rPr>
        <w:t>。本方案涉及长乐区松下镇的首</w:t>
      </w:r>
      <w:proofErr w:type="gramStart"/>
      <w:r>
        <w:rPr>
          <w:rFonts w:ascii="仿宋_GB2312" w:eastAsia="仿宋_GB2312" w:hAnsi="仿宋_GB2312" w:cs="仿宋_GB2312" w:hint="eastAsia"/>
          <w:sz w:val="32"/>
          <w:szCs w:val="32"/>
        </w:rPr>
        <w:t>祉</w:t>
      </w:r>
      <w:proofErr w:type="gramEnd"/>
      <w:r>
        <w:rPr>
          <w:rFonts w:ascii="仿宋_GB2312" w:eastAsia="仿宋_GB2312" w:hAnsi="仿宋_GB2312" w:cs="仿宋_GB2312" w:hint="eastAsia"/>
          <w:sz w:val="32"/>
          <w:szCs w:val="32"/>
        </w:rPr>
        <w:t>村，共1个镇1个村，及4个国有单位，不涉及</w:t>
      </w:r>
      <w:r>
        <w:rPr>
          <w:rFonts w:ascii="仿宋_GB2312" w:eastAsia="仿宋_GB2312" w:hAnsi="仿宋_GB2312" w:cs="仿宋_GB2312" w:hint="eastAsia"/>
          <w:sz w:val="32"/>
          <w:szCs w:val="32"/>
        </w:rPr>
        <w:lastRenderedPageBreak/>
        <w:t>省级和国家级开发区。</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根据实地勘测调查，本方案成片开发范围总面积9.2284公顷，涉及集体土地总面积3.9993公顷，国有土地总面积5.2291公顷。其中：农用地3.6491公顷（耕地2.3984公顷），建设用地5.2595公顷，未利用地0.3198公顷。</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三、项目的必要性</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片区的开发是推动福州新区临港经济产业片区建设的需要。本片区以发展工业用地为主，符合《福州市滨海工业区（松下组团）产业发展规划（征求意见稿）》，有利于实现滨海工业区产业发展目标，是促进滨海工业区（松下组团）产业集聚发展、提升产业规模的需要，有利于进一步打造出市场竞争力强、吸纳就业多、税收贡献大的支柱产业。</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四、规划土地用途分析</w:t>
      </w:r>
    </w:p>
    <w:p w:rsidR="00CD771E" w:rsidRDefault="00256894">
      <w:pPr>
        <w:ind w:firstLineChars="200" w:firstLine="640"/>
        <w:rPr>
          <w:rFonts w:ascii="Times New Roman" w:eastAsia="仿宋_GB2312" w:hAnsi="Times New Roman"/>
          <w:color w:val="000000" w:themeColor="text1"/>
          <w:sz w:val="32"/>
          <w:szCs w:val="32"/>
        </w:rPr>
      </w:pPr>
      <w:r>
        <w:rPr>
          <w:rFonts w:ascii="仿宋_GB2312" w:eastAsia="仿宋_GB2312" w:hAnsi="仿宋_GB2312" w:cs="仿宋_GB2312" w:hint="eastAsia"/>
          <w:sz w:val="32"/>
          <w:szCs w:val="32"/>
        </w:rPr>
        <w:t>本方案用地总面积9.2284公顷，主要用途为工业用地。其中工业用地4.8189公顷，实现钢铁加工制造功能；绿地与开敞空间用地2.6649公顷，实现休闲游憩、改善环境功能；陆地水域1.7158公顷，实现泄洪排涝功能；交通运输用地0.0288公顷，实现交通运输和通行、提升周边用地可达性功能。</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五、公益性用地</w:t>
      </w:r>
      <w:r>
        <w:rPr>
          <w:rFonts w:ascii="黑体" w:eastAsia="黑体" w:hAnsi="黑体"/>
          <w:b w:val="0"/>
          <w:szCs w:val="32"/>
        </w:rPr>
        <w:t>情况</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公益性用地包含交通运输用地用途、绿地与开敞空间用地、</w:t>
      </w:r>
      <w:r>
        <w:rPr>
          <w:rFonts w:ascii="仿宋_GB2312" w:eastAsia="仿宋_GB2312" w:hAnsi="仿宋_GB2312" w:cs="仿宋_GB2312" w:hint="eastAsia"/>
          <w:sz w:val="32"/>
          <w:szCs w:val="32"/>
        </w:rPr>
        <w:lastRenderedPageBreak/>
        <w:t>陆地水域用途等，合计4.4095公顷，占总用地面积的47.78%，符合自然资</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〔2020〕5号文件规定。</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六</w:t>
      </w:r>
      <w:r>
        <w:rPr>
          <w:rFonts w:ascii="黑体" w:eastAsia="黑体" w:hAnsi="黑体"/>
          <w:b w:val="0"/>
          <w:szCs w:val="32"/>
        </w:rPr>
        <w:t>、规划符合情况</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土地征收成片开发方案符合国民经济和社会发展规划、城乡规划、专项规划，已纳入长乐区2023年国民经济和社会发展年度计划；位于城镇开发边界的集中建设区内，福州市长乐区人民政府已将成片开发方案纳入正在编制规划期至2035年的国土空间规划及“一张图”。</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七</w:t>
      </w:r>
      <w:r>
        <w:rPr>
          <w:rFonts w:ascii="黑体" w:eastAsia="黑体" w:hAnsi="黑体"/>
          <w:b w:val="0"/>
          <w:szCs w:val="32"/>
        </w:rPr>
        <w:t>、</w:t>
      </w:r>
      <w:r>
        <w:rPr>
          <w:rFonts w:ascii="黑体" w:eastAsia="黑体" w:hAnsi="黑体" w:hint="eastAsia"/>
          <w:b w:val="0"/>
          <w:szCs w:val="32"/>
        </w:rPr>
        <w:t>永久基本农田及生态保护情况</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土地征收成片开发方案不涉及永久基本农田、生态保护红线、各类饮用水水源保护区等敏感区域及其他法律法规规定不允许占用或开发的；不涉及历史文化名城、名镇、名村及传统村落，不涉及各级文物保护单位、不可移动文物登记点及已公布历史建筑。符合成片开发项目送审报批的要求。</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八</w:t>
      </w:r>
      <w:r>
        <w:rPr>
          <w:rFonts w:ascii="黑体" w:eastAsia="黑体" w:hAnsi="黑体"/>
          <w:b w:val="0"/>
          <w:szCs w:val="32"/>
        </w:rPr>
        <w:t>、</w:t>
      </w:r>
      <w:r>
        <w:rPr>
          <w:rFonts w:ascii="黑体" w:eastAsia="黑体" w:hAnsi="黑体" w:hint="eastAsia"/>
          <w:b w:val="0"/>
          <w:szCs w:val="32"/>
        </w:rPr>
        <w:t>实施计划</w:t>
      </w:r>
    </w:p>
    <w:p w:rsidR="00CD771E" w:rsidRDefault="00256894">
      <w:pPr>
        <w:spacing w:line="560" w:lineRule="exact"/>
        <w:ind w:firstLineChars="200" w:firstLine="640"/>
        <w:rPr>
          <w:rFonts w:ascii="仿宋_GB2312" w:eastAsia="仿宋_GB2312" w:hAnsi="宋体"/>
          <w:sz w:val="32"/>
          <w:szCs w:val="32"/>
        </w:rPr>
      </w:pPr>
      <w:r>
        <w:rPr>
          <w:rFonts w:ascii="仿宋_GB2312" w:eastAsia="仿宋_GB2312" w:hAnsi="仿宋_GB2312" w:cs="仿宋_GB2312" w:hint="eastAsia"/>
          <w:sz w:val="32"/>
          <w:szCs w:val="32"/>
        </w:rPr>
        <w:t>本方案计划实施周期为批复后3年。</w:t>
      </w:r>
    </w:p>
    <w:p w:rsidR="00CD771E" w:rsidRDefault="00256894">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九、效益评估</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利用效益：本片区的建设可以在空间上连续、大面积、系统性地供给城镇生产、生活的各类服务功能，充分发挥片区的集聚效益。通过严格落实工业用地招标拍卖挂牌出让制度、强化用地管理等措施，提高滨海新城土地节约集约利用水平，实</w:t>
      </w:r>
      <w:r>
        <w:rPr>
          <w:rFonts w:ascii="仿宋_GB2312" w:eastAsia="仿宋_GB2312" w:hAnsi="仿宋_GB2312" w:cs="仿宋_GB2312" w:hint="eastAsia"/>
          <w:sz w:val="32"/>
          <w:szCs w:val="32"/>
        </w:rPr>
        <w:lastRenderedPageBreak/>
        <w:t>现土地利用由粗放型向集约型转变。</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（二）经济效益：</w:t>
      </w:r>
      <w:r w:rsidR="000A103F" w:rsidRPr="000A103F">
        <w:rPr>
          <w:rFonts w:ascii="仿宋_GB2312" w:eastAsia="仿宋_GB2312" w:hAnsi="仿宋_GB2312" w:cs="仿宋_GB2312" w:hint="eastAsia"/>
          <w:sz w:val="32"/>
          <w:szCs w:val="32"/>
        </w:rPr>
        <w:t>片区内以发展制造业为主，片区周边工业用地大部分已获批，片区的开发将促进滨海工业区（松下组团）</w:t>
      </w:r>
      <w:r w:rsidR="000A103F">
        <w:rPr>
          <w:rFonts w:ascii="仿宋_GB2312" w:eastAsia="仿宋_GB2312" w:hAnsi="仿宋_GB2312" w:cs="仿宋_GB2312" w:hint="eastAsia"/>
          <w:sz w:val="32"/>
          <w:szCs w:val="32"/>
        </w:rPr>
        <w:t>产业产业集中连片发展，提高滨海工业区（松下组团）产业的规模效益</w:t>
      </w:r>
      <w:r>
        <w:rPr>
          <w:rFonts w:ascii="仿宋_GB2312" w:eastAsia="仿宋_GB2312" w:hAnsi="仿宋_GB2312" w:cs="仿宋_GB2312" w:hint="eastAsia"/>
          <w:sz w:val="32"/>
          <w:szCs w:val="32"/>
        </w:rPr>
        <w:t>。</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（三）社会效益：本片区内的钢铁产业发展将间接带动当地居民的人均可支配收入提升，带动当地消费水平，对扩大内需、促进经济社会良性发展起到积极作用。</w:t>
      </w:r>
    </w:p>
    <w:p w:rsidR="00CD771E" w:rsidRDefault="00256894">
      <w:pPr>
        <w:ind w:firstLineChars="200" w:firstLine="640"/>
        <w:rPr>
          <w:rFonts w:ascii="仿宋_GB2312" w:eastAsia="仿宋_GB2312" w:hAnsi="宋体"/>
          <w:bCs/>
          <w:sz w:val="32"/>
          <w:szCs w:val="32"/>
        </w:rPr>
      </w:pPr>
      <w:r>
        <w:rPr>
          <w:rFonts w:ascii="仿宋_GB2312" w:eastAsia="仿宋_GB2312" w:hAnsi="仿宋_GB2312" w:cs="仿宋_GB2312" w:hint="eastAsia"/>
          <w:sz w:val="32"/>
          <w:szCs w:val="32"/>
        </w:rPr>
        <w:t>（四）生态效益：本片区规划生态绿化用地在改善城市环境、减少降低噪音等方面能起到一定作用。</w:t>
      </w:r>
    </w:p>
    <w:p w:rsidR="00CD771E" w:rsidRDefault="004E58C3">
      <w:pPr>
        <w:pStyle w:val="1"/>
        <w:numPr>
          <w:ilvl w:val="0"/>
          <w:numId w:val="0"/>
        </w:numPr>
        <w:spacing w:line="560" w:lineRule="exact"/>
        <w:ind w:firstLineChars="200" w:firstLine="640"/>
        <w:rPr>
          <w:rFonts w:ascii="黑体" w:eastAsia="黑体" w:hAnsi="黑体"/>
          <w:b w:val="0"/>
          <w:szCs w:val="32"/>
        </w:rPr>
      </w:pPr>
      <w:r>
        <w:rPr>
          <w:rFonts w:ascii="黑体" w:eastAsia="黑体" w:hAnsi="黑体" w:hint="eastAsia"/>
          <w:b w:val="0"/>
          <w:szCs w:val="32"/>
        </w:rPr>
        <w:t>十</w:t>
      </w:r>
      <w:r w:rsidR="00256894">
        <w:rPr>
          <w:rFonts w:ascii="黑体" w:eastAsia="黑体" w:hAnsi="黑体" w:hint="eastAsia"/>
          <w:b w:val="0"/>
          <w:szCs w:val="32"/>
        </w:rPr>
        <w:t>、结论</w:t>
      </w:r>
    </w:p>
    <w:p w:rsidR="00CD771E" w:rsidRDefault="00256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本土地征收成片开发方案符合国民经济和社会发展规划、专项规划和国土空间规划，已纳入福州市长乐区2023年度国民经济和社会发展年度计划，</w:t>
      </w:r>
      <w:proofErr w:type="gramStart"/>
      <w:r>
        <w:rPr>
          <w:rFonts w:ascii="仿宋_GB2312" w:eastAsia="仿宋_GB2312" w:hAnsi="仿宋_GB2312" w:cs="仿宋_GB2312" w:hint="eastAsia"/>
          <w:sz w:val="32"/>
          <w:szCs w:val="32"/>
        </w:rPr>
        <w:t>符合部</w:t>
      </w:r>
      <w:proofErr w:type="gramEnd"/>
      <w:r>
        <w:rPr>
          <w:rFonts w:ascii="仿宋_GB2312" w:eastAsia="仿宋_GB2312" w:hAnsi="仿宋_GB2312" w:cs="仿宋_GB2312" w:hint="eastAsia"/>
          <w:sz w:val="32"/>
          <w:szCs w:val="32"/>
        </w:rPr>
        <w:t>省规定的标准，做到了保护耕地、维护农民合法权益、节约集约用地、保护生态环境，能够促进经济社会可持续发展。</w:t>
      </w:r>
    </w:p>
    <w:p w:rsidR="00CD771E" w:rsidRDefault="00256894">
      <w:pPr>
        <w:widowControl/>
        <w:spacing w:line="560" w:lineRule="exact"/>
        <w:jc w:val="left"/>
        <w:rPr>
          <w:rFonts w:ascii="仿宋_GB2312" w:eastAsia="仿宋_GB2312" w:hAnsi="宋体"/>
          <w:bCs/>
          <w:sz w:val="32"/>
          <w:szCs w:val="32"/>
        </w:rPr>
      </w:pPr>
      <w:r>
        <w:rPr>
          <w:rFonts w:ascii="仿宋_GB2312" w:eastAsia="仿宋_GB2312" w:hAnsi="宋体"/>
          <w:bCs/>
          <w:sz w:val="32"/>
          <w:szCs w:val="32"/>
        </w:rPr>
        <w:br w:type="page"/>
      </w:r>
      <w:r>
        <w:rPr>
          <w:rFonts w:ascii="黑体" w:eastAsia="黑体" w:hAnsi="黑体" w:cs="仿宋_GB2312"/>
          <w:b/>
          <w:bCs/>
          <w:noProof/>
          <w:kern w:val="0"/>
          <w:sz w:val="32"/>
          <w:szCs w:val="32"/>
        </w:rPr>
        <w:lastRenderedPageBreak/>
        <w:drawing>
          <wp:anchor distT="0" distB="0" distL="0" distR="0" simplePos="0" relativeHeight="251659264" behindDoc="0" locked="0" layoutInCell="1" allowOverlap="1">
            <wp:simplePos x="0" y="0"/>
            <wp:positionH relativeFrom="column">
              <wp:posOffset>17145</wp:posOffset>
            </wp:positionH>
            <wp:positionV relativeFrom="paragraph">
              <wp:posOffset>485775</wp:posOffset>
            </wp:positionV>
            <wp:extent cx="5326380" cy="7524750"/>
            <wp:effectExtent l="0" t="0" r="7620" b="0"/>
            <wp:wrapTopAndBottom/>
            <wp:docPr id="2" name="图片 2" descr="C:\Users\lan_sq.FPDRI\AppData\Local\Microsoft\Windows\INetCache\Content.Word\成片开发位置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an_sq.FPDRI\AppData\Local\Microsoft\Windows\INetCache\Content.Word\成片开发位置示意图.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26380" cy="7524750"/>
                    </a:xfrm>
                    <a:prstGeom prst="rect">
                      <a:avLst/>
                    </a:prstGeom>
                    <a:noFill/>
                    <a:ln>
                      <a:noFill/>
                    </a:ln>
                  </pic:spPr>
                </pic:pic>
              </a:graphicData>
            </a:graphic>
          </wp:anchor>
        </w:drawing>
      </w:r>
      <w:r>
        <w:rPr>
          <w:rFonts w:ascii="仿宋_GB2312" w:eastAsia="仿宋_GB2312" w:hAnsi="宋体" w:hint="eastAsia"/>
          <w:bCs/>
          <w:sz w:val="32"/>
          <w:szCs w:val="32"/>
        </w:rPr>
        <w:t>附图：</w:t>
      </w:r>
      <w:r>
        <w:rPr>
          <w:rFonts w:ascii="仿宋_GB2312" w:eastAsia="仿宋_GB2312" w:hAnsi="宋体"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hint="eastAsia"/>
          <w:bCs/>
          <w:sz w:val="32"/>
          <w:szCs w:val="32"/>
        </w:rPr>
        <w:instrText>ADDIN CNKISM.UserStyle</w:instrText>
      </w:r>
      <w:r>
        <w:rPr>
          <w:rFonts w:ascii="仿宋_GB2312" w:eastAsia="仿宋_GB2312" w:hAnsi="宋体" w:hint="eastAsia"/>
          <w:bCs/>
          <w:sz w:val="32"/>
          <w:szCs w:val="32"/>
        </w:rPr>
      </w:r>
      <w:r>
        <w:rPr>
          <w:rFonts w:ascii="仿宋_GB2312" w:eastAsia="仿宋_GB2312" w:hAnsi="宋体" w:hint="eastAsia"/>
          <w:bCs/>
          <w:sz w:val="32"/>
          <w:szCs w:val="32"/>
        </w:rPr>
        <w:fldChar w:fldCharType="end"/>
      </w:r>
      <w:r>
        <w:rPr>
          <w:rFonts w:ascii="仿宋_GB2312" w:eastAsia="仿宋_GB2312" w:hAnsi="宋体" w:hint="eastAsia"/>
          <w:bCs/>
          <w:sz w:val="32"/>
          <w:szCs w:val="32"/>
        </w:rPr>
        <w:t>成片开发位置示意图</w:t>
      </w:r>
    </w:p>
    <w:sectPr w:rsidR="00CD771E">
      <w:footerReference w:type="default" r:id="rId11"/>
      <w:pgSz w:w="11906" w:h="16838"/>
      <w:pgMar w:top="1985" w:right="1588" w:bottom="2098"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863" w:rsidRDefault="00FD6863">
      <w:r>
        <w:separator/>
      </w:r>
    </w:p>
  </w:endnote>
  <w:endnote w:type="continuationSeparator" w:id="0">
    <w:p w:rsidR="00FD6863" w:rsidRDefault="00FD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1E" w:rsidRDefault="00256894">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仿宋_GB2312" w:eastAsia="仿宋_GB2312" w:hAnsi="仿宋_GB2312" w:cs="仿宋_GB2312" w:hint="eastAsia"/>
                              <w:sz w:val="28"/>
                              <w:szCs w:val="28"/>
                            </w:rPr>
                            <w:id w:val="58834674"/>
                          </w:sdtPr>
                          <w:sdtEndPr/>
                          <w:sdtContent>
                            <w:p w:rsidR="00CD771E" w:rsidRDefault="00256894">
                              <w:pPr>
                                <w:pStyle w:val="a6"/>
                                <w:jc w:val="cente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E04593" w:rsidRPr="00E04593">
                                <w:rPr>
                                  <w:rFonts w:ascii="仿宋_GB2312" w:eastAsia="仿宋_GB2312" w:hAnsi="仿宋_GB2312" w:cs="仿宋_GB2312"/>
                                  <w:noProof/>
                                  <w:sz w:val="28"/>
                                  <w:szCs w:val="28"/>
                                  <w:lang w:val="zh-CN"/>
                                </w:rPr>
                                <w:t>-</w:t>
                              </w:r>
                              <w:r w:rsidR="00E04593">
                                <w:rPr>
                                  <w:rFonts w:ascii="仿宋_GB2312" w:eastAsia="仿宋_GB2312" w:hAnsi="仿宋_GB2312" w:cs="仿宋_GB2312"/>
                                  <w:noProof/>
                                  <w:sz w:val="28"/>
                                  <w:szCs w:val="28"/>
                                </w:rPr>
                                <w:t xml:space="preserve"> 2 -</w:t>
                              </w:r>
                              <w:r>
                                <w:rPr>
                                  <w:rFonts w:ascii="仿宋_GB2312" w:eastAsia="仿宋_GB2312" w:hAnsi="仿宋_GB2312" w:cs="仿宋_GB2312" w:hint="eastAsia"/>
                                  <w:sz w:val="28"/>
                                  <w:szCs w:val="28"/>
                                </w:rPr>
                                <w:fldChar w:fldCharType="end"/>
                              </w:r>
                            </w:p>
                          </w:sdtContent>
                        </w:sdt>
                        <w:p w:rsidR="00CD771E" w:rsidRDefault="00CD77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rPr>
                        <w:rFonts w:ascii="仿宋_GB2312" w:eastAsia="仿宋_GB2312" w:hAnsi="仿宋_GB2312" w:cs="仿宋_GB2312" w:hint="eastAsia"/>
                        <w:sz w:val="28"/>
                        <w:szCs w:val="28"/>
                      </w:rPr>
                      <w:id w:val="58834674"/>
                    </w:sdtPr>
                    <w:sdtEndPr/>
                    <w:sdtContent>
                      <w:p w:rsidR="00CD771E" w:rsidRDefault="00256894">
                        <w:pPr>
                          <w:pStyle w:val="a6"/>
                          <w:jc w:val="cente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PAGE   \* MERGEFORMAT</w:instrText>
                        </w:r>
                        <w:r>
                          <w:rPr>
                            <w:rFonts w:ascii="仿宋_GB2312" w:eastAsia="仿宋_GB2312" w:hAnsi="仿宋_GB2312" w:cs="仿宋_GB2312" w:hint="eastAsia"/>
                            <w:sz w:val="28"/>
                            <w:szCs w:val="28"/>
                          </w:rPr>
                          <w:fldChar w:fldCharType="separate"/>
                        </w:r>
                        <w:r w:rsidR="00E04593" w:rsidRPr="00E04593">
                          <w:rPr>
                            <w:rFonts w:ascii="仿宋_GB2312" w:eastAsia="仿宋_GB2312" w:hAnsi="仿宋_GB2312" w:cs="仿宋_GB2312"/>
                            <w:noProof/>
                            <w:sz w:val="28"/>
                            <w:szCs w:val="28"/>
                            <w:lang w:val="zh-CN"/>
                          </w:rPr>
                          <w:t>-</w:t>
                        </w:r>
                        <w:r w:rsidR="00E04593">
                          <w:rPr>
                            <w:rFonts w:ascii="仿宋_GB2312" w:eastAsia="仿宋_GB2312" w:hAnsi="仿宋_GB2312" w:cs="仿宋_GB2312"/>
                            <w:noProof/>
                            <w:sz w:val="28"/>
                            <w:szCs w:val="28"/>
                          </w:rPr>
                          <w:t xml:space="preserve"> 2 -</w:t>
                        </w:r>
                        <w:r>
                          <w:rPr>
                            <w:rFonts w:ascii="仿宋_GB2312" w:eastAsia="仿宋_GB2312" w:hAnsi="仿宋_GB2312" w:cs="仿宋_GB2312" w:hint="eastAsia"/>
                            <w:sz w:val="28"/>
                            <w:szCs w:val="28"/>
                          </w:rPr>
                          <w:fldChar w:fldCharType="end"/>
                        </w:r>
                      </w:p>
                    </w:sdtContent>
                  </w:sdt>
                  <w:p w:rsidR="00CD771E" w:rsidRDefault="00CD771E"/>
                </w:txbxContent>
              </v:textbox>
              <w10:wrap anchorx="margin"/>
            </v:shape>
          </w:pict>
        </mc:Fallback>
      </mc:AlternateContent>
    </w:r>
  </w:p>
  <w:p w:rsidR="00CD771E" w:rsidRDefault="00CD77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863" w:rsidRDefault="00FD6863">
      <w:r>
        <w:separator/>
      </w:r>
    </w:p>
  </w:footnote>
  <w:footnote w:type="continuationSeparator" w:id="0">
    <w:p w:rsidR="00FD6863" w:rsidRDefault="00FD6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3CF"/>
    <w:multiLevelType w:val="multilevel"/>
    <w:tmpl w:val="5A3563CF"/>
    <w:lvl w:ilvl="0">
      <w:start w:val="1"/>
      <w:numFmt w:val="chineseCountingThousand"/>
      <w:pStyle w:val="1"/>
      <w:lvlText w:val="%1、"/>
      <w:lvlJc w:val="left"/>
      <w:pPr>
        <w:ind w:left="420" w:hanging="420"/>
      </w:pPr>
    </w:lvl>
    <w:lvl w:ilvl="1">
      <w:start w:val="1"/>
      <w:numFmt w:val="chineseCountingThousand"/>
      <w:lvlText w:val="(%2)"/>
      <w:lvlJc w:val="left"/>
      <w:pPr>
        <w:ind w:left="1500" w:hanging="1080"/>
      </w:pPr>
      <w:rPr>
        <w:rFonts w:hint="default"/>
      </w:rPr>
    </w:lvl>
    <w:lvl w:ilvl="2">
      <w:start w:val="1"/>
      <w:numFmt w:val="decimal"/>
      <w:lvlText w:val="（%3）"/>
      <w:lvlJc w:val="left"/>
      <w:pPr>
        <w:ind w:left="1590" w:hanging="750"/>
      </w:pPr>
      <w:rPr>
        <w:rFonts w:ascii="宋体" w:eastAsia="宋体" w:hAnsi="宋体" w:cstheme="minorBidi"/>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8206CE"/>
    <w:rsid w:val="0001648C"/>
    <w:rsid w:val="00092A71"/>
    <w:rsid w:val="000A077F"/>
    <w:rsid w:val="000A103F"/>
    <w:rsid w:val="000D625A"/>
    <w:rsid w:val="000D77AD"/>
    <w:rsid w:val="000E1D34"/>
    <w:rsid w:val="000E31DC"/>
    <w:rsid w:val="001003E4"/>
    <w:rsid w:val="001124C3"/>
    <w:rsid w:val="001178F2"/>
    <w:rsid w:val="00120FCD"/>
    <w:rsid w:val="00162E5E"/>
    <w:rsid w:val="00170F26"/>
    <w:rsid w:val="0017500E"/>
    <w:rsid w:val="00185ADC"/>
    <w:rsid w:val="00192A04"/>
    <w:rsid w:val="001B2686"/>
    <w:rsid w:val="001B343A"/>
    <w:rsid w:val="001B3812"/>
    <w:rsid w:val="001E3A33"/>
    <w:rsid w:val="00203CA3"/>
    <w:rsid w:val="00205DAA"/>
    <w:rsid w:val="00222C04"/>
    <w:rsid w:val="00256894"/>
    <w:rsid w:val="00266DF1"/>
    <w:rsid w:val="00281003"/>
    <w:rsid w:val="002900E7"/>
    <w:rsid w:val="002C118E"/>
    <w:rsid w:val="002D182C"/>
    <w:rsid w:val="002D63E5"/>
    <w:rsid w:val="002D695C"/>
    <w:rsid w:val="002E11B8"/>
    <w:rsid w:val="00324166"/>
    <w:rsid w:val="00337E7C"/>
    <w:rsid w:val="00362F0D"/>
    <w:rsid w:val="00372722"/>
    <w:rsid w:val="0039052F"/>
    <w:rsid w:val="0039709A"/>
    <w:rsid w:val="003C013F"/>
    <w:rsid w:val="003C1698"/>
    <w:rsid w:val="003D1399"/>
    <w:rsid w:val="003D5CCE"/>
    <w:rsid w:val="003D6A6A"/>
    <w:rsid w:val="003F2701"/>
    <w:rsid w:val="004115CE"/>
    <w:rsid w:val="004222B9"/>
    <w:rsid w:val="004336CE"/>
    <w:rsid w:val="0045559D"/>
    <w:rsid w:val="0047022B"/>
    <w:rsid w:val="004B3819"/>
    <w:rsid w:val="004C3CEC"/>
    <w:rsid w:val="004E4319"/>
    <w:rsid w:val="004E52D9"/>
    <w:rsid w:val="004E58C3"/>
    <w:rsid w:val="004F7B5C"/>
    <w:rsid w:val="00592D1D"/>
    <w:rsid w:val="005B689C"/>
    <w:rsid w:val="005C46A5"/>
    <w:rsid w:val="005F2900"/>
    <w:rsid w:val="0060025D"/>
    <w:rsid w:val="00612C90"/>
    <w:rsid w:val="0062343E"/>
    <w:rsid w:val="00641EC6"/>
    <w:rsid w:val="006A1E58"/>
    <w:rsid w:val="006D0B8C"/>
    <w:rsid w:val="006E058D"/>
    <w:rsid w:val="006E1710"/>
    <w:rsid w:val="006E54EA"/>
    <w:rsid w:val="0072040B"/>
    <w:rsid w:val="00736730"/>
    <w:rsid w:val="00741F64"/>
    <w:rsid w:val="007C1789"/>
    <w:rsid w:val="007C664D"/>
    <w:rsid w:val="007D3C87"/>
    <w:rsid w:val="007E5E8F"/>
    <w:rsid w:val="007F5F66"/>
    <w:rsid w:val="0080566A"/>
    <w:rsid w:val="0081107F"/>
    <w:rsid w:val="008200F4"/>
    <w:rsid w:val="008206CE"/>
    <w:rsid w:val="00837B0E"/>
    <w:rsid w:val="00840B86"/>
    <w:rsid w:val="00854B1E"/>
    <w:rsid w:val="00870C27"/>
    <w:rsid w:val="00874DCE"/>
    <w:rsid w:val="00875513"/>
    <w:rsid w:val="00876F89"/>
    <w:rsid w:val="008C2457"/>
    <w:rsid w:val="008D15AD"/>
    <w:rsid w:val="008D681F"/>
    <w:rsid w:val="008E4700"/>
    <w:rsid w:val="008F0BED"/>
    <w:rsid w:val="00902AE5"/>
    <w:rsid w:val="00914B42"/>
    <w:rsid w:val="009472AD"/>
    <w:rsid w:val="00980643"/>
    <w:rsid w:val="009E44A9"/>
    <w:rsid w:val="009E7626"/>
    <w:rsid w:val="00A011E0"/>
    <w:rsid w:val="00A3488C"/>
    <w:rsid w:val="00A70559"/>
    <w:rsid w:val="00A86EFF"/>
    <w:rsid w:val="00A908E4"/>
    <w:rsid w:val="00A9394F"/>
    <w:rsid w:val="00AA3880"/>
    <w:rsid w:val="00AA5BAD"/>
    <w:rsid w:val="00AA6605"/>
    <w:rsid w:val="00AB0019"/>
    <w:rsid w:val="00AB0671"/>
    <w:rsid w:val="00AC134A"/>
    <w:rsid w:val="00B35D53"/>
    <w:rsid w:val="00B37B2B"/>
    <w:rsid w:val="00B40891"/>
    <w:rsid w:val="00B44426"/>
    <w:rsid w:val="00B4767A"/>
    <w:rsid w:val="00BA792C"/>
    <w:rsid w:val="00BC391E"/>
    <w:rsid w:val="00BE3644"/>
    <w:rsid w:val="00C17DF7"/>
    <w:rsid w:val="00C220EA"/>
    <w:rsid w:val="00C24E90"/>
    <w:rsid w:val="00C33FB0"/>
    <w:rsid w:val="00C66CA2"/>
    <w:rsid w:val="00C83672"/>
    <w:rsid w:val="00C91473"/>
    <w:rsid w:val="00C968E3"/>
    <w:rsid w:val="00CC6411"/>
    <w:rsid w:val="00CD02E1"/>
    <w:rsid w:val="00CD771E"/>
    <w:rsid w:val="00CF55B1"/>
    <w:rsid w:val="00D20836"/>
    <w:rsid w:val="00D32A4E"/>
    <w:rsid w:val="00D42F39"/>
    <w:rsid w:val="00D52683"/>
    <w:rsid w:val="00D83EC3"/>
    <w:rsid w:val="00D87007"/>
    <w:rsid w:val="00D936B6"/>
    <w:rsid w:val="00E01AF7"/>
    <w:rsid w:val="00E04593"/>
    <w:rsid w:val="00E77629"/>
    <w:rsid w:val="00E814F1"/>
    <w:rsid w:val="00E85CF0"/>
    <w:rsid w:val="00E9350A"/>
    <w:rsid w:val="00E95CDA"/>
    <w:rsid w:val="00EA0359"/>
    <w:rsid w:val="00EA51D6"/>
    <w:rsid w:val="00EA7E2C"/>
    <w:rsid w:val="00EB3B0A"/>
    <w:rsid w:val="00EB426B"/>
    <w:rsid w:val="00F14B00"/>
    <w:rsid w:val="00F47BB4"/>
    <w:rsid w:val="00F57216"/>
    <w:rsid w:val="00F72FDB"/>
    <w:rsid w:val="00F744E6"/>
    <w:rsid w:val="00F76A8F"/>
    <w:rsid w:val="00F86FAC"/>
    <w:rsid w:val="00FB42D5"/>
    <w:rsid w:val="00FD6863"/>
    <w:rsid w:val="00FE4166"/>
    <w:rsid w:val="2243008F"/>
    <w:rsid w:val="27A80F84"/>
    <w:rsid w:val="2AD14BC8"/>
    <w:rsid w:val="2BA432E3"/>
    <w:rsid w:val="43883DF0"/>
    <w:rsid w:val="4E267909"/>
    <w:rsid w:val="6655782C"/>
    <w:rsid w:val="682956B5"/>
    <w:rsid w:val="692B4C1A"/>
    <w:rsid w:val="74E645E6"/>
    <w:rsid w:val="7AE8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line="578" w:lineRule="auto"/>
      <w:outlineLvl w:val="0"/>
    </w:pPr>
    <w:rPr>
      <w:rFonts w:eastAsia="微软雅黑"/>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qFormat/>
    <w:rPr>
      <w:sz w:val="21"/>
      <w:szCs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微软雅黑"/>
      <w:b/>
      <w:bCs/>
      <w:kern w:val="44"/>
      <w:sz w:val="32"/>
      <w:szCs w:val="44"/>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line="578" w:lineRule="auto"/>
      <w:outlineLvl w:val="0"/>
    </w:pPr>
    <w:rPr>
      <w:rFonts w:eastAsia="微软雅黑"/>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qFormat/>
    <w:rPr>
      <w:sz w:val="21"/>
      <w:szCs w:val="21"/>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微软雅黑"/>
      <w:b/>
      <w:bCs/>
      <w:kern w:val="44"/>
      <w:sz w:val="32"/>
      <w:szCs w:val="44"/>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qFormat/>
    <w:rPr>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 w:type="character" w:customStyle="1" w:styleId="Char1">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EADE4-68A3-4C79-B3B0-D4EAA052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267</Words>
  <Characters>1522</Characters>
  <Application>Microsoft Office Word</Application>
  <DocSecurity>0</DocSecurity>
  <Lines>12</Lines>
  <Paragraphs>3</Paragraphs>
  <ScaleCrop>false</ScaleCrop>
  <Company>fzghy</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刘龙华</dc:creator>
  <cp:lastModifiedBy>Microsoft</cp:lastModifiedBy>
  <cp:revision>15</cp:revision>
  <cp:lastPrinted>2023-11-03T01:20:00Z</cp:lastPrinted>
  <dcterms:created xsi:type="dcterms:W3CDTF">2023-04-11T10:26:00Z</dcterms:created>
  <dcterms:modified xsi:type="dcterms:W3CDTF">2023-11-13T02:45:00Z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0B0622E125A64F3FBE29ACDF5663DDCD_12</vt:lpwstr>
  </property>
</Properties>
</file>