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附件：</w:t>
      </w:r>
    </w:p>
    <w:p>
      <w:pPr>
        <w:spacing w:line="560" w:lineRule="exact"/>
        <w:jc w:val="left"/>
        <w:rPr>
          <w:rFonts w:ascii="方正小标宋简体" w:hAnsi="微软雅黑" w:eastAsia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/>
          <w:sz w:val="44"/>
          <w:szCs w:val="44"/>
          <w:highlight w:val="none"/>
        </w:rPr>
        <w:t>前董村南侧片区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/>
          <w:sz w:val="44"/>
          <w:szCs w:val="44"/>
          <w:highlight w:val="none"/>
        </w:rPr>
        <w:t>土地征收成片开发</w:t>
      </w:r>
      <w:r>
        <w:rPr>
          <w:rFonts w:ascii="方正小标宋简体" w:hAnsi="微软雅黑" w:eastAsia="方正小标宋简体"/>
          <w:sz w:val="44"/>
          <w:szCs w:val="44"/>
          <w:highlight w:val="none"/>
        </w:rPr>
        <w:t>方案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/>
          <w:sz w:val="44"/>
          <w:szCs w:val="44"/>
          <w:highlight w:val="none"/>
        </w:rPr>
        <w:t>（征求意见稿）</w:t>
      </w:r>
    </w:p>
    <w:p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  <w:highlight w:val="none"/>
        </w:rPr>
      </w:pP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一、编制依据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依据《中华人民共和国土地管理法》（2019年</w:t>
      </w:r>
      <w:r>
        <w:rPr>
          <w:rFonts w:ascii="仿宋_GB2312" w:hAnsi="宋体" w:eastAsia="仿宋_GB2312"/>
          <w:sz w:val="32"/>
          <w:szCs w:val="32"/>
          <w:highlight w:val="none"/>
        </w:rPr>
        <w:t>修正版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）、《自然资源部关于印发</w:t>
      </w:r>
      <w:r>
        <w:rPr>
          <w:rFonts w:ascii="仿宋_GB2312" w:hAnsi="宋体" w:eastAsia="仿宋_GB2312"/>
          <w:sz w:val="32"/>
          <w:szCs w:val="32"/>
          <w:highlight w:val="none"/>
        </w:rPr>
        <w:t>&lt;土地征收成片开发标准（试行）&gt;的通知》（自然资规〔2020〕5号）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、</w:t>
      </w:r>
      <w:bookmarkStart w:id="0" w:name="_Hlk62547865"/>
      <w:r>
        <w:rPr>
          <w:rFonts w:hint="eastAsia" w:ascii="仿宋_GB2312" w:hAnsi="宋体" w:eastAsia="仿宋_GB2312"/>
          <w:sz w:val="32"/>
          <w:szCs w:val="32"/>
          <w:highlight w:val="none"/>
        </w:rPr>
        <w:t>《福建省自然资源厅关于印发〈福建省土地征收成片开发方案报批实施细则（试行）〉的通知》（闽自然资发〔</w:t>
      </w:r>
      <w:r>
        <w:rPr>
          <w:rFonts w:ascii="仿宋_GB2312" w:hAnsi="宋体" w:eastAsia="仿宋_GB2312"/>
          <w:sz w:val="32"/>
          <w:szCs w:val="32"/>
          <w:highlight w:val="none"/>
        </w:rPr>
        <w:t>2021〕3号）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《自然资源部办公厅关于印发〈国土空间调查、规划、用途管制用地用海分类指南（试行）〉》（自然资办发〔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2020〕51号）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、</w:t>
      </w:r>
      <w:bookmarkEnd w:id="0"/>
      <w:r>
        <w:rPr>
          <w:rFonts w:hint="eastAsia" w:ascii="仿宋_GB2312" w:hAnsi="宋体" w:eastAsia="仿宋_GB2312"/>
          <w:sz w:val="32"/>
          <w:szCs w:val="32"/>
          <w:highlight w:val="none"/>
        </w:rPr>
        <w:t>《福建省自然资源厅关于印发〈福建省土地征收成片开发方案报批实施细则（试行）〉的通知》（闽自然资发〔</w:t>
      </w:r>
      <w:r>
        <w:rPr>
          <w:rFonts w:ascii="仿宋_GB2312" w:hAnsi="宋体" w:eastAsia="仿宋_GB2312"/>
          <w:sz w:val="32"/>
          <w:szCs w:val="32"/>
          <w:highlight w:val="none"/>
        </w:rPr>
        <w:t>2021〕3号）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、《福建省土地征收成片开发方案编制参考指南</w:t>
      </w:r>
      <w:r>
        <w:rPr>
          <w:rFonts w:ascii="仿宋_GB2312" w:hAnsi="宋体" w:eastAsia="仿宋_GB2312"/>
          <w:sz w:val="32"/>
          <w:szCs w:val="32"/>
          <w:highlight w:val="none"/>
        </w:rPr>
        <w:t>(试行)》（闽自然资发〔2021〕6号）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编制《前董村南侧片区土地征收成片开发方案（征求意见稿）》。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二、基本情况</w:t>
      </w:r>
    </w:p>
    <w:p>
      <w:pPr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本方案涉及文岭镇的前董村和东庄村，</w:t>
      </w:r>
      <w:r>
        <w:rPr>
          <w:rFonts w:hint="default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具体范围为：东至文松右路，西至天塌湖，北至文鹤路，南至规划支路。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1个镇2个村，及2个国有单位，不涉及省级和国家级开发区。</w:t>
      </w:r>
    </w:p>
    <w:p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根据实地勘测调查，本方案成片开发范围总面积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10.4913公顷，涉及集体土地面积3.0150公顷，国有土地面积7.4763公顷。其中：农用地2.6934公顷（其中：耕地2.1384公顷），建设用地</w:t>
      </w:r>
      <w:r>
        <w:rPr>
          <w:rFonts w:hint="eastAsia" w:ascii="Times New Roman" w:hAnsi="Times New Roman" w:eastAsia="Times New Roman"/>
          <w:color w:val="000000"/>
          <w:sz w:val="32"/>
        </w:rPr>
        <w:t>7.4763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公顷，未利用地0.3216公顷。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三、项目的必要性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根据长乐“十四五”及国土空间总体规划，长乐区将重点聚焦数字经济、新能源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/新材料、临空/临港产业、新型显示、健康医疗/生物医药等七个重点产业，本片区拟入驻新能源汽车零部件智造基地，对推进长乐新能源产业，壮大长乐重点产业，实现产业发展目标具有推进作用。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片区位于临空经济区东北组团内，该组团作为滨海新城临空片区产业组团的重要组成部分，是滨海新城产业发展的重要空间载体。组团内已入驻菜鸟科技、京东商城、明一国际、网龙等国内大型企业，发展前景良好。作为离空港最近的产业组团，发展较其他组团仍显缓慢，产业集聚效应尚不理想。本片区内以发展工业用地为主，片区的开发将扩大临空经济区产业规模，织补零星产业用地，加速推进东北组团快速发展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四、规划土地用途分析</w:t>
      </w:r>
    </w:p>
    <w:p>
      <w:pPr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本方案用地总面积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10.4913公顷，工矿用地用途为主。其中工矿用地用途面积5.9521公顷，实现工业生产功能；交通运输用地用途面积2.7242公顷，提升用地可达性；陆地水域用途面积0.4600公顷，实现防洪排涝、改善环境；绿地与开敞空间用地用途面积1.3550公顷，实现生态绿化，隔离防护功能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五、公益性用地</w:t>
      </w:r>
      <w:r>
        <w:rPr>
          <w:rFonts w:ascii="黑体" w:hAnsi="黑体" w:eastAsia="黑体"/>
          <w:b w:val="0"/>
          <w:szCs w:val="32"/>
          <w:highlight w:val="none"/>
        </w:rPr>
        <w:t>情况</w:t>
      </w:r>
    </w:p>
    <w:p>
      <w:pPr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公益性用地包含交通运输用地用途、绿地与开敞空间用地用途、陆地水域用途等，合计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4.5392公顷，占总用地面积的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43.27</w:t>
      </w:r>
      <w:r>
        <w:rPr>
          <w:rFonts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%，符合自然资规〔2020〕5号文件规定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六</w:t>
      </w:r>
      <w:r>
        <w:rPr>
          <w:rFonts w:ascii="黑体" w:hAnsi="黑体" w:eastAsia="黑体"/>
          <w:b w:val="0"/>
          <w:szCs w:val="32"/>
          <w:highlight w:val="none"/>
        </w:rPr>
        <w:t>、规划符合情况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本次土地征收成片开发方案符合国民经济和社会发展规划、城乡规划、专项规划，已纳入国民经济和社会发展年度计划；已位于城镇开发边界的集中建设区内，福州市长乐区人民政府承诺方案获批后，将该成片开发方案纳入正在编制的国土空间规划及“一张图”，并符合规划管控要求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七</w:t>
      </w:r>
      <w:r>
        <w:rPr>
          <w:rFonts w:ascii="黑体" w:hAnsi="黑体" w:eastAsia="黑体"/>
          <w:b w:val="0"/>
          <w:szCs w:val="32"/>
          <w:highlight w:val="none"/>
        </w:rPr>
        <w:t>、</w:t>
      </w:r>
      <w:r>
        <w:rPr>
          <w:rFonts w:hint="eastAsia" w:ascii="黑体" w:hAnsi="黑体" w:eastAsia="黑体"/>
          <w:b w:val="0"/>
          <w:szCs w:val="32"/>
          <w:highlight w:val="none"/>
        </w:rPr>
        <w:t>永久基本农田及生态保护情况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成片开发区域范围不占用永久基本农田、生态保护红线及其他法律法规规定不允许占用或开发的，符合成片开发送审报批的要求；成片开发范围内不涉及历史文化名城、名镇、名村及传统村落，不涉及各级文物保护单位、不可移动文物登记点及已公布历史建筑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八</w:t>
      </w:r>
      <w:r>
        <w:rPr>
          <w:rFonts w:ascii="黑体" w:hAnsi="黑体" w:eastAsia="黑体"/>
          <w:b w:val="0"/>
          <w:szCs w:val="32"/>
          <w:highlight w:val="none"/>
        </w:rPr>
        <w:t>、</w:t>
      </w:r>
      <w:r>
        <w:rPr>
          <w:rFonts w:hint="eastAsia" w:ascii="黑体" w:hAnsi="黑体" w:eastAsia="黑体"/>
          <w:b w:val="0"/>
          <w:szCs w:val="32"/>
          <w:highlight w:val="none"/>
        </w:rPr>
        <w:t>实施计划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本方案</w:t>
      </w:r>
      <w:r>
        <w:rPr>
          <w:rFonts w:ascii="仿宋_GB2312" w:hAnsi="宋体" w:eastAsia="仿宋_GB2312"/>
          <w:sz w:val="32"/>
          <w:szCs w:val="32"/>
          <w:highlight w:val="none"/>
        </w:rPr>
        <w:t>计划实施周期为批复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后</w:t>
      </w:r>
      <w:r>
        <w:rPr>
          <w:rFonts w:ascii="仿宋_GB2312" w:hAnsi="宋体" w:eastAsia="仿宋_GB2312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九、效益评估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（一）土地利用效益：通过本方案的实施，能够实现统一规划、开发、建设与管理，提高城市土地资源配置效率。通过严格落实工业用地招标拍卖挂牌出让制度、强化用地管理等措施，提高滨海新城土地节约集约利用水平。</w:t>
      </w:r>
    </w:p>
    <w:p>
      <w:pPr>
        <w:ind w:firstLine="640" w:firstLineChars="200"/>
        <w:rPr>
          <w:rFonts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（二）经济效益：本片区内拟入驻新能源汽车零部件智造基地，该产业作为新基建之一的新能源汽车，是国家政策扶持和资金关注的重点领域，也是长乐七大重点产业之一，本片区的发展对促进区域产业经济发展，构建区域新能源产业体系具有积极意义。</w:t>
      </w:r>
    </w:p>
    <w:p>
      <w:pPr>
        <w:ind w:firstLine="640" w:firstLineChars="200"/>
        <w:rPr>
          <w:rFonts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（三）社会效益：本片区拟引进的新能源产业对推动能源系统的低碳转型，支撑绿色低碳发展具有一定意义。同时本片区内规划工业用地</w:t>
      </w:r>
      <w:r>
        <w:rPr>
          <w:rFonts w:ascii="仿宋_GB2312" w:hAnsi="宋体" w:eastAsia="仿宋_GB2312"/>
          <w:bCs/>
          <w:sz w:val="32"/>
          <w:szCs w:val="32"/>
          <w:highlight w:val="none"/>
        </w:rPr>
        <w:t>5.9521公顷，按照300（人/公顷）工业用地就业人口估算指标，本项目建成后预计可新增就业人口1800人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（四）生态效益：本片区内规划生态绿化用地</w:t>
      </w:r>
      <w:r>
        <w:rPr>
          <w:rFonts w:ascii="仿宋_GB2312" w:hAnsi="宋体" w:eastAsia="仿宋_GB2312"/>
          <w:bCs/>
          <w:sz w:val="32"/>
          <w:szCs w:val="32"/>
          <w:highlight w:val="none"/>
        </w:rPr>
        <w:t>1.3550公顷，河流水面0.4600公顷，有利于美化环境、降低噪声、提升片区防洪排涝能力。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/>
          <w:b w:val="0"/>
          <w:szCs w:val="32"/>
          <w:highlight w:val="none"/>
        </w:rPr>
      </w:pPr>
      <w:r>
        <w:rPr>
          <w:rFonts w:hint="eastAsia" w:ascii="黑体" w:hAnsi="黑体" w:eastAsia="黑体"/>
          <w:b w:val="0"/>
          <w:szCs w:val="32"/>
          <w:highlight w:val="none"/>
        </w:rPr>
        <w:t>十、结论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本土地征收成片开发方案符合国民经济和社会发展规划、专项规划和国土空间规划，已纳入福州市长乐区</w:t>
      </w:r>
      <w:r>
        <w:rPr>
          <w:rFonts w:ascii="仿宋_GB2312" w:hAnsi="宋体" w:eastAsia="仿宋_GB2312"/>
          <w:bCs/>
          <w:sz w:val="32"/>
          <w:szCs w:val="32"/>
          <w:highlight w:val="none"/>
        </w:rPr>
        <w:t>2023年</w:t>
      </w:r>
      <w:bookmarkStart w:id="1" w:name="_GoBack"/>
      <w:bookmarkEnd w:id="1"/>
      <w:r>
        <w:rPr>
          <w:rFonts w:ascii="仿宋_GB2312" w:hAnsi="宋体" w:eastAsia="仿宋_GB2312"/>
          <w:bCs/>
          <w:sz w:val="32"/>
          <w:szCs w:val="32"/>
          <w:highlight w:val="none"/>
        </w:rPr>
        <w:t>国民经济和社会发展年度计划，符合部省规定的标准，做到了保护耕地、维护农民合法权益、节约集约用地、保护生态环境，能够促进经济社会可持续发展。</w:t>
      </w:r>
    </w:p>
    <w:p>
      <w:pPr>
        <w:widowControl/>
        <w:spacing w:line="560" w:lineRule="exact"/>
        <w:jc w:val="left"/>
        <w:rPr>
          <w:rFonts w:ascii="仿宋_GB2312" w:hAnsi="宋体" w:eastAsia="仿宋_GB2312"/>
          <w:bCs/>
          <w:sz w:val="32"/>
          <w:szCs w:val="32"/>
          <w:highlight w:val="none"/>
        </w:rPr>
      </w:pPr>
      <w:r>
        <w:rPr>
          <w:rFonts w:ascii="仿宋_GB2312" w:hAnsi="宋体" w:eastAsia="仿宋_GB2312"/>
          <w:bCs/>
          <w:sz w:val="32"/>
          <w:szCs w:val="32"/>
          <w:highlight w:val="none"/>
        </w:rPr>
        <w:br w:type="page"/>
      </w:r>
      <w:r>
        <w:rPr>
          <w:rFonts w:ascii="仿宋_GB2312" w:hAnsi="宋体" w:eastAsia="仿宋_GB2312"/>
          <w:bCs/>
          <w:sz w:val="32"/>
          <w:szCs w:val="32"/>
          <w:highlight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467360</wp:posOffset>
            </wp:positionV>
            <wp:extent cx="5222875" cy="7378700"/>
            <wp:effectExtent l="0" t="0" r="0" b="0"/>
            <wp:wrapTopAndBottom/>
            <wp:docPr id="2" name="图片 2" descr="C:\Users\lan_sq.FPDRI\AppData\Local\Microsoft\Windows\INetCache\Content.Word\成片开发范围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an_sq.FPDRI\AppData\Local\Microsoft\Windows\INetCache\Content.Word\成片开发范围示意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附图：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instrText xml:space="preserve">ADDIN CNKISM.UserStyle</w:instrTex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fldChar w:fldCharType="end"/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成片开发位置示意图</w:t>
      </w:r>
    </w:p>
    <w:sectPr>
      <w:footerReference r:id="rId3" w:type="default"/>
      <w:pgSz w:w="11906" w:h="16838"/>
      <w:pgMar w:top="1985" w:right="1588" w:bottom="209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d w:val="58834674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d w:val="58834674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63CF"/>
    <w:multiLevelType w:val="multilevel"/>
    <w:tmpl w:val="5A3563CF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chineseCountingThousand"/>
      <w:lvlText w:val="(%2)"/>
      <w:lvlJc w:val="left"/>
      <w:pPr>
        <w:ind w:left="1500" w:hanging="1080"/>
      </w:pPr>
      <w:rPr>
        <w:rFonts w:hint="default"/>
      </w:rPr>
    </w:lvl>
    <w:lvl w:ilvl="2" w:tentative="0">
      <w:start w:val="1"/>
      <w:numFmt w:val="decimal"/>
      <w:lvlText w:val="（%3）"/>
      <w:lvlJc w:val="left"/>
      <w:pPr>
        <w:ind w:left="1590" w:hanging="750"/>
      </w:pPr>
      <w:rPr>
        <w:rFonts w:ascii="宋体" w:hAnsi="宋体" w:eastAsia="宋体" w:cstheme="minorBidi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48C"/>
    <w:rsid w:val="00092A71"/>
    <w:rsid w:val="000A077F"/>
    <w:rsid w:val="000D625A"/>
    <w:rsid w:val="000D77AD"/>
    <w:rsid w:val="000E1D34"/>
    <w:rsid w:val="001003E4"/>
    <w:rsid w:val="001124C3"/>
    <w:rsid w:val="001178F2"/>
    <w:rsid w:val="00162E5E"/>
    <w:rsid w:val="00170F26"/>
    <w:rsid w:val="0017500E"/>
    <w:rsid w:val="00185ADC"/>
    <w:rsid w:val="00192A04"/>
    <w:rsid w:val="001B2686"/>
    <w:rsid w:val="001B343A"/>
    <w:rsid w:val="001B3812"/>
    <w:rsid w:val="001E3A33"/>
    <w:rsid w:val="00203CA3"/>
    <w:rsid w:val="00205DAA"/>
    <w:rsid w:val="00222C04"/>
    <w:rsid w:val="00266DF1"/>
    <w:rsid w:val="00281003"/>
    <w:rsid w:val="002900E7"/>
    <w:rsid w:val="002C118E"/>
    <w:rsid w:val="002D182C"/>
    <w:rsid w:val="002D63E5"/>
    <w:rsid w:val="002D695C"/>
    <w:rsid w:val="002E11B8"/>
    <w:rsid w:val="00324166"/>
    <w:rsid w:val="00362F0D"/>
    <w:rsid w:val="00372722"/>
    <w:rsid w:val="00387ED2"/>
    <w:rsid w:val="0039052F"/>
    <w:rsid w:val="0039709A"/>
    <w:rsid w:val="003C013F"/>
    <w:rsid w:val="003C1698"/>
    <w:rsid w:val="003D1399"/>
    <w:rsid w:val="003D4F77"/>
    <w:rsid w:val="003D5CCE"/>
    <w:rsid w:val="003D6A6A"/>
    <w:rsid w:val="003F2701"/>
    <w:rsid w:val="004115CE"/>
    <w:rsid w:val="004222B9"/>
    <w:rsid w:val="004336CE"/>
    <w:rsid w:val="0045559D"/>
    <w:rsid w:val="0047022B"/>
    <w:rsid w:val="004B3819"/>
    <w:rsid w:val="004C3CEC"/>
    <w:rsid w:val="004E4319"/>
    <w:rsid w:val="004E52D9"/>
    <w:rsid w:val="004F7B5C"/>
    <w:rsid w:val="00592D1D"/>
    <w:rsid w:val="005C46A5"/>
    <w:rsid w:val="005F2900"/>
    <w:rsid w:val="00612C90"/>
    <w:rsid w:val="0062343E"/>
    <w:rsid w:val="00641EC6"/>
    <w:rsid w:val="006A1E58"/>
    <w:rsid w:val="006E058D"/>
    <w:rsid w:val="006E54EA"/>
    <w:rsid w:val="00736730"/>
    <w:rsid w:val="00741F64"/>
    <w:rsid w:val="007C1789"/>
    <w:rsid w:val="007C664D"/>
    <w:rsid w:val="007D3C87"/>
    <w:rsid w:val="007E5E8F"/>
    <w:rsid w:val="007E6768"/>
    <w:rsid w:val="007F5F66"/>
    <w:rsid w:val="0080566A"/>
    <w:rsid w:val="0081107F"/>
    <w:rsid w:val="008200F4"/>
    <w:rsid w:val="008206CE"/>
    <w:rsid w:val="00837B0E"/>
    <w:rsid w:val="00840B86"/>
    <w:rsid w:val="00854B1E"/>
    <w:rsid w:val="00870C27"/>
    <w:rsid w:val="00874DCE"/>
    <w:rsid w:val="00875513"/>
    <w:rsid w:val="00876F89"/>
    <w:rsid w:val="008C2457"/>
    <w:rsid w:val="008D15AD"/>
    <w:rsid w:val="008D681F"/>
    <w:rsid w:val="008E4700"/>
    <w:rsid w:val="008F0BED"/>
    <w:rsid w:val="00914B42"/>
    <w:rsid w:val="00980643"/>
    <w:rsid w:val="009E44A9"/>
    <w:rsid w:val="009E7626"/>
    <w:rsid w:val="00A011E0"/>
    <w:rsid w:val="00A3488C"/>
    <w:rsid w:val="00A70559"/>
    <w:rsid w:val="00A86EFF"/>
    <w:rsid w:val="00A908E4"/>
    <w:rsid w:val="00A9394F"/>
    <w:rsid w:val="00AA3880"/>
    <w:rsid w:val="00AA6605"/>
    <w:rsid w:val="00AB0019"/>
    <w:rsid w:val="00AB0671"/>
    <w:rsid w:val="00AC134A"/>
    <w:rsid w:val="00B35D53"/>
    <w:rsid w:val="00B37B2B"/>
    <w:rsid w:val="00B40891"/>
    <w:rsid w:val="00B44426"/>
    <w:rsid w:val="00B4767A"/>
    <w:rsid w:val="00BA792C"/>
    <w:rsid w:val="00BC391E"/>
    <w:rsid w:val="00BE3644"/>
    <w:rsid w:val="00C17DF7"/>
    <w:rsid w:val="00C220EA"/>
    <w:rsid w:val="00C24E90"/>
    <w:rsid w:val="00C33FB0"/>
    <w:rsid w:val="00C66CA2"/>
    <w:rsid w:val="00C83672"/>
    <w:rsid w:val="00C91473"/>
    <w:rsid w:val="00C968E3"/>
    <w:rsid w:val="00CC6411"/>
    <w:rsid w:val="00CD02E1"/>
    <w:rsid w:val="00CF55B1"/>
    <w:rsid w:val="00D20836"/>
    <w:rsid w:val="00D32A4E"/>
    <w:rsid w:val="00D42F39"/>
    <w:rsid w:val="00D52683"/>
    <w:rsid w:val="00D83EC3"/>
    <w:rsid w:val="00D87007"/>
    <w:rsid w:val="00D936B6"/>
    <w:rsid w:val="00E01AF7"/>
    <w:rsid w:val="00E77629"/>
    <w:rsid w:val="00E814F1"/>
    <w:rsid w:val="00E9350A"/>
    <w:rsid w:val="00E95CDA"/>
    <w:rsid w:val="00EA51D6"/>
    <w:rsid w:val="00EA7E2C"/>
    <w:rsid w:val="00EB3B0A"/>
    <w:rsid w:val="00EB426B"/>
    <w:rsid w:val="00F14B00"/>
    <w:rsid w:val="00F47BB4"/>
    <w:rsid w:val="00F57216"/>
    <w:rsid w:val="00F72FDB"/>
    <w:rsid w:val="00F744E6"/>
    <w:rsid w:val="00F76A8F"/>
    <w:rsid w:val="00F86FAC"/>
    <w:rsid w:val="00FB42D5"/>
    <w:rsid w:val="00FE4166"/>
    <w:rsid w:val="029E72AD"/>
    <w:rsid w:val="21963EBD"/>
    <w:rsid w:val="27A80F84"/>
    <w:rsid w:val="2AD14BC8"/>
    <w:rsid w:val="4E267909"/>
    <w:rsid w:val="62C40EDA"/>
    <w:rsid w:val="682956B5"/>
    <w:rsid w:val="7AE865FB"/>
    <w:rsid w:val="7B2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numPr>
        <w:ilvl w:val="0"/>
        <w:numId w:val="1"/>
      </w:numPr>
      <w:spacing w:line="578" w:lineRule="auto"/>
      <w:outlineLvl w:val="0"/>
    </w:pPr>
    <w:rPr>
      <w:rFonts w:eastAsia="微软雅黑"/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7"/>
    <w:semiHidden/>
    <w:unhideWhenUsed/>
    <w:uiPriority w:val="99"/>
    <w:rPr>
      <w:b/>
      <w:bCs/>
    </w:rPr>
  </w:style>
  <w:style w:type="paragraph" w:styleId="4">
    <w:name w:val="annotation text"/>
    <w:basedOn w:val="1"/>
    <w:link w:val="16"/>
    <w:semiHidden/>
    <w:unhideWhenUsed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1 字符"/>
    <w:basedOn w:val="9"/>
    <w:link w:val="2"/>
    <w:qFormat/>
    <w:uiPriority w:val="9"/>
    <w:rPr>
      <w:rFonts w:eastAsia="微软雅黑"/>
      <w:b/>
      <w:bCs/>
      <w:kern w:val="44"/>
      <w:sz w:val="32"/>
      <w:szCs w:val="44"/>
    </w:rPr>
  </w:style>
  <w:style w:type="character" w:customStyle="1" w:styleId="14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4"/>
    <w:semiHidden/>
    <w:uiPriority w:val="99"/>
    <w:rPr>
      <w:kern w:val="2"/>
      <w:sz w:val="21"/>
      <w:szCs w:val="22"/>
    </w:rPr>
  </w:style>
  <w:style w:type="character" w:customStyle="1" w:styleId="17">
    <w:name w:val="批注主题 字符"/>
    <w:basedOn w:val="16"/>
    <w:link w:val="3"/>
    <w:semiHidden/>
    <w:uiPriority w:val="99"/>
    <w:rPr>
      <w:b/>
      <w:bCs/>
      <w:kern w:val="2"/>
      <w:sz w:val="21"/>
      <w:szCs w:val="22"/>
    </w:rPr>
  </w:style>
  <w:style w:type="character" w:customStyle="1" w:styleId="18">
    <w:name w:val="批注框文本 字符"/>
    <w:basedOn w:val="9"/>
    <w:link w:val="5"/>
    <w:semiHidden/>
    <w:uiPriority w:val="99"/>
    <w:rPr>
      <w:kern w:val="2"/>
      <w:sz w:val="18"/>
      <w:szCs w:val="18"/>
    </w:rPr>
  </w:style>
  <w:style w:type="paragraph" w:customStyle="1" w:styleId="19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2CBC5-E589-46B2-862F-796738C6C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fzghy</Company>
  <Pages>5</Pages>
  <Words>292</Words>
  <Characters>1670</Characters>
  <Lines>13</Lines>
  <Paragraphs>3</Paragraphs>
  <TotalTime>24</TotalTime>
  <ScaleCrop>false</ScaleCrop>
  <LinksUpToDate>false</LinksUpToDate>
  <CharactersWithSpaces>1959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2023-08-22T01:30:00Z</dcterms:created>
  <dc:creator>刘龙华</dc:creator>
  <cp:lastModifiedBy>Administrator</cp:lastModifiedBy>
  <cp:lastPrinted>2021-06-02T10:30:00Z</cp:lastPrinted>
  <dcterms:modified xsi:type="dcterms:W3CDTF">2023-08-22T02:36:37Z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