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ascii="黑体" w:hAnsi="黑体" w:eastAsia="黑体" w:cs="黑体"/>
          <w:sz w:val="32"/>
          <w:szCs w:val="32"/>
        </w:rPr>
      </w:pPr>
      <w:r>
        <w:rPr>
          <w:rFonts w:hint="eastAsia" w:ascii="黑体" w:hAnsi="黑体" w:eastAsia="黑体" w:cs="黑体"/>
          <w:sz w:val="32"/>
          <w:szCs w:val="32"/>
        </w:rPr>
        <w:t>附件：</w:t>
      </w:r>
    </w:p>
    <w:p>
      <w:pPr>
        <w:spacing w:line="560" w:lineRule="exact"/>
        <w:jc w:val="left"/>
        <w:rPr>
          <w:rFonts w:ascii="方正小标宋简体" w:hAnsi="微软雅黑" w:eastAsia="方正小标宋简体"/>
          <w:sz w:val="44"/>
          <w:szCs w:val="44"/>
        </w:rPr>
      </w:pPr>
    </w:p>
    <w:p>
      <w:pPr>
        <w:spacing w:line="560" w:lineRule="exact"/>
        <w:jc w:val="center"/>
        <w:rPr>
          <w:rFonts w:ascii="方正小标宋简体" w:hAnsi="微软雅黑" w:eastAsia="方正小标宋简体"/>
          <w:sz w:val="44"/>
          <w:szCs w:val="44"/>
        </w:rPr>
      </w:pPr>
      <w:r>
        <w:rPr>
          <w:rFonts w:hint="eastAsia" w:ascii="方正小标宋简体" w:hAnsi="微软雅黑" w:eastAsia="方正小标宋简体"/>
          <w:sz w:val="44"/>
          <w:szCs w:val="44"/>
        </w:rPr>
        <w:t>长乐区</w:t>
      </w:r>
      <w:r>
        <w:rPr>
          <w:rFonts w:ascii="方正小标宋简体" w:hAnsi="微软雅黑" w:eastAsia="方正小标宋简体"/>
          <w:sz w:val="44"/>
          <w:szCs w:val="44"/>
        </w:rPr>
        <w:t>2021年度第</w:t>
      </w:r>
      <w:r>
        <w:rPr>
          <w:rFonts w:hint="eastAsia" w:ascii="方正小标宋简体" w:hAnsi="微软雅黑" w:eastAsia="方正小标宋简体"/>
          <w:sz w:val="44"/>
          <w:szCs w:val="44"/>
        </w:rPr>
        <w:t>二十四</w:t>
      </w:r>
      <w:r>
        <w:rPr>
          <w:rFonts w:ascii="方正小标宋简体" w:hAnsi="微软雅黑" w:eastAsia="方正小标宋简体"/>
          <w:sz w:val="44"/>
          <w:szCs w:val="44"/>
        </w:rPr>
        <w:t>批次</w:t>
      </w:r>
    </w:p>
    <w:p>
      <w:pPr>
        <w:spacing w:line="560" w:lineRule="exact"/>
        <w:jc w:val="center"/>
        <w:rPr>
          <w:rFonts w:ascii="方正小标宋简体" w:hAnsi="微软雅黑" w:eastAsia="方正小标宋简体"/>
          <w:sz w:val="44"/>
          <w:szCs w:val="44"/>
        </w:rPr>
      </w:pPr>
      <w:r>
        <w:rPr>
          <w:rFonts w:hint="eastAsia" w:ascii="方正小标宋简体" w:hAnsi="微软雅黑" w:eastAsia="方正小标宋简体"/>
          <w:sz w:val="44"/>
          <w:szCs w:val="44"/>
        </w:rPr>
        <w:t>土地征收成片开发</w:t>
      </w:r>
      <w:r>
        <w:rPr>
          <w:rFonts w:ascii="方正小标宋简体" w:hAnsi="微软雅黑" w:eastAsia="方正小标宋简体"/>
          <w:sz w:val="44"/>
          <w:szCs w:val="44"/>
        </w:rPr>
        <w:t>方案调整方案</w:t>
      </w:r>
    </w:p>
    <w:p>
      <w:pPr>
        <w:spacing w:line="560" w:lineRule="exact"/>
        <w:jc w:val="center"/>
        <w:rPr>
          <w:rFonts w:ascii="方正小标宋简体" w:hAnsi="微软雅黑" w:eastAsia="方正小标宋简体"/>
          <w:sz w:val="44"/>
          <w:szCs w:val="44"/>
        </w:rPr>
      </w:pPr>
      <w:r>
        <w:rPr>
          <w:rFonts w:hint="eastAsia" w:ascii="方正小标宋简体" w:hAnsi="微软雅黑" w:eastAsia="方正小标宋简体"/>
          <w:sz w:val="44"/>
          <w:szCs w:val="44"/>
        </w:rPr>
        <w:t>（梅文路西侧片区）</w:t>
      </w:r>
    </w:p>
    <w:p>
      <w:pPr>
        <w:spacing w:line="560" w:lineRule="exact"/>
        <w:jc w:val="center"/>
        <w:rPr>
          <w:rFonts w:ascii="方正小标宋简体" w:hAnsi="微软雅黑" w:eastAsia="方正小标宋简体"/>
          <w:sz w:val="44"/>
          <w:szCs w:val="44"/>
        </w:rPr>
      </w:pPr>
      <w:r>
        <w:rPr>
          <w:rFonts w:hint="eastAsia" w:ascii="方正小标宋简体" w:hAnsi="微软雅黑" w:eastAsia="方正小标宋简体"/>
          <w:sz w:val="44"/>
          <w:szCs w:val="44"/>
        </w:rPr>
        <w:t>（征求意见稿）</w:t>
      </w:r>
    </w:p>
    <w:p>
      <w:pPr>
        <w:spacing w:line="560" w:lineRule="exact"/>
        <w:jc w:val="center"/>
        <w:rPr>
          <w:rFonts w:ascii="方正小标宋简体" w:hAnsi="微软雅黑" w:eastAsia="方正小标宋简体"/>
          <w:sz w:val="44"/>
          <w:szCs w:val="44"/>
        </w:rPr>
      </w:pPr>
    </w:p>
    <w:p>
      <w:pPr>
        <w:pStyle w:val="2"/>
        <w:numPr>
          <w:ilvl w:val="0"/>
          <w:numId w:val="0"/>
        </w:numPr>
        <w:spacing w:line="560" w:lineRule="exact"/>
        <w:ind w:firstLine="640" w:firstLineChars="200"/>
        <w:rPr>
          <w:rFonts w:ascii="黑体" w:hAnsi="黑体" w:eastAsia="黑体"/>
          <w:b w:val="0"/>
          <w:szCs w:val="32"/>
        </w:rPr>
      </w:pPr>
      <w:r>
        <w:rPr>
          <w:rFonts w:hint="eastAsia" w:ascii="黑体" w:hAnsi="黑体" w:eastAsia="黑体"/>
          <w:b w:val="0"/>
          <w:szCs w:val="32"/>
        </w:rPr>
        <w:t>一、编制依据</w:t>
      </w:r>
    </w:p>
    <w:p>
      <w:pPr>
        <w:ind w:firstLine="640" w:firstLineChars="200"/>
        <w:rPr>
          <w:rFonts w:ascii="仿宋_GB2312" w:hAnsi="宋体" w:eastAsia="仿宋_GB2312"/>
          <w:sz w:val="32"/>
          <w:szCs w:val="32"/>
        </w:rPr>
      </w:pPr>
      <w:r>
        <w:rPr>
          <w:rFonts w:hint="eastAsia" w:ascii="仿宋_GB2312" w:hAnsi="宋体" w:eastAsia="仿宋_GB2312"/>
          <w:sz w:val="32"/>
          <w:szCs w:val="32"/>
        </w:rPr>
        <w:t>依据《中华人民共和国土地管理法》（2019年</w:t>
      </w:r>
      <w:r>
        <w:rPr>
          <w:rFonts w:ascii="仿宋_GB2312" w:hAnsi="宋体" w:eastAsia="仿宋_GB2312"/>
          <w:sz w:val="32"/>
          <w:szCs w:val="32"/>
        </w:rPr>
        <w:t>修正版</w:t>
      </w:r>
      <w:r>
        <w:rPr>
          <w:rFonts w:hint="eastAsia" w:ascii="仿宋_GB2312" w:hAnsi="宋体" w:eastAsia="仿宋_GB2312"/>
          <w:sz w:val="32"/>
          <w:szCs w:val="32"/>
        </w:rPr>
        <w:t>）、《自然资源部关于印发</w:t>
      </w:r>
      <w:r>
        <w:rPr>
          <w:rFonts w:ascii="仿宋_GB2312" w:hAnsi="宋体" w:eastAsia="仿宋_GB2312"/>
          <w:sz w:val="32"/>
          <w:szCs w:val="32"/>
        </w:rPr>
        <w:t>&lt;土地征收成片开发标准（试行）&gt;的通知》（自然资规〔2020〕5号）</w:t>
      </w:r>
      <w:r>
        <w:rPr>
          <w:rFonts w:hint="eastAsia" w:ascii="仿宋_GB2312" w:hAnsi="宋体" w:eastAsia="仿宋_GB2312"/>
          <w:sz w:val="32"/>
          <w:szCs w:val="32"/>
        </w:rPr>
        <w:t>、</w:t>
      </w:r>
      <w:bookmarkStart w:id="0" w:name="_Hlk62547865"/>
      <w:r>
        <w:rPr>
          <w:rFonts w:hint="eastAsia" w:ascii="仿宋_GB2312" w:hAnsi="宋体" w:eastAsia="仿宋_GB2312"/>
          <w:sz w:val="32"/>
          <w:szCs w:val="32"/>
        </w:rPr>
        <w:t>《福建省自然资源厅关于印发〈福建省土地征收成片开发方案报批实施细则（试行）〉的通知》（闽自然资发〔</w:t>
      </w:r>
      <w:r>
        <w:rPr>
          <w:rFonts w:ascii="仿宋_GB2312" w:hAnsi="宋体" w:eastAsia="仿宋_GB2312"/>
          <w:sz w:val="32"/>
          <w:szCs w:val="32"/>
        </w:rPr>
        <w:t>2021〕3号）</w:t>
      </w:r>
      <w:r>
        <w:rPr>
          <w:rFonts w:hint="eastAsia" w:ascii="仿宋_GB2312" w:hAnsi="宋体" w:eastAsia="仿宋_GB2312"/>
          <w:sz w:val="32"/>
          <w:szCs w:val="32"/>
        </w:rPr>
        <w:t>、</w:t>
      </w:r>
      <w:r>
        <w:rPr>
          <w:rFonts w:hint="eastAsia" w:ascii="Times New Roman" w:hAnsi="Times New Roman" w:eastAsia="仿宋_GB2312"/>
          <w:sz w:val="32"/>
          <w:szCs w:val="32"/>
        </w:rPr>
        <w:t>《自然资源部办公厅关于印发〈国土空间调查、规划、用途管制用地用海分类指南（试行）〉》（自然资办发〔</w:t>
      </w:r>
      <w:r>
        <w:rPr>
          <w:rFonts w:ascii="Times New Roman" w:hAnsi="Times New Roman" w:eastAsia="仿宋_GB2312"/>
          <w:sz w:val="32"/>
          <w:szCs w:val="32"/>
        </w:rPr>
        <w:t>2020〕51号）</w:t>
      </w:r>
      <w:r>
        <w:rPr>
          <w:rFonts w:hint="eastAsia" w:ascii="仿宋_GB2312" w:hAnsi="宋体" w:eastAsia="仿宋_GB2312"/>
          <w:sz w:val="32"/>
          <w:szCs w:val="32"/>
        </w:rPr>
        <w:t>、</w:t>
      </w:r>
      <w:bookmarkEnd w:id="0"/>
      <w:r>
        <w:rPr>
          <w:rFonts w:hint="eastAsia" w:ascii="仿宋_GB2312" w:hAnsi="宋体" w:eastAsia="仿宋_GB2312"/>
          <w:sz w:val="32"/>
          <w:szCs w:val="32"/>
        </w:rPr>
        <w:t>《福建省自然资源厅关于印发〈福建省土地征收成片开发方案报批实施细则（试行）〉的通知》（闽自然资发〔</w:t>
      </w:r>
      <w:r>
        <w:rPr>
          <w:rFonts w:ascii="仿宋_GB2312" w:hAnsi="宋体" w:eastAsia="仿宋_GB2312"/>
          <w:sz w:val="32"/>
          <w:szCs w:val="32"/>
        </w:rPr>
        <w:t>2021〕3号）</w:t>
      </w:r>
      <w:r>
        <w:rPr>
          <w:rFonts w:hint="eastAsia" w:ascii="仿宋_GB2312" w:hAnsi="宋体" w:eastAsia="仿宋_GB2312"/>
          <w:sz w:val="32"/>
          <w:szCs w:val="32"/>
        </w:rPr>
        <w:t>、《福建省土地征收成片开发方案编制参考指南</w:t>
      </w:r>
      <w:r>
        <w:rPr>
          <w:rFonts w:ascii="仿宋_GB2312" w:hAnsi="宋体" w:eastAsia="仿宋_GB2312"/>
          <w:sz w:val="32"/>
          <w:szCs w:val="32"/>
        </w:rPr>
        <w:t>(试行)》（闽自然资发〔2021〕6号）</w:t>
      </w:r>
      <w:r>
        <w:rPr>
          <w:rFonts w:hint="eastAsia" w:ascii="仿宋_GB2312" w:hAnsi="宋体" w:eastAsia="仿宋_GB2312"/>
          <w:sz w:val="32"/>
          <w:szCs w:val="32"/>
        </w:rPr>
        <w:t>编制《长乐区</w:t>
      </w:r>
      <w:r>
        <w:rPr>
          <w:rFonts w:ascii="仿宋_GB2312" w:hAnsi="宋体" w:eastAsia="仿宋_GB2312"/>
          <w:sz w:val="32"/>
          <w:szCs w:val="32"/>
        </w:rPr>
        <w:t>2021年度第二十四批次</w:t>
      </w:r>
      <w:r>
        <w:rPr>
          <w:rFonts w:hint="eastAsia" w:ascii="仿宋_GB2312" w:hAnsi="宋体" w:eastAsia="仿宋_GB2312"/>
          <w:sz w:val="32"/>
          <w:szCs w:val="32"/>
        </w:rPr>
        <w:t>土地征收成片开发方案调整方案（梅文路西侧片区）》。</w:t>
      </w:r>
    </w:p>
    <w:p>
      <w:pPr>
        <w:pStyle w:val="2"/>
        <w:numPr>
          <w:ilvl w:val="0"/>
          <w:numId w:val="0"/>
        </w:numPr>
        <w:spacing w:line="560" w:lineRule="exact"/>
        <w:ind w:firstLine="640" w:firstLineChars="200"/>
        <w:rPr>
          <w:rFonts w:ascii="黑体" w:hAnsi="黑体" w:eastAsia="黑体"/>
          <w:b w:val="0"/>
          <w:szCs w:val="32"/>
        </w:rPr>
      </w:pPr>
      <w:r>
        <w:rPr>
          <w:rFonts w:hint="eastAsia" w:ascii="黑体" w:hAnsi="黑体" w:eastAsia="黑体"/>
          <w:b w:val="0"/>
          <w:szCs w:val="32"/>
        </w:rPr>
        <w:t>二、基本情况</w:t>
      </w:r>
    </w:p>
    <w:p>
      <w:pPr>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本方案涉及长乐区文岭镇的前董村和东庄村，共</w:t>
      </w:r>
      <w:r>
        <w:rPr>
          <w:rFonts w:ascii="Times New Roman" w:hAnsi="Times New Roman" w:eastAsia="仿宋_GB2312"/>
          <w:color w:val="000000" w:themeColor="text1"/>
          <w:sz w:val="32"/>
          <w:szCs w:val="32"/>
          <w14:textFill>
            <w14:solidFill>
              <w14:schemeClr w14:val="tx1"/>
            </w14:solidFill>
          </w14:textFill>
        </w:rPr>
        <w:t>1个镇2个村及11个国有单位，不涉及省级和国家级开发区。</w:t>
      </w:r>
    </w:p>
    <w:p>
      <w:pPr>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根据实地勘测调查，本方案成片开发范围总面积</w:t>
      </w:r>
      <w:r>
        <w:rPr>
          <w:rFonts w:ascii="Times New Roman" w:hAnsi="Times New Roman" w:eastAsia="仿宋_GB2312"/>
          <w:color w:val="000000" w:themeColor="text1"/>
          <w:sz w:val="32"/>
          <w:szCs w:val="32"/>
          <w14:textFill>
            <w14:solidFill>
              <w14:schemeClr w14:val="tx1"/>
            </w14:solidFill>
          </w14:textFill>
        </w:rPr>
        <w:t>65.7870公顷，其中：农用地16.6092公顷（其中：耕地8.2918公顷），建设用48.9460公顷，未利用地0.2318公顷。</w:t>
      </w:r>
    </w:p>
    <w:p>
      <w:pPr>
        <w:pStyle w:val="2"/>
        <w:numPr>
          <w:ilvl w:val="0"/>
          <w:numId w:val="0"/>
        </w:numPr>
        <w:spacing w:line="560" w:lineRule="exact"/>
        <w:ind w:firstLine="640" w:firstLineChars="200"/>
        <w:rPr>
          <w:rFonts w:ascii="黑体" w:hAnsi="黑体" w:eastAsia="黑体"/>
          <w:b w:val="0"/>
          <w:szCs w:val="32"/>
        </w:rPr>
      </w:pPr>
      <w:r>
        <w:rPr>
          <w:rFonts w:hint="eastAsia" w:ascii="黑体" w:hAnsi="黑体" w:eastAsia="黑体"/>
          <w:b w:val="0"/>
          <w:szCs w:val="32"/>
        </w:rPr>
        <w:t>三、项目的必要性</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本片区的开发</w:t>
      </w:r>
      <w:r>
        <w:rPr>
          <w:rFonts w:hint="eastAsia" w:ascii="Times New Roman" w:hAnsi="Times New Roman" w:eastAsia="仿宋_GB2312"/>
          <w:color w:val="000000" w:themeColor="text1"/>
          <w:sz w:val="32"/>
          <w:szCs w:val="32"/>
          <w14:textFill>
            <w14:solidFill>
              <w14:schemeClr w14:val="tx1"/>
            </w14:solidFill>
          </w14:textFill>
        </w:rPr>
        <w:t>是推动滨海新城空港组团产业调整升级、</w:t>
      </w:r>
      <w:r>
        <w:rPr>
          <w:rFonts w:hint="eastAsia" w:ascii="Times New Roman" w:hAnsi="Times New Roman" w:eastAsia="仿宋_GB2312"/>
          <w:sz w:val="32"/>
          <w:szCs w:val="32"/>
        </w:rPr>
        <w:t>完善滨海新城临空经济区东北组团功能的需要。片区以发展工业用地为主，片区的开发建设有利于临空经济区产业用地的集聚化和规模化发展；有利于区域产业结构优化和发展，提高产业竞争力；有利于提高临空经济区产业空间可达性。</w:t>
      </w:r>
    </w:p>
    <w:p>
      <w:pPr>
        <w:pStyle w:val="2"/>
        <w:numPr>
          <w:ilvl w:val="0"/>
          <w:numId w:val="0"/>
        </w:numPr>
        <w:spacing w:line="560" w:lineRule="exact"/>
        <w:ind w:firstLine="640" w:firstLineChars="200"/>
        <w:rPr>
          <w:rFonts w:ascii="黑体" w:hAnsi="黑体" w:eastAsia="黑体"/>
          <w:b w:val="0"/>
          <w:szCs w:val="32"/>
        </w:rPr>
      </w:pPr>
      <w:r>
        <w:rPr>
          <w:rFonts w:hint="eastAsia" w:ascii="黑体" w:hAnsi="黑体" w:eastAsia="黑体"/>
          <w:b w:val="0"/>
          <w:szCs w:val="32"/>
        </w:rPr>
        <w:t>四、规划土地用途分析</w:t>
      </w:r>
    </w:p>
    <w:p>
      <w:pPr>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本方案用地总面积</w:t>
      </w:r>
      <w:r>
        <w:rPr>
          <w:rFonts w:ascii="Times New Roman" w:hAnsi="Times New Roman" w:eastAsia="仿宋_GB2312"/>
          <w:color w:val="000000" w:themeColor="text1"/>
          <w:sz w:val="32"/>
          <w:szCs w:val="32"/>
          <w14:textFill>
            <w14:solidFill>
              <w14:schemeClr w14:val="tx1"/>
            </w14:solidFill>
          </w14:textFill>
        </w:rPr>
        <w:t>65.7870公顷，主要用途为工矿用地。其中，工矿用地用途面积37.8214公顷，实现工业生产功能；公用设施用地用途面积0.0245公顷，实现排水功能；交通运输用地用途面积22.3579公顷，实现交通运输，提升地块可达性功能；绿地与开敞空间用地用途面积4.2969公顷，实现绿化，游憩功能；陆地水域用途面积1.2863公顷，实现生态、防洪排涝功能。</w:t>
      </w:r>
    </w:p>
    <w:p>
      <w:pPr>
        <w:pStyle w:val="2"/>
        <w:numPr>
          <w:ilvl w:val="0"/>
          <w:numId w:val="0"/>
        </w:numPr>
        <w:spacing w:line="560" w:lineRule="exact"/>
        <w:ind w:firstLine="640" w:firstLineChars="200"/>
        <w:rPr>
          <w:rFonts w:ascii="黑体" w:hAnsi="黑体" w:eastAsia="黑体"/>
          <w:b w:val="0"/>
          <w:szCs w:val="32"/>
        </w:rPr>
      </w:pPr>
      <w:r>
        <w:rPr>
          <w:rFonts w:hint="eastAsia" w:ascii="黑体" w:hAnsi="黑体" w:eastAsia="黑体"/>
          <w:b w:val="0"/>
          <w:szCs w:val="32"/>
        </w:rPr>
        <w:t>五、公益性用地</w:t>
      </w:r>
      <w:r>
        <w:rPr>
          <w:rFonts w:ascii="黑体" w:hAnsi="黑体" w:eastAsia="黑体"/>
          <w:b w:val="0"/>
          <w:szCs w:val="32"/>
        </w:rPr>
        <w:t>情况</w:t>
      </w:r>
    </w:p>
    <w:p>
      <w:pPr>
        <w:ind w:firstLine="640" w:firstLineChars="200"/>
        <w:rPr>
          <w:rFonts w:ascii="Times New Roman" w:hAnsi="Times New Roman" w:eastAsia="仿宋_GB2312"/>
          <w:color w:val="000000" w:themeColor="text1"/>
          <w:sz w:val="32"/>
          <w:szCs w:val="32"/>
          <w14:textFill>
            <w14:solidFill>
              <w14:schemeClr w14:val="tx1"/>
            </w14:solidFill>
          </w14:textFill>
        </w:rPr>
      </w:pPr>
      <w:r>
        <w:rPr>
          <w:rFonts w:hint="eastAsia" w:ascii="Times New Roman" w:hAnsi="Times New Roman" w:eastAsia="仿宋_GB2312"/>
          <w:color w:val="000000" w:themeColor="text1"/>
          <w:sz w:val="32"/>
          <w:szCs w:val="32"/>
          <w14:textFill>
            <w14:solidFill>
              <w14:schemeClr w14:val="tx1"/>
            </w14:solidFill>
          </w14:textFill>
        </w:rPr>
        <w:t>公益性用地包含交通运输用地用途、公用设施用地用途、绿地与开敞空间用地用途、陆地水域用途等，合计</w:t>
      </w:r>
      <w:r>
        <w:rPr>
          <w:rFonts w:ascii="Times New Roman" w:hAnsi="Times New Roman" w:eastAsia="仿宋_GB2312"/>
          <w:color w:val="000000" w:themeColor="text1"/>
          <w:sz w:val="32"/>
          <w:szCs w:val="32"/>
          <w14:textFill>
            <w14:solidFill>
              <w14:schemeClr w14:val="tx1"/>
            </w14:solidFill>
          </w14:textFill>
        </w:rPr>
        <w:t>27.9656公顷，占总用地面积的42.51%，符合自然资规〔2020〕5号文件规定</w:t>
      </w:r>
      <w:r>
        <w:rPr>
          <w:rFonts w:hint="eastAsia" w:ascii="Times New Roman" w:hAnsi="Times New Roman" w:eastAsia="仿宋_GB2312"/>
          <w:color w:val="000000" w:themeColor="text1"/>
          <w:sz w:val="32"/>
          <w:szCs w:val="32"/>
          <w14:textFill>
            <w14:solidFill>
              <w14:schemeClr w14:val="tx1"/>
            </w14:solidFill>
          </w14:textFill>
        </w:rPr>
        <w:t>。</w:t>
      </w:r>
    </w:p>
    <w:p>
      <w:pPr>
        <w:pStyle w:val="2"/>
        <w:numPr>
          <w:ilvl w:val="0"/>
          <w:numId w:val="0"/>
        </w:numPr>
        <w:spacing w:line="560" w:lineRule="exact"/>
        <w:ind w:firstLine="640" w:firstLineChars="200"/>
        <w:rPr>
          <w:rFonts w:ascii="黑体" w:hAnsi="黑体" w:eastAsia="黑体"/>
          <w:b w:val="0"/>
          <w:szCs w:val="32"/>
        </w:rPr>
      </w:pPr>
      <w:r>
        <w:rPr>
          <w:rFonts w:hint="eastAsia" w:ascii="黑体" w:hAnsi="黑体" w:eastAsia="黑体"/>
          <w:b w:val="0"/>
          <w:szCs w:val="32"/>
        </w:rPr>
        <w:t>六</w:t>
      </w:r>
      <w:r>
        <w:rPr>
          <w:rFonts w:ascii="黑体" w:hAnsi="黑体" w:eastAsia="黑体"/>
          <w:b w:val="0"/>
          <w:szCs w:val="32"/>
        </w:rPr>
        <w:t>、规划符合情况</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本次调整的土地征收成片开发方案符合国民经济和社会发展规划、城乡规划、专项规划，已纳入国民经济和社会发展年度计划；已位于城镇开发边界的集中建设区内，福州市长乐区人民政府已承诺将该方案统筹纳入在编的国土空间规划及“一张图”，并符合规划管控要求。</w:t>
      </w:r>
    </w:p>
    <w:p>
      <w:pPr>
        <w:pStyle w:val="2"/>
        <w:numPr>
          <w:ilvl w:val="0"/>
          <w:numId w:val="0"/>
        </w:numPr>
        <w:spacing w:line="560" w:lineRule="exact"/>
        <w:ind w:firstLine="640" w:firstLineChars="200"/>
        <w:rPr>
          <w:rFonts w:ascii="黑体" w:hAnsi="黑体" w:eastAsia="黑体"/>
          <w:b w:val="0"/>
          <w:szCs w:val="32"/>
        </w:rPr>
      </w:pPr>
      <w:r>
        <w:rPr>
          <w:rFonts w:hint="eastAsia" w:ascii="黑体" w:hAnsi="黑体" w:eastAsia="黑体"/>
          <w:b w:val="0"/>
          <w:szCs w:val="32"/>
        </w:rPr>
        <w:t>七</w:t>
      </w:r>
      <w:r>
        <w:rPr>
          <w:rFonts w:ascii="黑体" w:hAnsi="黑体" w:eastAsia="黑体"/>
          <w:b w:val="0"/>
          <w:szCs w:val="32"/>
        </w:rPr>
        <w:t>、</w:t>
      </w:r>
      <w:r>
        <w:rPr>
          <w:rFonts w:hint="eastAsia" w:ascii="黑体" w:hAnsi="黑体" w:eastAsia="黑体"/>
          <w:b w:val="0"/>
          <w:szCs w:val="32"/>
        </w:rPr>
        <w:t>永久基本农田及生态保护情况</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本次调整的土地征收成片开发方案不涉及永久基本农田、生态保护红线、各类饮用水水源保护区等敏感区域及其他法律法规规定不允许占用或开发的；不涉及历史文化名城、名镇、名村及传统村落，不涉及各级文物保护单位、不可移动文物登记点及已公布历史建筑。符合成片开发项目送审报批的要求。</w:t>
      </w:r>
    </w:p>
    <w:p>
      <w:pPr>
        <w:pStyle w:val="2"/>
        <w:numPr>
          <w:ilvl w:val="0"/>
          <w:numId w:val="0"/>
        </w:numPr>
        <w:spacing w:line="560" w:lineRule="exact"/>
        <w:ind w:firstLine="640" w:firstLineChars="200"/>
        <w:rPr>
          <w:rFonts w:ascii="黑体" w:hAnsi="黑体" w:eastAsia="黑体"/>
          <w:b w:val="0"/>
          <w:szCs w:val="32"/>
        </w:rPr>
      </w:pPr>
      <w:r>
        <w:rPr>
          <w:rFonts w:hint="eastAsia" w:ascii="黑体" w:hAnsi="黑体" w:eastAsia="黑体"/>
          <w:b w:val="0"/>
          <w:szCs w:val="32"/>
        </w:rPr>
        <w:t>八</w:t>
      </w:r>
      <w:r>
        <w:rPr>
          <w:rFonts w:ascii="黑体" w:hAnsi="黑体" w:eastAsia="黑体"/>
          <w:b w:val="0"/>
          <w:szCs w:val="32"/>
        </w:rPr>
        <w:t>、</w:t>
      </w:r>
      <w:r>
        <w:rPr>
          <w:rFonts w:hint="eastAsia" w:ascii="黑体" w:hAnsi="黑体" w:eastAsia="黑体"/>
          <w:b w:val="0"/>
          <w:szCs w:val="32"/>
        </w:rPr>
        <w:t>实施计划</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本方案</w:t>
      </w:r>
      <w:r>
        <w:rPr>
          <w:rFonts w:ascii="仿宋_GB2312" w:hAnsi="宋体" w:eastAsia="仿宋_GB2312"/>
          <w:sz w:val="32"/>
          <w:szCs w:val="32"/>
        </w:rPr>
        <w:t>计划实施周期为批复</w:t>
      </w:r>
      <w:r>
        <w:rPr>
          <w:rFonts w:hint="eastAsia" w:ascii="仿宋_GB2312" w:hAnsi="宋体" w:eastAsia="仿宋_GB2312"/>
          <w:sz w:val="32"/>
          <w:szCs w:val="32"/>
        </w:rPr>
        <w:t>后3年。</w:t>
      </w:r>
    </w:p>
    <w:p>
      <w:pPr>
        <w:pStyle w:val="2"/>
        <w:numPr>
          <w:ilvl w:val="0"/>
          <w:numId w:val="0"/>
        </w:numPr>
        <w:spacing w:line="560" w:lineRule="exact"/>
        <w:ind w:firstLine="640" w:firstLineChars="200"/>
        <w:rPr>
          <w:rFonts w:ascii="黑体" w:hAnsi="黑体" w:eastAsia="黑体"/>
          <w:b w:val="0"/>
          <w:szCs w:val="32"/>
        </w:rPr>
      </w:pPr>
      <w:r>
        <w:rPr>
          <w:rFonts w:hint="eastAsia" w:ascii="黑体" w:hAnsi="黑体" w:eastAsia="黑体"/>
          <w:b w:val="0"/>
          <w:szCs w:val="32"/>
        </w:rPr>
        <w:t>九、效益评估</w:t>
      </w:r>
    </w:p>
    <w:p>
      <w:pPr>
        <w:spacing w:line="560" w:lineRule="exact"/>
        <w:ind w:firstLine="640" w:firstLineChars="200"/>
        <w:rPr>
          <w:rFonts w:ascii="仿宋_GB2312" w:hAnsi="宋体" w:eastAsia="仿宋_GB2312"/>
          <w:bCs/>
          <w:sz w:val="32"/>
          <w:szCs w:val="32"/>
        </w:rPr>
      </w:pPr>
      <w:r>
        <w:rPr>
          <w:rFonts w:hint="eastAsia" w:ascii="仿宋_GB2312" w:hAnsi="宋体" w:eastAsia="仿宋_GB2312"/>
          <w:bCs/>
          <w:sz w:val="32"/>
          <w:szCs w:val="32"/>
        </w:rPr>
        <w:t>（一）土地利用效益：通过本方案的实施，能够实现统一规划、开发、建设与管理，提高城市土地资源配置效率。通过严格落实工业用地招标拍卖挂牌出让制度、强化用地管理等措施，提高滨海新城土地节约集约利用水平，实现土地利用由粗放型向集约型转变。</w:t>
      </w:r>
    </w:p>
    <w:p>
      <w:pPr>
        <w:ind w:firstLine="640" w:firstLineChars="200"/>
        <w:rPr>
          <w:rFonts w:ascii="仿宋_GB2312" w:hAnsi="宋体" w:eastAsia="仿宋_GB2312"/>
          <w:bCs/>
          <w:sz w:val="32"/>
          <w:szCs w:val="32"/>
        </w:rPr>
      </w:pPr>
      <w:r>
        <w:rPr>
          <w:rFonts w:hint="eastAsia" w:ascii="仿宋_GB2312" w:hAnsi="宋体" w:eastAsia="仿宋_GB2312"/>
          <w:bCs/>
          <w:sz w:val="32"/>
          <w:szCs w:val="32"/>
        </w:rPr>
        <w:t>（二）经济效益：片区的发展有利于促进产业升级转型、壮大主导产业。片区以工业用地为主，有利于促进临空经济区工业用地的集聚发展。</w:t>
      </w:r>
    </w:p>
    <w:p>
      <w:pPr>
        <w:ind w:firstLine="640" w:firstLineChars="200"/>
        <w:rPr>
          <w:rFonts w:ascii="仿宋_GB2312" w:hAnsi="宋体" w:eastAsia="仿宋_GB2312"/>
          <w:bCs/>
          <w:sz w:val="32"/>
          <w:szCs w:val="32"/>
        </w:rPr>
      </w:pPr>
      <w:r>
        <w:rPr>
          <w:rFonts w:hint="eastAsia" w:ascii="仿宋_GB2312" w:hAnsi="宋体" w:eastAsia="仿宋_GB2312"/>
          <w:bCs/>
          <w:sz w:val="32"/>
          <w:szCs w:val="32"/>
        </w:rPr>
        <w:t>（三）社会效益：片区的成片开发、城市道路的建设将带动周边基础设施的完善和公园的建设，创造良好的就业、营商环境，进一步吸引企业入驻。</w:t>
      </w:r>
    </w:p>
    <w:p>
      <w:pPr>
        <w:spacing w:line="560" w:lineRule="exact"/>
        <w:ind w:firstLine="640" w:firstLineChars="200"/>
        <w:rPr>
          <w:rFonts w:ascii="仿宋_GB2312" w:hAnsi="宋体" w:eastAsia="仿宋_GB2312"/>
          <w:bCs/>
          <w:sz w:val="32"/>
          <w:szCs w:val="32"/>
        </w:rPr>
      </w:pPr>
      <w:r>
        <w:rPr>
          <w:rFonts w:hint="eastAsia" w:ascii="仿宋_GB2312" w:hAnsi="宋体" w:eastAsia="仿宋_GB2312"/>
          <w:bCs/>
          <w:sz w:val="32"/>
          <w:szCs w:val="32"/>
        </w:rPr>
        <w:t>（四）生态效益：本片区规划生态绿化用地</w:t>
      </w:r>
      <w:r>
        <w:rPr>
          <w:rFonts w:ascii="仿宋_GB2312" w:hAnsi="宋体" w:eastAsia="仿宋_GB2312"/>
          <w:bCs/>
          <w:sz w:val="32"/>
          <w:szCs w:val="32"/>
        </w:rPr>
        <w:t>是区域东西方向的由山到海的城市主要生态绿廊的重要组成部分，串联起东部东海、沿海防护林和西部旗山，有利于营造区域“依山面海，绿网交织”的城市绿意空间，有助于改善城市环境、提高自然景观可见性。</w:t>
      </w:r>
    </w:p>
    <w:p>
      <w:pPr>
        <w:pStyle w:val="2"/>
        <w:numPr>
          <w:ilvl w:val="0"/>
          <w:numId w:val="0"/>
        </w:numPr>
        <w:spacing w:line="560" w:lineRule="exact"/>
        <w:ind w:firstLine="640" w:firstLineChars="200"/>
        <w:rPr>
          <w:rFonts w:ascii="黑体" w:hAnsi="黑体" w:eastAsia="黑体"/>
          <w:b w:val="0"/>
          <w:szCs w:val="32"/>
        </w:rPr>
      </w:pPr>
      <w:r>
        <w:rPr>
          <w:rFonts w:hint="eastAsia" w:ascii="黑体" w:hAnsi="黑体" w:eastAsia="黑体"/>
          <w:b w:val="0"/>
          <w:szCs w:val="32"/>
        </w:rPr>
        <w:t>十</w:t>
      </w:r>
      <w:bookmarkStart w:id="1" w:name="_GoBack"/>
      <w:bookmarkEnd w:id="1"/>
      <w:r>
        <w:rPr>
          <w:rFonts w:hint="eastAsia" w:ascii="黑体" w:hAnsi="黑体" w:eastAsia="黑体"/>
          <w:b w:val="0"/>
          <w:szCs w:val="32"/>
        </w:rPr>
        <w:t>、结论</w:t>
      </w:r>
    </w:p>
    <w:p>
      <w:pPr>
        <w:spacing w:line="560" w:lineRule="exact"/>
        <w:ind w:firstLine="640" w:firstLineChars="200"/>
        <w:rPr>
          <w:rFonts w:ascii="仿宋_GB2312" w:hAnsi="宋体" w:eastAsia="仿宋_GB2312"/>
          <w:bCs/>
          <w:sz w:val="32"/>
          <w:szCs w:val="32"/>
        </w:rPr>
      </w:pPr>
      <w:r>
        <w:rPr>
          <w:rFonts w:hint="eastAsia" w:ascii="仿宋_GB2312" w:hAnsi="宋体" w:eastAsia="仿宋_GB2312"/>
          <w:bCs/>
          <w:sz w:val="32"/>
          <w:szCs w:val="32"/>
        </w:rPr>
        <w:t>本土地征收成片开发方案符合国民经济和社会发展规划、专项规划和国土空间规划，已纳入福州市长乐区</w:t>
      </w:r>
      <w:r>
        <w:rPr>
          <w:rFonts w:ascii="仿宋_GB2312" w:hAnsi="宋体" w:eastAsia="仿宋_GB2312"/>
          <w:bCs/>
          <w:sz w:val="32"/>
          <w:szCs w:val="32"/>
        </w:rPr>
        <w:t>2023年度国民经济和社会发展年度计划，符合部省规定的标准，做到了保护耕地、维护农民合法权益、节约集约用地、保护生态环境，能够促进经济社会可持续发展</w:t>
      </w:r>
      <w:r>
        <w:rPr>
          <w:rFonts w:hint="eastAsia" w:ascii="仿宋_GB2312" w:hAnsi="宋体" w:eastAsia="仿宋_GB2312"/>
          <w:bCs/>
          <w:sz w:val="32"/>
          <w:szCs w:val="32"/>
        </w:rPr>
        <w:t>。</w:t>
      </w:r>
    </w:p>
    <w:p>
      <w:pPr>
        <w:widowControl/>
        <w:spacing w:line="560" w:lineRule="exact"/>
        <w:jc w:val="left"/>
        <w:rPr>
          <w:rFonts w:ascii="仿宋_GB2312" w:hAnsi="宋体" w:eastAsia="仿宋_GB2312"/>
          <w:bCs/>
          <w:sz w:val="32"/>
          <w:szCs w:val="32"/>
        </w:rPr>
      </w:pPr>
      <w:r>
        <w:rPr>
          <w:rFonts w:ascii="仿宋_GB2312" w:hAnsi="宋体" w:eastAsia="仿宋_GB2312"/>
          <w:bCs/>
          <w:sz w:val="32"/>
          <w:szCs w:val="32"/>
        </w:rPr>
        <w:br w:type="page"/>
      </w:r>
      <w:r>
        <w:rPr>
          <w:rFonts w:hint="eastAsia" w:ascii="仿宋_GB2312" w:hAnsi="宋体" w:eastAsia="仿宋_GB2312"/>
          <w:bCs/>
          <w:sz w:val="32"/>
          <w:szCs w:val="32"/>
        </w:rPr>
        <w:t>附图：</w:t>
      </w:r>
      <w:r>
        <w:rPr>
          <w:rFonts w:hint="eastAsia" w:ascii="仿宋_GB2312" w:hAnsi="宋体" w:eastAsia="仿宋_GB2312"/>
          <w:bCs/>
          <w:sz w:val="32"/>
          <w:szCs w:val="32"/>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仿宋_GB2312" w:hAnsi="宋体" w:eastAsia="仿宋_GB2312"/>
          <w:bCs/>
          <w:sz w:val="32"/>
          <w:szCs w:val="32"/>
        </w:rPr>
        <w:instrText xml:space="preserve">ADDIN CNKISM.UserStyle</w:instrText>
      </w:r>
      <w:r>
        <w:rPr>
          <w:rFonts w:hint="eastAsia" w:ascii="仿宋_GB2312" w:hAnsi="宋体" w:eastAsia="仿宋_GB2312"/>
          <w:bCs/>
          <w:sz w:val="32"/>
          <w:szCs w:val="32"/>
        </w:rPr>
        <w:fldChar w:fldCharType="end"/>
      </w:r>
      <w:r>
        <w:rPr>
          <w:rFonts w:hint="eastAsia" w:ascii="仿宋_GB2312" w:hAnsi="宋体" w:eastAsia="仿宋_GB2312"/>
          <w:bCs/>
          <w:sz w:val="32"/>
          <w:szCs w:val="32"/>
        </w:rPr>
        <w:t>成片开发位置示意图</w:t>
      </w:r>
    </w:p>
    <w:p>
      <w:pPr>
        <w:widowControl/>
        <w:spacing w:line="560" w:lineRule="exact"/>
        <w:jc w:val="left"/>
        <w:rPr>
          <w:rFonts w:ascii="仿宋_GB2312" w:hAnsi="宋体" w:eastAsia="仿宋_GB2312"/>
          <w:bCs/>
          <w:sz w:val="32"/>
          <w:szCs w:val="32"/>
        </w:rPr>
      </w:pPr>
      <w:r>
        <w:drawing>
          <wp:anchor distT="0" distB="0" distL="114300" distR="114300" simplePos="0" relativeHeight="251659264" behindDoc="0" locked="0" layoutInCell="1" allowOverlap="1">
            <wp:simplePos x="0" y="0"/>
            <wp:positionH relativeFrom="column">
              <wp:posOffset>3810</wp:posOffset>
            </wp:positionH>
            <wp:positionV relativeFrom="paragraph">
              <wp:posOffset>77470</wp:posOffset>
            </wp:positionV>
            <wp:extent cx="5615940" cy="7920990"/>
            <wp:effectExtent l="0" t="0" r="3810" b="381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615940" cy="7920990"/>
                    </a:xfrm>
                    <a:prstGeom prst="rect">
                      <a:avLst/>
                    </a:prstGeom>
                  </pic:spPr>
                </pic:pic>
              </a:graphicData>
            </a:graphic>
          </wp:anchor>
        </w:drawing>
      </w:r>
    </w:p>
    <w:sectPr>
      <w:footerReference r:id="rId3" w:type="default"/>
      <w:pgSz w:w="11906" w:h="16838"/>
      <w:pgMar w:top="1985" w:right="1588" w:bottom="2098" w:left="1474"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方正小标宋简体">
    <w:altName w:val="Arial Unicode MS"/>
    <w:panose1 w:val="00000000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hint="eastAsia" w:ascii="仿宋_GB2312" w:hAnsi="仿宋_GB2312" w:eastAsia="仿宋_GB2312" w:cs="仿宋_GB2312"/>
                              <w:sz w:val="28"/>
                              <w:szCs w:val="28"/>
                            </w:rPr>
                            <w:id w:val="58834674"/>
                          </w:sdtPr>
                          <w:sdtEndPr>
                            <w:rPr>
                              <w:rFonts w:hint="eastAsia" w:ascii="仿宋_GB2312" w:hAnsi="仿宋_GB2312" w:eastAsia="仿宋_GB2312" w:cs="仿宋_GB2312"/>
                              <w:sz w:val="28"/>
                              <w:szCs w:val="28"/>
                            </w:rPr>
                          </w:sdtEndPr>
                          <w:sdtContent>
                            <w:p>
                              <w:pPr>
                                <w:pStyle w:val="5"/>
                                <w:jc w:val="cente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PAGE   \* MERGEFORMAT</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lang w:val="zh-CN"/>
                                </w:rPr>
                                <w:t>-</w:t>
                              </w:r>
                              <w:r>
                                <w:rPr>
                                  <w:rFonts w:ascii="仿宋_GB2312" w:hAnsi="仿宋_GB2312" w:eastAsia="仿宋_GB2312" w:cs="仿宋_GB2312"/>
                                  <w:sz w:val="28"/>
                                  <w:szCs w:val="28"/>
                                </w:rPr>
                                <w:t xml:space="preserve"> 4 -</w:t>
                              </w:r>
                              <w:r>
                                <w:rPr>
                                  <w:rFonts w:hint="eastAsia" w:ascii="仿宋_GB2312" w:hAnsi="仿宋_GB2312" w:eastAsia="仿宋_GB2312" w:cs="仿宋_GB2312"/>
                                  <w:sz w:val="28"/>
                                  <w:szCs w:val="28"/>
                                </w:rPr>
                                <w:fldChar w:fldCharType="end"/>
                              </w: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rPr>
                        <w:rFonts w:hint="eastAsia" w:ascii="仿宋_GB2312" w:hAnsi="仿宋_GB2312" w:eastAsia="仿宋_GB2312" w:cs="仿宋_GB2312"/>
                        <w:sz w:val="28"/>
                        <w:szCs w:val="28"/>
                      </w:rPr>
                      <w:id w:val="58834674"/>
                    </w:sdtPr>
                    <w:sdtEndPr>
                      <w:rPr>
                        <w:rFonts w:hint="eastAsia" w:ascii="仿宋_GB2312" w:hAnsi="仿宋_GB2312" w:eastAsia="仿宋_GB2312" w:cs="仿宋_GB2312"/>
                        <w:sz w:val="28"/>
                        <w:szCs w:val="28"/>
                      </w:rPr>
                    </w:sdtEndPr>
                    <w:sdtContent>
                      <w:p>
                        <w:pPr>
                          <w:pStyle w:val="5"/>
                          <w:jc w:val="cente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PAGE   \* MERGEFORMAT</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lang w:val="zh-CN"/>
                          </w:rPr>
                          <w:t>-</w:t>
                        </w:r>
                        <w:r>
                          <w:rPr>
                            <w:rFonts w:ascii="仿宋_GB2312" w:hAnsi="仿宋_GB2312" w:eastAsia="仿宋_GB2312" w:cs="仿宋_GB2312"/>
                            <w:sz w:val="28"/>
                            <w:szCs w:val="28"/>
                          </w:rPr>
                          <w:t xml:space="preserve"> 4 -</w:t>
                        </w:r>
                        <w:r>
                          <w:rPr>
                            <w:rFonts w:hint="eastAsia" w:ascii="仿宋_GB2312" w:hAnsi="仿宋_GB2312" w:eastAsia="仿宋_GB2312" w:cs="仿宋_GB2312"/>
                            <w:sz w:val="28"/>
                            <w:szCs w:val="28"/>
                          </w:rPr>
                          <w:fldChar w:fldCharType="end"/>
                        </w:r>
                      </w:p>
                    </w:sdtContent>
                  </w:sdt>
                  <w:p/>
                </w:txbxContent>
              </v:textbox>
            </v:shape>
          </w:pict>
        </mc:Fallback>
      </mc:AlternateContent>
    </w: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3563CF"/>
    <w:multiLevelType w:val="multilevel"/>
    <w:tmpl w:val="5A3563CF"/>
    <w:lvl w:ilvl="0" w:tentative="0">
      <w:start w:val="1"/>
      <w:numFmt w:val="chineseCountingThousand"/>
      <w:pStyle w:val="2"/>
      <w:lvlText w:val="%1、"/>
      <w:lvlJc w:val="left"/>
      <w:pPr>
        <w:ind w:left="420" w:hanging="420"/>
      </w:pPr>
    </w:lvl>
    <w:lvl w:ilvl="1" w:tentative="0">
      <w:start w:val="1"/>
      <w:numFmt w:val="chineseCountingThousand"/>
      <w:lvlText w:val="(%2)"/>
      <w:lvlJc w:val="left"/>
      <w:pPr>
        <w:ind w:left="1500" w:hanging="1080"/>
      </w:pPr>
      <w:rPr>
        <w:rFonts w:hint="default"/>
      </w:rPr>
    </w:lvl>
    <w:lvl w:ilvl="2" w:tentative="0">
      <w:start w:val="1"/>
      <w:numFmt w:val="decimal"/>
      <w:lvlText w:val="（%3）"/>
      <w:lvlJc w:val="left"/>
      <w:pPr>
        <w:ind w:left="1590" w:hanging="750"/>
      </w:pPr>
      <w:rPr>
        <w:rFonts w:ascii="宋体" w:hAnsi="宋体" w:eastAsia="宋体" w:cstheme="minorBidi"/>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IwYTk5MDEyYTJiOTQxMGUyY2RjOGI1ZWRkZDdjMmMifQ=="/>
  </w:docVars>
  <w:rsids>
    <w:rsidRoot w:val="008206CE"/>
    <w:rsid w:val="0001648C"/>
    <w:rsid w:val="00092A71"/>
    <w:rsid w:val="000D625A"/>
    <w:rsid w:val="000D77AD"/>
    <w:rsid w:val="000E1D34"/>
    <w:rsid w:val="001003E4"/>
    <w:rsid w:val="001124C3"/>
    <w:rsid w:val="001178F2"/>
    <w:rsid w:val="00162E5E"/>
    <w:rsid w:val="00170F26"/>
    <w:rsid w:val="0017500E"/>
    <w:rsid w:val="00185ADC"/>
    <w:rsid w:val="00192A04"/>
    <w:rsid w:val="001B2686"/>
    <w:rsid w:val="001B343A"/>
    <w:rsid w:val="001B3812"/>
    <w:rsid w:val="001E3A33"/>
    <w:rsid w:val="00203CA3"/>
    <w:rsid w:val="00205DAA"/>
    <w:rsid w:val="00222C04"/>
    <w:rsid w:val="00266DF1"/>
    <w:rsid w:val="00281003"/>
    <w:rsid w:val="002900E7"/>
    <w:rsid w:val="002C118E"/>
    <w:rsid w:val="002D182C"/>
    <w:rsid w:val="002D63E5"/>
    <w:rsid w:val="002D695C"/>
    <w:rsid w:val="002E11B8"/>
    <w:rsid w:val="00324166"/>
    <w:rsid w:val="00362F0D"/>
    <w:rsid w:val="00372722"/>
    <w:rsid w:val="0039052F"/>
    <w:rsid w:val="0039709A"/>
    <w:rsid w:val="003C013F"/>
    <w:rsid w:val="003C1698"/>
    <w:rsid w:val="003D1399"/>
    <w:rsid w:val="003D5CCE"/>
    <w:rsid w:val="003D6A6A"/>
    <w:rsid w:val="003F2701"/>
    <w:rsid w:val="004115CE"/>
    <w:rsid w:val="004222B9"/>
    <w:rsid w:val="004336CE"/>
    <w:rsid w:val="0045559D"/>
    <w:rsid w:val="0047022B"/>
    <w:rsid w:val="004B3819"/>
    <w:rsid w:val="004C3CEC"/>
    <w:rsid w:val="004E4319"/>
    <w:rsid w:val="004E52D9"/>
    <w:rsid w:val="004F7B5C"/>
    <w:rsid w:val="00592D1D"/>
    <w:rsid w:val="005A0465"/>
    <w:rsid w:val="005C46A5"/>
    <w:rsid w:val="005F2900"/>
    <w:rsid w:val="00612C90"/>
    <w:rsid w:val="0062343E"/>
    <w:rsid w:val="00641EC6"/>
    <w:rsid w:val="00697083"/>
    <w:rsid w:val="006A1E58"/>
    <w:rsid w:val="006E058D"/>
    <w:rsid w:val="006E54EA"/>
    <w:rsid w:val="00736730"/>
    <w:rsid w:val="00741F64"/>
    <w:rsid w:val="00795C8D"/>
    <w:rsid w:val="007C1789"/>
    <w:rsid w:val="007C664D"/>
    <w:rsid w:val="007D3C87"/>
    <w:rsid w:val="007E5E8F"/>
    <w:rsid w:val="007F5F66"/>
    <w:rsid w:val="0080566A"/>
    <w:rsid w:val="0081107F"/>
    <w:rsid w:val="008200F4"/>
    <w:rsid w:val="008206CE"/>
    <w:rsid w:val="00837B0E"/>
    <w:rsid w:val="00840B86"/>
    <w:rsid w:val="00854B1E"/>
    <w:rsid w:val="00870C27"/>
    <w:rsid w:val="00875513"/>
    <w:rsid w:val="00876F89"/>
    <w:rsid w:val="008C2457"/>
    <w:rsid w:val="008D15AD"/>
    <w:rsid w:val="008D681F"/>
    <w:rsid w:val="008E4700"/>
    <w:rsid w:val="008F0BED"/>
    <w:rsid w:val="00980643"/>
    <w:rsid w:val="009E44A9"/>
    <w:rsid w:val="009E7626"/>
    <w:rsid w:val="00A011E0"/>
    <w:rsid w:val="00A3488C"/>
    <w:rsid w:val="00A70559"/>
    <w:rsid w:val="00A86EFF"/>
    <w:rsid w:val="00A908E4"/>
    <w:rsid w:val="00A9394F"/>
    <w:rsid w:val="00AA3880"/>
    <w:rsid w:val="00AA6605"/>
    <w:rsid w:val="00AB0019"/>
    <w:rsid w:val="00AB0671"/>
    <w:rsid w:val="00AC134A"/>
    <w:rsid w:val="00B35D53"/>
    <w:rsid w:val="00B37B2B"/>
    <w:rsid w:val="00B40891"/>
    <w:rsid w:val="00B44426"/>
    <w:rsid w:val="00B4767A"/>
    <w:rsid w:val="00BA792C"/>
    <w:rsid w:val="00BC391E"/>
    <w:rsid w:val="00BE3644"/>
    <w:rsid w:val="00C17DF7"/>
    <w:rsid w:val="00C220EA"/>
    <w:rsid w:val="00C24E90"/>
    <w:rsid w:val="00C33FB0"/>
    <w:rsid w:val="00C66CA2"/>
    <w:rsid w:val="00C83672"/>
    <w:rsid w:val="00C91473"/>
    <w:rsid w:val="00C968E3"/>
    <w:rsid w:val="00CC6411"/>
    <w:rsid w:val="00CD02E1"/>
    <w:rsid w:val="00CF55B1"/>
    <w:rsid w:val="00D20836"/>
    <w:rsid w:val="00D32A4E"/>
    <w:rsid w:val="00D42F39"/>
    <w:rsid w:val="00D52683"/>
    <w:rsid w:val="00D7069C"/>
    <w:rsid w:val="00D83EC3"/>
    <w:rsid w:val="00D87007"/>
    <w:rsid w:val="00D936B6"/>
    <w:rsid w:val="00E01AF7"/>
    <w:rsid w:val="00E77629"/>
    <w:rsid w:val="00E814F1"/>
    <w:rsid w:val="00E9350A"/>
    <w:rsid w:val="00E95CDA"/>
    <w:rsid w:val="00EA51D6"/>
    <w:rsid w:val="00EA7E2C"/>
    <w:rsid w:val="00EB3B0A"/>
    <w:rsid w:val="00EB426B"/>
    <w:rsid w:val="00F14B00"/>
    <w:rsid w:val="00F47BB4"/>
    <w:rsid w:val="00F57216"/>
    <w:rsid w:val="00F72FDB"/>
    <w:rsid w:val="00F744E6"/>
    <w:rsid w:val="00F76A8F"/>
    <w:rsid w:val="00F86FAC"/>
    <w:rsid w:val="00FB42D5"/>
    <w:rsid w:val="00FE4166"/>
    <w:rsid w:val="27A80F84"/>
    <w:rsid w:val="2AD14BC8"/>
    <w:rsid w:val="4E267909"/>
    <w:rsid w:val="5C287FB1"/>
    <w:rsid w:val="682956B5"/>
    <w:rsid w:val="7AE865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numPr>
        <w:ilvl w:val="0"/>
        <w:numId w:val="1"/>
      </w:numPr>
      <w:spacing w:line="578" w:lineRule="auto"/>
      <w:outlineLvl w:val="0"/>
    </w:pPr>
    <w:rPr>
      <w:rFonts w:eastAsia="微软雅黑"/>
      <w:b/>
      <w:bCs/>
      <w:kern w:val="44"/>
      <w:sz w:val="32"/>
      <w:szCs w:val="44"/>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16"/>
    <w:semiHidden/>
    <w:unhideWhenUsed/>
    <w:qFormat/>
    <w:uiPriority w:val="99"/>
    <w:pPr>
      <w:jc w:val="left"/>
    </w:pPr>
  </w:style>
  <w:style w:type="paragraph" w:styleId="4">
    <w:name w:val="Balloon Text"/>
    <w:basedOn w:val="1"/>
    <w:link w:val="18"/>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8">
    <w:name w:val="annotation subject"/>
    <w:basedOn w:val="3"/>
    <w:next w:val="3"/>
    <w:link w:val="17"/>
    <w:semiHidden/>
    <w:unhideWhenUsed/>
    <w:qFormat/>
    <w:uiPriority w:val="99"/>
    <w:rPr>
      <w:b/>
      <w:bCs/>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annotation reference"/>
    <w:basedOn w:val="11"/>
    <w:semiHidden/>
    <w:unhideWhenUsed/>
    <w:qFormat/>
    <w:uiPriority w:val="99"/>
    <w:rPr>
      <w:sz w:val="21"/>
      <w:szCs w:val="21"/>
    </w:rPr>
  </w:style>
  <w:style w:type="character" w:customStyle="1" w:styleId="13">
    <w:name w:val="标题 1 字符"/>
    <w:basedOn w:val="11"/>
    <w:link w:val="2"/>
    <w:qFormat/>
    <w:uiPriority w:val="9"/>
    <w:rPr>
      <w:rFonts w:eastAsia="微软雅黑"/>
      <w:b/>
      <w:bCs/>
      <w:kern w:val="44"/>
      <w:sz w:val="32"/>
      <w:szCs w:val="44"/>
    </w:rPr>
  </w:style>
  <w:style w:type="character" w:customStyle="1" w:styleId="14">
    <w:name w:val="页脚 字符"/>
    <w:basedOn w:val="11"/>
    <w:link w:val="5"/>
    <w:qFormat/>
    <w:uiPriority w:val="99"/>
    <w:rPr>
      <w:sz w:val="18"/>
      <w:szCs w:val="18"/>
    </w:rPr>
  </w:style>
  <w:style w:type="character" w:customStyle="1" w:styleId="15">
    <w:name w:val="页眉 字符"/>
    <w:basedOn w:val="11"/>
    <w:link w:val="6"/>
    <w:qFormat/>
    <w:uiPriority w:val="99"/>
    <w:rPr>
      <w:sz w:val="18"/>
      <w:szCs w:val="18"/>
    </w:rPr>
  </w:style>
  <w:style w:type="character" w:customStyle="1" w:styleId="16">
    <w:name w:val="批注文字 字符"/>
    <w:basedOn w:val="11"/>
    <w:link w:val="3"/>
    <w:semiHidden/>
    <w:qFormat/>
    <w:uiPriority w:val="99"/>
    <w:rPr>
      <w:kern w:val="2"/>
      <w:sz w:val="21"/>
      <w:szCs w:val="22"/>
    </w:rPr>
  </w:style>
  <w:style w:type="character" w:customStyle="1" w:styleId="17">
    <w:name w:val="批注主题 字符"/>
    <w:basedOn w:val="16"/>
    <w:link w:val="8"/>
    <w:semiHidden/>
    <w:qFormat/>
    <w:uiPriority w:val="99"/>
    <w:rPr>
      <w:b/>
      <w:bCs/>
      <w:kern w:val="2"/>
      <w:sz w:val="21"/>
      <w:szCs w:val="22"/>
    </w:rPr>
  </w:style>
  <w:style w:type="character" w:customStyle="1" w:styleId="18">
    <w:name w:val="批注框文本 字符"/>
    <w:basedOn w:val="11"/>
    <w:link w:val="4"/>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461725-1AB8-4997-9775-8274F3A4EAF5}">
  <ds:schemaRefs/>
</ds:datastoreItem>
</file>

<file path=docProps/app.xml><?xml version="1.0" encoding="utf-8"?>
<Properties xmlns="http://schemas.openxmlformats.org/officeDocument/2006/extended-properties" xmlns:vt="http://schemas.openxmlformats.org/officeDocument/2006/docPropsVTypes">
  <Template>Normal.dotm</Template>
  <Company>fzghy</Company>
  <Pages>5</Pages>
  <Words>1647</Words>
  <Characters>1751</Characters>
  <Lines>12</Lines>
  <Paragraphs>3</Paragraphs>
  <TotalTime>1</TotalTime>
  <ScaleCrop>false</ScaleCrop>
  <LinksUpToDate>false</LinksUpToDate>
  <CharactersWithSpaces>1751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2023-04-23T01:27:00Z</dcterms:created>
  <dc:creator>刘龙华</dc:creator>
  <cp:lastModifiedBy>Administrator</cp:lastModifiedBy>
  <cp:lastPrinted>2021-06-02T10:30:00Z</cp:lastPrinted>
  <dcterms:modified xsi:type="dcterms:W3CDTF">2023-04-23T01:42:07Z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E6AE4970E26144BCB8DF9B894759FB85_12</vt:lpwstr>
  </property>
</Properties>
</file>