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left"/>
        <w:rPr>
          <w:rFonts w:ascii="方正小标宋简体" w:hAnsi="微软雅黑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京林村中部片区土地征收成片开发方案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一、编制依据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</w:t>
      </w:r>
      <w:r>
        <w:rPr>
          <w:rFonts w:ascii="仿宋_GB2312" w:hAnsi="宋体" w:eastAsia="仿宋_GB2312"/>
          <w:sz w:val="32"/>
          <w:szCs w:val="32"/>
        </w:rPr>
        <w:t>《中华人民共和国土地管理法》（2019年修正版）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《自然资源部关于印发〈土地征收成片开发标准（试行）〉的通知》（自然资规〔2020〕5号）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《自然资源部办公厅关于印发〈国土空间调查、规划、用途管制用地用海分类指南（试行）〉》（自然资办发〔2020〕51号）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《福建省自然资源厅关于印发〈福建省土地征收成片开发方案报批实施细则（试行）〉的通知》（闽自然资发〔2021〕3号，下文简称《实施细则》）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《福建省土地征收成片开发方案编制参考指南(试行)》（闽自然资发〔2021〕6号）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《福州滨海新城核心区莲花山组团控制性详细规划》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《关于福州市长乐区2021年国民经济和社会发展计划执行情况与2022年计划草案的报告》。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二、基本情况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本片区位于福州滨海新城范围内，具体范围为：东至沙京路，西至南洋西河，南至京岐路，北至道庆路。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本方案涉及</w:t>
      </w:r>
      <w:r>
        <w:rPr>
          <w:rFonts w:hint="eastAsia" w:ascii="仿宋_GB2312" w:hAnsi="仿宋_GB2312" w:eastAsia="仿宋_GB2312" w:cs="仿宋_GB2312"/>
          <w:sz w:val="32"/>
          <w:szCs w:val="31"/>
          <w:lang w:bidi="ar"/>
        </w:rPr>
        <w:t>鹤上镇</w:t>
      </w:r>
      <w:r>
        <w:rPr>
          <w:rFonts w:hint="eastAsia" w:ascii="仿宋_GB2312" w:hAnsi="仿宋_GB2312" w:eastAsia="仿宋_GB2312" w:cs="仿宋_GB2312"/>
          <w:sz w:val="32"/>
          <w:szCs w:val="32"/>
        </w:rPr>
        <w:t>的京林村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、上李村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，共</w:t>
      </w:r>
      <w:r>
        <w:rPr>
          <w:rFonts w:hint="eastAsia" w:ascii="仿宋_GB2312" w:hAnsi="仿宋_GB2312" w:eastAsia="仿宋_GB2312" w:cs="仿宋_GB2312"/>
          <w:sz w:val="32"/>
          <w:szCs w:val="32"/>
        </w:rPr>
        <w:t>1个镇2个村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，涉及3个国有单位，不涉及省级和国家级开发区。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根据实地勘测调查，本方案成片开发范围总面积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11.1135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其中集体土地面积7.2307公顷，国有土地面积3.8828公顷；涉及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农用地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1.3280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公顷（其中：耕地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0.8322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公顷），建设用地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8.1157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公顷，未利用地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1.6698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公顷。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ascii="黑体" w:hAnsi="黑体" w:eastAsia="黑体"/>
          <w:b w:val="0"/>
          <w:szCs w:val="32"/>
        </w:rPr>
        <w:t xml:space="preserve"> </w:t>
      </w:r>
      <w:r>
        <w:rPr>
          <w:rFonts w:hint="eastAsia" w:ascii="黑体" w:hAnsi="黑体" w:eastAsia="黑体"/>
          <w:b w:val="0"/>
          <w:szCs w:val="32"/>
        </w:rPr>
        <w:t>三、项目的必要性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本片区内拟引进知名食品有限公司（水产品生产、加工），该公司为福建特色优势产业中的龙头企业，片区的建设有利于推动区域现代农业的发展，促进地区资源优势转化成经济优势，是推动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莲</w:t>
      </w:r>
      <w:r>
        <w:rPr>
          <w:rFonts w:hint="eastAsia" w:ascii="Times New Roman" w:hAnsi="Times New Roman" w:eastAsia="仿宋_GB2312"/>
          <w:sz w:val="32"/>
          <w:szCs w:val="32"/>
        </w:rPr>
        <w:t>花山组团启动建设的重要区域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四、规划土地用途分析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本方案用地总面积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11.1135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公顷，以工矿用地为主。其中工矿用地4.5790公顷，实现工业生产功能；绿地与开敞空间用地4.38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公顷，实现绿化功能；陆地水域2.1500公顷，实现生态功能。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五、公益性用地</w:t>
      </w:r>
      <w:r>
        <w:rPr>
          <w:rFonts w:ascii="黑体" w:hAnsi="黑体" w:eastAsia="黑体"/>
          <w:b w:val="0"/>
          <w:szCs w:val="32"/>
        </w:rPr>
        <w:t>情况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公益性用地包含绿地与开敞空间用地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、陆地水域</w:t>
      </w:r>
      <w:r>
        <w:rPr>
          <w:rFonts w:hint="eastAsia" w:ascii="仿宋_GB2312" w:hAnsi="仿宋_GB2312" w:eastAsia="仿宋_GB2312" w:cs="仿宋_GB2312"/>
          <w:sz w:val="32"/>
          <w:szCs w:val="32"/>
        </w:rPr>
        <w:t>，合计6.53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公顷，占总用地面积的58.80%，符合自然资规〔2020〕5号文件规定。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六</w:t>
      </w:r>
      <w:r>
        <w:rPr>
          <w:rFonts w:ascii="黑体" w:hAnsi="黑体" w:eastAsia="黑体"/>
          <w:b w:val="0"/>
          <w:szCs w:val="32"/>
        </w:rPr>
        <w:t>、规划符合情况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本方案符合国民经济和社会发展规划的发展定位、要求，有利于完成规划目标、任务，已纳入国民经济和社会发展年度计划。 </w:t>
      </w:r>
      <w:r>
        <w:rPr>
          <w:rFonts w:hint="eastAsia" w:ascii="仿宋_GB2312" w:hAnsi="宋体" w:eastAsia="仿宋_GB2312"/>
          <w:sz w:val="32"/>
          <w:szCs w:val="32"/>
        </w:rPr>
        <w:t>本方案位于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国土空间规划</w:t>
      </w:r>
      <w:r>
        <w:rPr>
          <w:rFonts w:hint="eastAsia" w:ascii="仿宋_GB2312" w:hAnsi="宋体" w:eastAsia="仿宋_GB2312"/>
          <w:sz w:val="32"/>
          <w:szCs w:val="32"/>
        </w:rPr>
        <w:t>城镇开发边界集中建设区。</w:t>
      </w:r>
      <w:bookmarkStart w:id="0" w:name="_GoBack"/>
      <w:bookmarkEnd w:id="0"/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七</w:t>
      </w:r>
      <w:r>
        <w:rPr>
          <w:rFonts w:ascii="黑体" w:hAnsi="黑体" w:eastAsia="黑体"/>
          <w:b w:val="0"/>
          <w:szCs w:val="32"/>
        </w:rPr>
        <w:t>、</w:t>
      </w:r>
      <w:r>
        <w:rPr>
          <w:rFonts w:hint="eastAsia" w:ascii="黑体" w:hAnsi="黑体" w:eastAsia="黑体"/>
          <w:b w:val="0"/>
          <w:szCs w:val="32"/>
        </w:rPr>
        <w:t>永久基本农田及生态保护情况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成片开发范围内不涉及永久基本农田、陆域生态保护红线等，不涉及历史文化名城、名镇、名村及传统村落，不涉及各级文物保护单位、不可移动文物登记点及已公布历史建筑。符合成片开发项目送审报批的要求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八</w:t>
      </w:r>
      <w:r>
        <w:rPr>
          <w:rFonts w:ascii="黑体" w:hAnsi="黑体" w:eastAsia="黑体"/>
          <w:b w:val="0"/>
          <w:szCs w:val="32"/>
        </w:rPr>
        <w:t>、</w:t>
      </w:r>
      <w:r>
        <w:rPr>
          <w:rFonts w:hint="eastAsia" w:ascii="黑体" w:hAnsi="黑体" w:eastAsia="黑体"/>
          <w:b w:val="0"/>
          <w:szCs w:val="32"/>
        </w:rPr>
        <w:t>实施计划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本方案用地总面积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11.1135</w:t>
      </w:r>
      <w:r>
        <w:rPr>
          <w:rFonts w:hint="eastAsia" w:ascii="仿宋_GB2312" w:hAnsi="宋体" w:eastAsia="仿宋_GB2312"/>
          <w:sz w:val="32"/>
          <w:szCs w:val="32"/>
        </w:rPr>
        <w:t>公顷，其中涉及已完成实施面积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3.8828</w:t>
      </w:r>
      <w:r>
        <w:rPr>
          <w:rFonts w:hint="eastAsia" w:ascii="仿宋_GB2312" w:hAnsi="宋体" w:eastAsia="仿宋_GB2312"/>
          <w:sz w:val="32"/>
          <w:szCs w:val="32"/>
        </w:rPr>
        <w:t>公顷，故拟安排实施项目面积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7.2307</w:t>
      </w:r>
      <w:r>
        <w:rPr>
          <w:rFonts w:hint="eastAsia" w:ascii="仿宋_GB2312" w:hAnsi="宋体" w:eastAsia="仿宋_GB2312"/>
          <w:sz w:val="32"/>
          <w:szCs w:val="32"/>
        </w:rPr>
        <w:t>公顷，计划实施</w:t>
      </w:r>
      <w:r>
        <w:rPr>
          <w:rFonts w:ascii="仿宋_GB2312" w:hAnsi="宋体" w:eastAsia="仿宋_GB2312"/>
          <w:sz w:val="32"/>
          <w:szCs w:val="32"/>
        </w:rPr>
        <w:t>周期为202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sz w:val="32"/>
          <w:szCs w:val="32"/>
        </w:rPr>
        <w:t>-202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sz w:val="32"/>
          <w:szCs w:val="32"/>
        </w:rPr>
        <w:t>年，3年内实施完毕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九、效益评估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（一）土地利用效益：</w:t>
      </w:r>
      <w:r>
        <w:rPr>
          <w:rFonts w:hint="eastAsia" w:ascii="Times New Roman" w:hAnsi="Times New Roman" w:eastAsia="仿宋_GB2312"/>
          <w:sz w:val="32"/>
          <w:szCs w:val="32"/>
        </w:rPr>
        <w:t>本方案依据《福州滨海新城核心区莲花山组团控制性详细规划》合理规划工业用地，容积率控制在1.0-1.8。通过本方案的实施，能够实现统一规划、开发、建设与管理，提高城市土地资源配置效率，利于提高滨海新城土地使用效益，实现土地利用由粗放型向集约型转变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（二）经济效益：</w:t>
      </w:r>
      <w:r>
        <w:rPr>
          <w:rFonts w:hint="eastAsia" w:ascii="Times New Roman" w:hAnsi="Times New Roman" w:eastAsia="仿宋_GB2312"/>
          <w:sz w:val="32"/>
          <w:szCs w:val="32"/>
        </w:rPr>
        <w:t>本片区拟引进集水产品养殖、加工、销售为一体的福建省龙头企业，片区内项目的建设有利于带动地区现代农业的发展、吸引产业人口和启动莲花山组团的建设。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（三）社会效益：本片区规划工业用地</w:t>
      </w:r>
      <w:r>
        <w:rPr>
          <w:rFonts w:ascii="仿宋_GB2312" w:hAnsi="宋体" w:eastAsia="仿宋_GB2312"/>
          <w:bCs/>
          <w:sz w:val="32"/>
          <w:szCs w:val="32"/>
        </w:rPr>
        <w:t>4.5790公顷，按照300（人/公顷）工业用地就业人口估算指标，工业项目建成后预计可新增就业人口约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1300</w:t>
      </w:r>
      <w:r>
        <w:rPr>
          <w:rFonts w:ascii="仿宋_GB2312" w:hAnsi="宋体" w:eastAsia="仿宋_GB2312"/>
          <w:bCs/>
          <w:sz w:val="32"/>
          <w:szCs w:val="32"/>
        </w:rPr>
        <w:t>人，可吸收当地剩余劳动力，有效解决被征地农民就业保障问题，保障农民权益，维持社会稳定发展。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（四）生态效益：本片区内规划的生态绿化用地，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为服务于周边产业园区的邻里公园，有利于提升区域环境，为居民营造休闲游憩的空间</w:t>
      </w:r>
      <w:r>
        <w:rPr>
          <w:rFonts w:ascii="仿宋_GB2312" w:hAnsi="宋体" w:eastAsia="仿宋_GB2312"/>
          <w:bCs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b w:val="0"/>
          <w:szCs w:val="32"/>
        </w:rPr>
      </w:pPr>
      <w:r>
        <w:rPr>
          <w:rFonts w:hint="eastAsia" w:ascii="黑体" w:hAnsi="黑体" w:eastAsia="黑体"/>
          <w:b w:val="0"/>
          <w:szCs w:val="32"/>
        </w:rPr>
        <w:t>十、结论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《京林村中部片区土地征收成片开发方案》符合土地征收成片开发的标准。</w:t>
      </w:r>
    </w:p>
    <w:p>
      <w:pPr>
        <w:widowControl/>
        <w:spacing w:line="560" w:lineRule="exact"/>
        <w:jc w:val="left"/>
        <w:rPr>
          <w:rFonts w:ascii="仿宋_GB2312" w:hAnsi="宋体" w:eastAsia="仿宋_GB2312"/>
          <w:bCs/>
          <w:sz w:val="32"/>
          <w:szCs w:val="32"/>
        </w:rPr>
        <w:sectPr>
          <w:footerReference r:id="rId3" w:type="default"/>
          <w:pgSz w:w="11906" w:h="16838"/>
          <w:pgMar w:top="1984" w:right="1474" w:bottom="1871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仿宋_GB2312" w:hAnsi="宋体" w:eastAsia="仿宋_GB2312"/>
          <w:bCs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附图：</w: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宋体" w:eastAsia="仿宋_GB2312"/>
          <w:bCs/>
          <w:sz w:val="32"/>
          <w:szCs w:val="32"/>
        </w:rPr>
        <w:instrText xml:space="preserve">ADDIN CNKISM.UserStyle</w:instrTex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Cs/>
          <w:sz w:val="32"/>
          <w:szCs w:val="32"/>
        </w:rPr>
        <w:t>成片开发位置示意图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29210</wp:posOffset>
            </wp:positionV>
            <wp:extent cx="8355965" cy="5909945"/>
            <wp:effectExtent l="0" t="0" r="6985" b="14605"/>
            <wp:wrapNone/>
            <wp:docPr id="2" name="图片 2" descr="成片开发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成片开发位置示意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5965" cy="590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87" w:right="1984" w:bottom="1474" w:left="187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d w:val="58834674"/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d w:val="58834674"/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563CF"/>
    <w:multiLevelType w:val="multilevel"/>
    <w:tmpl w:val="5A3563CF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chineseCountingThousand"/>
      <w:lvlText w:val="(%2)"/>
      <w:lvlJc w:val="left"/>
      <w:pPr>
        <w:ind w:left="1500" w:hanging="1080"/>
      </w:pPr>
      <w:rPr>
        <w:rFonts w:hint="default"/>
      </w:rPr>
    </w:lvl>
    <w:lvl w:ilvl="2" w:tentative="0">
      <w:start w:val="1"/>
      <w:numFmt w:val="decimal"/>
      <w:lvlText w:val="（%3）"/>
      <w:lvlJc w:val="left"/>
      <w:pPr>
        <w:ind w:left="1590" w:hanging="750"/>
      </w:pPr>
      <w:rPr>
        <w:rFonts w:ascii="宋体" w:hAnsi="宋体" w:eastAsia="宋体" w:cstheme="minorBidi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MGI2ODA0NDk2YzIyNWY1N2JiZmRkMWM1MWUyNGEifQ=="/>
  </w:docVars>
  <w:rsids>
    <w:rsidRoot w:val="008206CE"/>
    <w:rsid w:val="0001648C"/>
    <w:rsid w:val="00092A71"/>
    <w:rsid w:val="000D625A"/>
    <w:rsid w:val="000E1D34"/>
    <w:rsid w:val="001003E4"/>
    <w:rsid w:val="001124C3"/>
    <w:rsid w:val="0017500E"/>
    <w:rsid w:val="00185ADC"/>
    <w:rsid w:val="00192A04"/>
    <w:rsid w:val="001B343A"/>
    <w:rsid w:val="001B3812"/>
    <w:rsid w:val="001E3A33"/>
    <w:rsid w:val="00203CA3"/>
    <w:rsid w:val="00205DAA"/>
    <w:rsid w:val="00281003"/>
    <w:rsid w:val="002900E7"/>
    <w:rsid w:val="002B2A77"/>
    <w:rsid w:val="002C118E"/>
    <w:rsid w:val="002D182C"/>
    <w:rsid w:val="002D63E5"/>
    <w:rsid w:val="002D695C"/>
    <w:rsid w:val="00324166"/>
    <w:rsid w:val="00362ECF"/>
    <w:rsid w:val="00362F0D"/>
    <w:rsid w:val="0039709A"/>
    <w:rsid w:val="003C013F"/>
    <w:rsid w:val="003C1698"/>
    <w:rsid w:val="003D5CCE"/>
    <w:rsid w:val="003D6A6A"/>
    <w:rsid w:val="003F2701"/>
    <w:rsid w:val="00403C96"/>
    <w:rsid w:val="004115CE"/>
    <w:rsid w:val="004222B9"/>
    <w:rsid w:val="0045559D"/>
    <w:rsid w:val="0047022B"/>
    <w:rsid w:val="00483624"/>
    <w:rsid w:val="004B3819"/>
    <w:rsid w:val="004C3CEC"/>
    <w:rsid w:val="004E52D9"/>
    <w:rsid w:val="004F732D"/>
    <w:rsid w:val="004F7B5C"/>
    <w:rsid w:val="00592D1D"/>
    <w:rsid w:val="005A5028"/>
    <w:rsid w:val="005B29D3"/>
    <w:rsid w:val="005C46A5"/>
    <w:rsid w:val="005F2900"/>
    <w:rsid w:val="0062343E"/>
    <w:rsid w:val="006A1E58"/>
    <w:rsid w:val="006C2E13"/>
    <w:rsid w:val="006E058D"/>
    <w:rsid w:val="006E54EA"/>
    <w:rsid w:val="00741F64"/>
    <w:rsid w:val="007B08E7"/>
    <w:rsid w:val="007C1789"/>
    <w:rsid w:val="007C664D"/>
    <w:rsid w:val="007E0469"/>
    <w:rsid w:val="007E5E8F"/>
    <w:rsid w:val="007F5F66"/>
    <w:rsid w:val="0080566A"/>
    <w:rsid w:val="0081107F"/>
    <w:rsid w:val="008206CE"/>
    <w:rsid w:val="00837B0E"/>
    <w:rsid w:val="00840B86"/>
    <w:rsid w:val="00854B1E"/>
    <w:rsid w:val="00875513"/>
    <w:rsid w:val="00876F89"/>
    <w:rsid w:val="008B2064"/>
    <w:rsid w:val="008C2457"/>
    <w:rsid w:val="008D15AD"/>
    <w:rsid w:val="008D681F"/>
    <w:rsid w:val="008E4700"/>
    <w:rsid w:val="00980643"/>
    <w:rsid w:val="009B153D"/>
    <w:rsid w:val="009B4C4F"/>
    <w:rsid w:val="009E7626"/>
    <w:rsid w:val="00A15E5C"/>
    <w:rsid w:val="00A3488C"/>
    <w:rsid w:val="00A70559"/>
    <w:rsid w:val="00AA3880"/>
    <w:rsid w:val="00AA6605"/>
    <w:rsid w:val="00AB0671"/>
    <w:rsid w:val="00AC134A"/>
    <w:rsid w:val="00AE562E"/>
    <w:rsid w:val="00B35D53"/>
    <w:rsid w:val="00B37B2B"/>
    <w:rsid w:val="00B40891"/>
    <w:rsid w:val="00B44426"/>
    <w:rsid w:val="00B4767A"/>
    <w:rsid w:val="00BC26AC"/>
    <w:rsid w:val="00BC391E"/>
    <w:rsid w:val="00BD514B"/>
    <w:rsid w:val="00BE3644"/>
    <w:rsid w:val="00C153D0"/>
    <w:rsid w:val="00C220EA"/>
    <w:rsid w:val="00C24E90"/>
    <w:rsid w:val="00C8022C"/>
    <w:rsid w:val="00C91473"/>
    <w:rsid w:val="00C968E3"/>
    <w:rsid w:val="00CC6411"/>
    <w:rsid w:val="00CD02E1"/>
    <w:rsid w:val="00CF55B1"/>
    <w:rsid w:val="00D32A4E"/>
    <w:rsid w:val="00D42F39"/>
    <w:rsid w:val="00D83EC3"/>
    <w:rsid w:val="00D87007"/>
    <w:rsid w:val="00D936B6"/>
    <w:rsid w:val="00DA1BA1"/>
    <w:rsid w:val="00DC7F6D"/>
    <w:rsid w:val="00E01AF7"/>
    <w:rsid w:val="00E64310"/>
    <w:rsid w:val="00E814F1"/>
    <w:rsid w:val="00E95CDA"/>
    <w:rsid w:val="00EA4C8A"/>
    <w:rsid w:val="00EA51D6"/>
    <w:rsid w:val="00EA7E2C"/>
    <w:rsid w:val="00EB0C74"/>
    <w:rsid w:val="00F14B00"/>
    <w:rsid w:val="00F57216"/>
    <w:rsid w:val="00F72FDB"/>
    <w:rsid w:val="00F744E6"/>
    <w:rsid w:val="00F76A8F"/>
    <w:rsid w:val="00F86FAC"/>
    <w:rsid w:val="00FB42D5"/>
    <w:rsid w:val="00FE4166"/>
    <w:rsid w:val="013D72DA"/>
    <w:rsid w:val="03F71FF4"/>
    <w:rsid w:val="0903562B"/>
    <w:rsid w:val="09F83B1B"/>
    <w:rsid w:val="0A9D62A2"/>
    <w:rsid w:val="0D0E136C"/>
    <w:rsid w:val="0FC45556"/>
    <w:rsid w:val="128946D9"/>
    <w:rsid w:val="13470C11"/>
    <w:rsid w:val="1C0A5EC2"/>
    <w:rsid w:val="1CF15AF8"/>
    <w:rsid w:val="1CF46698"/>
    <w:rsid w:val="1E232195"/>
    <w:rsid w:val="1F840D10"/>
    <w:rsid w:val="24322CB0"/>
    <w:rsid w:val="27A80F84"/>
    <w:rsid w:val="2AD14BC8"/>
    <w:rsid w:val="2F552DE2"/>
    <w:rsid w:val="307F5335"/>
    <w:rsid w:val="326B0037"/>
    <w:rsid w:val="39894AE1"/>
    <w:rsid w:val="3C6D75A1"/>
    <w:rsid w:val="3FE306AA"/>
    <w:rsid w:val="43AE6A0F"/>
    <w:rsid w:val="4BC77528"/>
    <w:rsid w:val="4E267909"/>
    <w:rsid w:val="4EFE6EAA"/>
    <w:rsid w:val="4F292AC6"/>
    <w:rsid w:val="682956B5"/>
    <w:rsid w:val="6C7E5805"/>
    <w:rsid w:val="74132512"/>
    <w:rsid w:val="758301C4"/>
    <w:rsid w:val="76357644"/>
    <w:rsid w:val="79C17DB5"/>
    <w:rsid w:val="7AE865FB"/>
    <w:rsid w:val="7B9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1"/>
    <w:link w:val="2"/>
    <w:qFormat/>
    <w:uiPriority w:val="9"/>
    <w:rPr>
      <w:rFonts w:eastAsia="微软雅黑"/>
      <w:b/>
      <w:bCs/>
      <w:kern w:val="44"/>
      <w:sz w:val="32"/>
      <w:szCs w:val="44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文字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9742E-6F1C-4A4F-B01D-4AECC0EDD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fzghy</Company>
  <Pages>5</Pages>
  <Words>1507</Words>
  <Characters>1639</Characters>
  <Lines>1</Lines>
  <Paragraphs>3</Paragraphs>
  <TotalTime>22</TotalTime>
  <ScaleCrop>false</ScaleCrop>
  <LinksUpToDate>false</LinksUpToDate>
  <CharactersWithSpaces>1641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2022-10-09T08:38:00Z</dcterms:created>
  <dc:creator>刘龙华</dc:creator>
  <cp:lastModifiedBy>WPS_1523435612</cp:lastModifiedBy>
  <cp:lastPrinted>2022-11-24T03:41:00Z</cp:lastPrinted>
  <dcterms:modified xsi:type="dcterms:W3CDTF">2022-11-24T07:09:04Z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6F77DEB2D51349089D7FE569B49C81ED</vt:lpwstr>
  </property>
</Properties>
</file>