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560" w:lineRule="exact"/>
        <w:jc w:val="left"/>
        <w:textAlignment w:val="auto"/>
        <w:rPr>
          <w:rFonts w:ascii="黑体" w:hAnsi="黑体" w:eastAsia="黑体" w:cs="黑体"/>
          <w:sz w:val="32"/>
          <w:szCs w:val="32"/>
        </w:rPr>
      </w:pPr>
      <w:r>
        <w:rPr>
          <w:rFonts w:hint="eastAsia" w:ascii="黑体" w:hAnsi="黑体" w:eastAsia="黑体" w:cs="黑体"/>
          <w:sz w:val="32"/>
          <w:szCs w:val="32"/>
        </w:rPr>
        <w:t>附件：</w:t>
      </w:r>
    </w:p>
    <w:p>
      <w:pPr>
        <w:pageBreakBefore w:val="0"/>
        <w:kinsoku/>
        <w:wordWrap/>
        <w:overflowPunct/>
        <w:topLinePunct w:val="0"/>
        <w:autoSpaceDE/>
        <w:autoSpaceDN/>
        <w:bidi w:val="0"/>
        <w:adjustRightInd/>
        <w:snapToGrid/>
        <w:spacing w:line="560" w:lineRule="exact"/>
        <w:jc w:val="left"/>
        <w:textAlignment w:val="auto"/>
        <w:rPr>
          <w:rFonts w:ascii="方正小标宋简体" w:hAnsi="微软雅黑" w:eastAsia="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长乐区</w:t>
      </w:r>
      <w:r>
        <w:rPr>
          <w:rFonts w:hint="eastAsia" w:ascii="方正小标宋简体" w:hAnsi="方正小标宋简体" w:eastAsia="方正小标宋简体" w:cs="方正小标宋简体"/>
          <w:sz w:val="44"/>
          <w:szCs w:val="44"/>
          <w:lang w:eastAsia="zh-CN"/>
        </w:rPr>
        <w:t>占前西路南侧片区</w:t>
      </w:r>
      <w:r>
        <w:rPr>
          <w:rFonts w:hint="eastAsia" w:ascii="方正小标宋简体" w:hAnsi="方正小标宋简体" w:eastAsia="方正小标宋简体" w:cs="方正小标宋简体"/>
          <w:sz w:val="44"/>
          <w:szCs w:val="44"/>
        </w:rPr>
        <w:t>土地征收</w:t>
      </w:r>
    </w:p>
    <w:p>
      <w:pPr>
        <w:pageBreakBefore w:val="0"/>
        <w:kinsoku/>
        <w:wordWrap/>
        <w:overflowPunct/>
        <w:topLinePunct w:val="0"/>
        <w:autoSpaceDE/>
        <w:autoSpaceDN/>
        <w:bidi w:val="0"/>
        <w:adjustRightInd/>
        <w:snapToGrid/>
        <w:spacing w:line="560" w:lineRule="exact"/>
        <w:jc w:val="center"/>
        <w:textAlignment w:val="auto"/>
        <w:rPr>
          <w:rFonts w:ascii="方正小标宋简体" w:hAnsi="微软雅黑" w:eastAsia="方正小标宋简体"/>
          <w:sz w:val="44"/>
          <w:szCs w:val="44"/>
        </w:rPr>
      </w:pPr>
      <w:r>
        <w:rPr>
          <w:rFonts w:hint="eastAsia" w:ascii="方正小标宋简体" w:hAnsi="方正小标宋简体" w:eastAsia="方正小标宋简体" w:cs="方正小标宋简体"/>
          <w:sz w:val="44"/>
          <w:szCs w:val="44"/>
        </w:rPr>
        <w:t>成片开发方案</w:t>
      </w:r>
    </w:p>
    <w:p>
      <w:pPr>
        <w:pageBreakBefore w:val="0"/>
        <w:kinsoku/>
        <w:wordWrap/>
        <w:overflowPunct/>
        <w:topLinePunct w:val="0"/>
        <w:autoSpaceDE/>
        <w:autoSpaceDN/>
        <w:bidi w:val="0"/>
        <w:adjustRightInd/>
        <w:snapToGrid/>
        <w:spacing w:line="560" w:lineRule="exact"/>
        <w:jc w:val="center"/>
        <w:textAlignment w:val="auto"/>
        <w:rPr>
          <w:rFonts w:ascii="方正小标宋简体" w:hAnsi="微软雅黑" w:eastAsia="方正小标宋简体"/>
          <w:sz w:val="44"/>
          <w:szCs w:val="44"/>
        </w:rPr>
      </w:pP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一、编制依据</w:t>
      </w:r>
    </w:p>
    <w:p>
      <w:pPr>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仿宋_GB2312" w:hAnsi="仿宋_GB2312" w:eastAsia="仿宋_GB2312" w:cs="仿宋_GB2312"/>
          <w:sz w:val="32"/>
          <w:szCs w:val="32"/>
        </w:rPr>
        <w:t>依据《中华人民共和国土地管理法》（2019年修正版）、《自然资源部关于印发&lt;土地征收成片开发标准（试行）&gt;的通知》（自然资规〔2020〕5号）、</w:t>
      </w:r>
      <w:bookmarkStart w:id="0" w:name="_Hlk62547865"/>
      <w:r>
        <w:rPr>
          <w:rFonts w:hint="eastAsia" w:ascii="仿宋_GB2312" w:hAnsi="仿宋_GB2312" w:eastAsia="仿宋_GB2312" w:cs="仿宋_GB2312"/>
          <w:sz w:val="32"/>
          <w:szCs w:val="32"/>
        </w:rPr>
        <w:t>《福建省自然资源厅关于印发〈福建省土地征收成片开发方案报批实施细则（试行）〉的通知》（闽自然资发〔2021〕3号）、《自然资源部办公厅关于印发〈国土空间调查、规划、用途管制用地用海分类指南（试行）〉》（自然资办发〔2020〕51号）、</w:t>
      </w:r>
      <w:bookmarkEnd w:id="0"/>
      <w:r>
        <w:rPr>
          <w:rFonts w:hint="eastAsia" w:ascii="仿宋_GB2312" w:hAnsi="仿宋_GB2312" w:eastAsia="仿宋_GB2312" w:cs="仿宋_GB2312"/>
          <w:sz w:val="32"/>
          <w:szCs w:val="32"/>
        </w:rPr>
        <w:t>《福建省土地征收成片开发方案编制参考指南(试行)》（闽自然资发〔2021〕6号）、《长乐市土地利用总体规划（2006-2020年）调整完善方案》编制《长乐区</w:t>
      </w:r>
      <w:r>
        <w:rPr>
          <w:rFonts w:hint="eastAsia" w:ascii="仿宋_GB2312" w:hAnsi="仿宋_GB2312" w:eastAsia="仿宋_GB2312" w:cs="仿宋_GB2312"/>
          <w:kern w:val="0"/>
          <w:sz w:val="32"/>
          <w:szCs w:val="32"/>
          <w:lang w:eastAsia="zh-CN"/>
        </w:rPr>
        <w:t>占前西路南侧片区</w:t>
      </w:r>
      <w:r>
        <w:rPr>
          <w:rFonts w:hint="eastAsia" w:ascii="仿宋_GB2312" w:hAnsi="仿宋_GB2312" w:eastAsia="仿宋_GB2312" w:cs="仿宋_GB2312"/>
          <w:sz w:val="32"/>
          <w:szCs w:val="32"/>
        </w:rPr>
        <w:t>土地征收成片开发方案》。</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二、基本情况</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eastAsia="zh-CN"/>
        </w:rPr>
        <w:t>占前西路</w:t>
      </w:r>
      <w:r>
        <w:rPr>
          <w:rFonts w:hint="eastAsia" w:ascii="仿宋_GB2312" w:hAnsi="仿宋_GB2312" w:eastAsia="仿宋_GB2312" w:cs="仿宋_GB2312"/>
          <w:sz w:val="32"/>
          <w:szCs w:val="32"/>
          <w:lang w:eastAsia="zh-CN"/>
        </w:rPr>
        <w:t>南侧片区</w:t>
      </w:r>
      <w:r>
        <w:rPr>
          <w:rFonts w:hint="eastAsia" w:ascii="仿宋_GB2312" w:hAnsi="仿宋_GB2312" w:eastAsia="仿宋_GB2312" w:cs="仿宋_GB2312"/>
          <w:sz w:val="32"/>
          <w:szCs w:val="32"/>
        </w:rPr>
        <w:t>涉及长乐区首占镇</w:t>
      </w:r>
      <w:r>
        <w:rPr>
          <w:rFonts w:hint="eastAsia" w:ascii="仿宋_GB2312" w:hAnsi="仿宋_GB2312" w:eastAsia="仿宋_GB2312" w:cs="仿宋_GB2312"/>
          <w:sz w:val="32"/>
          <w:szCs w:val="32"/>
          <w:lang w:val="en-US" w:eastAsia="zh-CN"/>
        </w:rPr>
        <w:t>上洋村</w:t>
      </w:r>
      <w:r>
        <w:rPr>
          <w:rFonts w:hint="eastAsia" w:ascii="仿宋_GB2312" w:hAnsi="仿宋_GB2312" w:eastAsia="仿宋_GB2312" w:cs="仿宋_GB2312"/>
          <w:sz w:val="32"/>
          <w:szCs w:val="32"/>
        </w:rPr>
        <w:t>，共1个镇1个村；涉及</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个国有单位，不涉及省级和国家级开发</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。该成片开发范围总面积</w:t>
      </w:r>
      <w:r>
        <w:rPr>
          <w:rFonts w:hint="eastAsia" w:ascii="仿宋_GB2312" w:hAnsi="仿宋_GB2312" w:eastAsia="仿宋_GB2312" w:cs="仿宋_GB2312"/>
          <w:sz w:val="32"/>
          <w:szCs w:val="32"/>
          <w:lang w:eastAsia="zh-CN"/>
        </w:rPr>
        <w:t>34.1579</w:t>
      </w:r>
      <w:r>
        <w:rPr>
          <w:rFonts w:hint="eastAsia" w:ascii="仿宋_GB2312" w:hAnsi="仿宋_GB2312" w:eastAsia="仿宋_GB2312" w:cs="仿宋_GB2312"/>
          <w:sz w:val="32"/>
          <w:szCs w:val="32"/>
        </w:rPr>
        <w:t>公顷，其中集体土地面积29.5792公顷，国有土地面积</w:t>
      </w:r>
      <w:r>
        <w:rPr>
          <w:rFonts w:hint="eastAsia" w:ascii="仿宋_GB2312" w:hAnsi="仿宋_GB2312" w:eastAsia="仿宋_GB2312" w:cs="仿宋_GB2312"/>
          <w:sz w:val="32"/>
          <w:szCs w:val="32"/>
          <w:lang w:val="en-US" w:eastAsia="zh-CN"/>
        </w:rPr>
        <w:t>4.5787</w:t>
      </w:r>
      <w:r>
        <w:rPr>
          <w:rFonts w:hint="eastAsia" w:ascii="仿宋_GB2312" w:hAnsi="仿宋_GB2312" w:eastAsia="仿宋_GB2312" w:cs="仿宋_GB2312"/>
          <w:sz w:val="32"/>
          <w:szCs w:val="32"/>
        </w:rPr>
        <w:t>公顷。</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lang w:eastAsia="zh-CN"/>
        </w:rPr>
      </w:pPr>
      <w:r>
        <w:rPr>
          <w:rFonts w:hint="eastAsia" w:ascii="仿宋_GB2312" w:hAnsi="仿宋_GB2312" w:eastAsia="仿宋_GB2312" w:cs="仿宋_GB2312"/>
          <w:sz w:val="32"/>
          <w:szCs w:val="32"/>
          <w:lang w:eastAsia="zh-CN"/>
        </w:rPr>
        <w:t>本方案涉及农用地12.5351公顷（</w:t>
      </w:r>
      <w:r>
        <w:rPr>
          <w:rFonts w:hint="eastAsia" w:ascii="仿宋_GB2312" w:hAnsi="仿宋_GB2312" w:eastAsia="仿宋_GB2312" w:cs="仿宋_GB2312"/>
          <w:sz w:val="32"/>
          <w:szCs w:val="32"/>
          <w:lang w:val="en-US" w:eastAsia="zh-CN"/>
        </w:rPr>
        <w:t>其中</w:t>
      </w:r>
      <w:r>
        <w:rPr>
          <w:rFonts w:hint="eastAsia" w:ascii="仿宋_GB2312" w:hAnsi="仿宋_GB2312" w:eastAsia="仿宋_GB2312" w:cs="仿宋_GB2312"/>
          <w:sz w:val="32"/>
          <w:szCs w:val="32"/>
          <w:lang w:eastAsia="zh-CN"/>
        </w:rPr>
        <w:t>耕地10.6092公顷），建设用地</w:t>
      </w:r>
      <w:r>
        <w:rPr>
          <w:rFonts w:hint="eastAsia" w:ascii="仿宋_GB2312" w:hAnsi="仿宋_GB2312" w:eastAsia="仿宋_GB2312" w:cs="仿宋_GB2312"/>
          <w:sz w:val="32"/>
          <w:szCs w:val="32"/>
        </w:rPr>
        <w:t>20.0319</w:t>
      </w:r>
      <w:r>
        <w:rPr>
          <w:rFonts w:hint="eastAsia" w:ascii="仿宋_GB2312" w:hAnsi="仿宋_GB2312" w:eastAsia="仿宋_GB2312" w:cs="仿宋_GB2312"/>
          <w:sz w:val="32"/>
          <w:szCs w:val="32"/>
          <w:lang w:eastAsia="zh-CN"/>
        </w:rPr>
        <w:t>公顷，未利用地</w:t>
      </w:r>
      <w:r>
        <w:rPr>
          <w:rFonts w:hint="eastAsia" w:ascii="仿宋_GB2312" w:hAnsi="仿宋_GB2312" w:eastAsia="仿宋_GB2312" w:cs="仿宋_GB2312"/>
          <w:sz w:val="32"/>
          <w:szCs w:val="32"/>
        </w:rPr>
        <w:t>1.5909</w:t>
      </w:r>
      <w:r>
        <w:rPr>
          <w:rFonts w:hint="eastAsia" w:ascii="仿宋_GB2312" w:hAnsi="仿宋_GB2312" w:eastAsia="仿宋_GB2312" w:cs="仿宋_GB2312"/>
          <w:sz w:val="32"/>
          <w:szCs w:val="32"/>
          <w:lang w:eastAsia="zh-CN"/>
        </w:rPr>
        <w:t>公顷。</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ascii="黑体" w:hAnsi="黑体" w:eastAsia="黑体"/>
          <w:b w:val="0"/>
          <w:szCs w:val="32"/>
        </w:rPr>
        <w:t xml:space="preserve"> </w:t>
      </w:r>
      <w:r>
        <w:rPr>
          <w:rFonts w:hint="eastAsia" w:ascii="黑体" w:hAnsi="黑体" w:eastAsia="黑体"/>
          <w:b w:val="0"/>
          <w:szCs w:val="32"/>
        </w:rPr>
        <w:t>三、项目的必要性</w:t>
      </w:r>
    </w:p>
    <w:p>
      <w:pPr>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sz w:val="32"/>
          <w:szCs w:val="32"/>
          <w:lang w:eastAsia="zh-CN"/>
        </w:rPr>
      </w:pPr>
      <w:r>
        <w:rPr>
          <w:rFonts w:hint="eastAsia" w:ascii="仿宋_GB2312" w:hAnsi="仿宋_GB2312" w:eastAsia="仿宋_GB2312" w:cs="仿宋_GB2312"/>
          <w:sz w:val="32"/>
          <w:szCs w:val="32"/>
        </w:rPr>
        <w:t>本片区</w:t>
      </w:r>
      <w:r>
        <w:rPr>
          <w:rFonts w:hint="eastAsia" w:ascii="仿宋_GB2312" w:hAnsi="仿宋_GB2312" w:eastAsia="仿宋_GB2312" w:cs="仿宋_GB2312"/>
          <w:sz w:val="32"/>
          <w:szCs w:val="32"/>
          <w:lang w:val="en-US" w:eastAsia="zh-CN"/>
        </w:rPr>
        <w:t>是长乐区城市更新的重点工程，</w:t>
      </w:r>
      <w:r>
        <w:rPr>
          <w:rFonts w:hint="eastAsia" w:ascii="仿宋_GB2312" w:hAnsi="仿宋_GB2312" w:eastAsia="仿宋_GB2312" w:cs="仿宋_GB2312"/>
          <w:sz w:val="32"/>
          <w:szCs w:val="32"/>
        </w:rPr>
        <w:t>是适应城市发展新形势、推动城市高质量发展的</w:t>
      </w:r>
      <w:r>
        <w:rPr>
          <w:rFonts w:hint="eastAsia" w:ascii="仿宋_GB2312" w:hAnsi="仿宋_GB2312" w:eastAsia="仿宋_GB2312" w:cs="仿宋_GB2312"/>
          <w:sz w:val="32"/>
          <w:szCs w:val="32"/>
          <w:lang w:val="en-US" w:eastAsia="zh-CN"/>
        </w:rPr>
        <w:t>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项目的实施有利于</w:t>
      </w:r>
      <w:r>
        <w:rPr>
          <w:rFonts w:hint="eastAsia" w:ascii="仿宋_GB2312" w:hAnsi="仿宋_GB2312" w:eastAsia="仿宋_GB2312" w:cs="仿宋_GB2312"/>
          <w:sz w:val="32"/>
          <w:szCs w:val="32"/>
        </w:rPr>
        <w:t>进一步完善</w:t>
      </w:r>
      <w:r>
        <w:rPr>
          <w:rFonts w:hint="eastAsia" w:ascii="仿宋_GB2312" w:hAnsi="仿宋_GB2312" w:eastAsia="仿宋_GB2312" w:cs="仿宋_GB2312"/>
          <w:sz w:val="32"/>
          <w:szCs w:val="32"/>
          <w:lang w:val="en-US" w:eastAsia="zh-CN"/>
        </w:rPr>
        <w:t>首占新区城市交通</w:t>
      </w:r>
      <w:r>
        <w:rPr>
          <w:rFonts w:hint="eastAsia" w:ascii="仿宋_GB2312" w:hAnsi="仿宋_GB2312" w:eastAsia="仿宋_GB2312" w:cs="仿宋_GB2312"/>
          <w:sz w:val="32"/>
          <w:szCs w:val="32"/>
        </w:rPr>
        <w:t>等相关配套，优化公共服务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完善城市功能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改善人居环境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推进土地节约集约利用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促进经济和社会可持续发展。</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四、规划土地用途分析</w:t>
      </w:r>
    </w:p>
    <w:p>
      <w:pPr>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本方案包括居住用地16.1882公顷；公共管理与公共服务用地面积9.0765公顷；交通运输用地面积6.6315公顷；绿地与开敞空间用地面积1.1212公顷；陆地水域面积1.1405公顷。</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五、公益性用地</w:t>
      </w:r>
      <w:r>
        <w:rPr>
          <w:rFonts w:ascii="黑体" w:hAnsi="黑体" w:eastAsia="黑体"/>
          <w:b w:val="0"/>
          <w:szCs w:val="32"/>
        </w:rPr>
        <w:t>情况</w:t>
      </w:r>
    </w:p>
    <w:p>
      <w:pPr>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szCs w:val="32"/>
          <w:lang w:val="en-US" w:eastAsia="zh-CN"/>
        </w:rPr>
      </w:pPr>
      <w:r>
        <w:rPr>
          <w:rFonts w:hint="eastAsia" w:ascii="仿宋_GB2312" w:hAnsi="仿宋_GB2312" w:eastAsia="仿宋_GB2312" w:cs="仿宋_GB2312"/>
          <w:sz w:val="32"/>
          <w:szCs w:val="32"/>
          <w:lang w:val="en-US" w:eastAsia="zh-CN"/>
        </w:rPr>
        <w:t>公益性用地包含公共管理与公共服务用地、交通运输用地、绿地与开敞空间用地、交通运输用地、陆地水域，合计17.9697公顷，占用地总面积的52.61%，符合自然资规〔2020〕5号文规定。</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六</w:t>
      </w:r>
      <w:r>
        <w:rPr>
          <w:rFonts w:ascii="黑体" w:hAnsi="黑体" w:eastAsia="黑体"/>
          <w:b w:val="0"/>
          <w:szCs w:val="32"/>
        </w:rPr>
        <w:t>、规划符合情况</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本方案符合国民经济和社会发展规划的发展定位、要求，有 利于完成规划目标、任务，已纳入国民经济和社会发展年度计划。 本方案已纳入上报的城镇开发边界集中建设区，</w:t>
      </w:r>
      <w:r>
        <w:rPr>
          <w:rFonts w:hint="eastAsia" w:ascii="仿宋_GB2312" w:hAnsi="仿宋_GB2312" w:eastAsia="仿宋_GB2312" w:cs="仿宋_GB2312"/>
          <w:sz w:val="32"/>
          <w:szCs w:val="32"/>
          <w:lang w:val="en-US" w:eastAsia="zh-CN"/>
        </w:rPr>
        <w:t>长乐区</w:t>
      </w:r>
      <w:r>
        <w:rPr>
          <w:rFonts w:hint="eastAsia" w:ascii="仿宋_GB2312" w:hAnsi="仿宋_GB2312" w:eastAsia="仿宋_GB2312" w:cs="仿宋_GB2312"/>
          <w:sz w:val="32"/>
          <w:szCs w:val="32"/>
        </w:rPr>
        <w:t>人民政府承诺将土地征收成片开发范围纳入国土空间规划最终确定的城镇开发边界内的集中建设区</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cstheme="minorBidi"/>
          <w:b w:val="0"/>
          <w:bCs/>
          <w:kern w:val="44"/>
          <w:sz w:val="32"/>
          <w:szCs w:val="32"/>
          <w:lang w:val="en-US" w:eastAsia="zh-CN" w:bidi="ar-SA"/>
        </w:rPr>
        <w:t>七、永久基本农田及生态保护情况</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仿宋_GB2312" w:eastAsia="仿宋_GB2312" w:cs="仿宋_GB2312"/>
          <w:sz w:val="32"/>
          <w:szCs w:val="32"/>
        </w:rPr>
        <w:t>成片开发范围内不涉及永久基本农田、陆域生态保护红线等，符合成片开发项目送审报批的要求。</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八</w:t>
      </w:r>
      <w:r>
        <w:rPr>
          <w:rFonts w:ascii="黑体" w:hAnsi="黑体" w:eastAsia="黑体"/>
          <w:b w:val="0"/>
          <w:szCs w:val="32"/>
        </w:rPr>
        <w:t>、</w:t>
      </w:r>
      <w:r>
        <w:rPr>
          <w:rFonts w:hint="eastAsia" w:ascii="黑体" w:hAnsi="黑体" w:eastAsia="黑体"/>
          <w:b w:val="0"/>
          <w:szCs w:val="32"/>
        </w:rPr>
        <w:t>实施计划</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仿宋_GB2312" w:eastAsia="仿宋_GB2312" w:cs="仿宋_GB2312"/>
          <w:sz w:val="32"/>
          <w:szCs w:val="32"/>
        </w:rPr>
        <w:t>本方案用地总面积</w:t>
      </w:r>
      <w:r>
        <w:rPr>
          <w:rFonts w:hint="eastAsia" w:ascii="仿宋_GB2312" w:hAnsi="仿宋_GB2312" w:eastAsia="仿宋_GB2312" w:cs="仿宋_GB2312"/>
          <w:sz w:val="32"/>
          <w:szCs w:val="32"/>
          <w:lang w:eastAsia="zh-CN"/>
        </w:rPr>
        <w:t>34.1579</w:t>
      </w:r>
      <w:r>
        <w:rPr>
          <w:rFonts w:hint="eastAsia" w:ascii="仿宋_GB2312" w:hAnsi="仿宋_GB2312" w:eastAsia="仿宋_GB2312" w:cs="仿宋_GB2312"/>
          <w:sz w:val="32"/>
          <w:szCs w:val="32"/>
        </w:rPr>
        <w:t>公顷，已完成实施面积</w:t>
      </w:r>
      <w:r>
        <w:rPr>
          <w:rFonts w:hint="eastAsia" w:ascii="仿宋_GB2312" w:hAnsi="仿宋_GB2312" w:eastAsia="仿宋_GB2312" w:cs="仿宋_GB2312"/>
          <w:sz w:val="32"/>
          <w:szCs w:val="32"/>
          <w:lang w:val="en-US" w:eastAsia="zh-CN"/>
        </w:rPr>
        <w:t>4.5787</w:t>
      </w:r>
      <w:r>
        <w:rPr>
          <w:rFonts w:hint="eastAsia" w:ascii="仿宋_GB2312" w:hAnsi="仿宋_GB2312" w:eastAsia="仿宋_GB2312" w:cs="仿宋_GB2312"/>
          <w:sz w:val="32"/>
          <w:szCs w:val="32"/>
        </w:rPr>
        <w:t>公顷，故拟安排实施项目面积</w:t>
      </w:r>
      <w:r>
        <w:rPr>
          <w:rFonts w:hint="eastAsia" w:ascii="仿宋_GB2312" w:hAnsi="仿宋_GB2312" w:eastAsia="仿宋_GB2312" w:cs="仿宋_GB2312"/>
          <w:sz w:val="32"/>
          <w:szCs w:val="32"/>
          <w:lang w:val="en-US" w:eastAsia="zh-CN"/>
        </w:rPr>
        <w:t>29.5792</w:t>
      </w:r>
      <w:r>
        <w:rPr>
          <w:rFonts w:hint="eastAsia" w:ascii="仿宋_GB2312" w:hAnsi="仿宋_GB2312" w:eastAsia="仿宋_GB2312" w:cs="仿宋_GB2312"/>
          <w:sz w:val="32"/>
          <w:szCs w:val="32"/>
        </w:rPr>
        <w:t>公顷，计划实施周期为202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年，3年内实施完毕。</w:t>
      </w:r>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九、效益评估</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（一）土地利用效益：通过合理安排用地规模、结构和布局，</w:t>
      </w:r>
      <w:r>
        <w:rPr>
          <w:rFonts w:hint="eastAsia" w:ascii="仿宋_GB2312" w:hAnsi="仿宋_GB2312" w:eastAsia="仿宋_GB2312" w:cs="仿宋_GB2312"/>
          <w:bCs/>
          <w:sz w:val="32"/>
          <w:szCs w:val="32"/>
          <w:lang w:val="en-US" w:eastAsia="zh-CN"/>
        </w:rPr>
        <w:t>有利于</w:t>
      </w:r>
      <w:r>
        <w:rPr>
          <w:rFonts w:hint="eastAsia" w:ascii="仿宋_GB2312" w:hAnsi="仿宋_GB2312" w:eastAsia="仿宋_GB2312" w:cs="仿宋_GB2312"/>
          <w:bCs/>
          <w:sz w:val="32"/>
          <w:szCs w:val="32"/>
        </w:rPr>
        <w:t>完善配套设施，科学配置土地资源，优化土地利用空间格局，提高现有用地使用效益，促进土地的集约高效利用。</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（二）经济效益：</w:t>
      </w:r>
      <w:r>
        <w:rPr>
          <w:rFonts w:hint="eastAsia" w:ascii="仿宋_GB2312" w:hAnsi="仿宋_GB2312" w:eastAsia="仿宋_GB2312" w:cs="仿宋_GB2312"/>
          <w:bCs/>
          <w:sz w:val="32"/>
          <w:szCs w:val="32"/>
          <w:lang w:val="en-US" w:eastAsia="zh-CN"/>
        </w:rPr>
        <w:t>本片</w:t>
      </w:r>
      <w:r>
        <w:rPr>
          <w:rFonts w:hint="eastAsia" w:ascii="仿宋_GB2312" w:hAnsi="仿宋_GB2312" w:eastAsia="仿宋_GB2312" w:cs="仿宋_GB2312"/>
          <w:sz w:val="32"/>
          <w:szCs w:val="32"/>
          <w:lang w:val="en-US" w:eastAsia="zh-CN"/>
        </w:rPr>
        <w:t>区成片开发有利于优化首占新区建设用地空间布局，带动周边土地开发价值，居住人口的集聚将进一步带动周边生活配套的完善和商业服务业的发展，拉动当地基础设施建设及相关行业的投入，对促进区域经济发展、增加税收等方面具有较强的促进作用</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Cs/>
          <w:sz w:val="32"/>
          <w:szCs w:val="32"/>
        </w:rPr>
        <w:t>（三）社会效益：</w:t>
      </w:r>
      <w:r>
        <w:rPr>
          <w:rFonts w:hint="eastAsia" w:ascii="仿宋_GB2312" w:hAnsi="仿宋_GB2312" w:eastAsia="仿宋_GB2312" w:cs="仿宋_GB2312"/>
          <w:bCs/>
          <w:sz w:val="32"/>
          <w:szCs w:val="32"/>
          <w:lang w:val="en-US" w:eastAsia="zh-CN"/>
        </w:rPr>
        <w:t>本</w:t>
      </w:r>
      <w:r>
        <w:rPr>
          <w:rFonts w:hint="eastAsia" w:ascii="仿宋_GB2312" w:hAnsi="仿宋_GB2312" w:eastAsia="仿宋_GB2312" w:cs="仿宋_GB2312"/>
          <w:sz w:val="32"/>
          <w:szCs w:val="32"/>
          <w:lang w:val="en-US" w:eastAsia="zh-CN"/>
        </w:rPr>
        <w:t>片区成片开发将提升首占新区活力和交通便利性，通过拆迁改造，科学合理构建安置区，完善基础配套设施，优化居住环境，提高居民生活质量。</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bCs/>
          <w:sz w:val="32"/>
          <w:szCs w:val="32"/>
        </w:rPr>
      </w:pPr>
      <w:r>
        <w:rPr>
          <w:rFonts w:hint="eastAsia" w:ascii="仿宋_GB2312" w:hAnsi="仿宋_GB2312" w:eastAsia="仿宋_GB2312" w:cs="仿宋_GB2312"/>
          <w:bCs/>
          <w:sz w:val="32"/>
          <w:szCs w:val="32"/>
        </w:rPr>
        <w:t>（四）生态效益：对区域在大气环境、生态环境、地下水环境、土壤环境的影响较小。规划范围内城市绿地建设将有效提升人均绿地面积，改善人居环境。</w:t>
      </w:r>
      <w:bookmarkStart w:id="1" w:name="_GoBack"/>
      <w:bookmarkEnd w:id="1"/>
    </w:p>
    <w:p>
      <w:pPr>
        <w:pStyle w:val="3"/>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b w:val="0"/>
          <w:szCs w:val="32"/>
        </w:rPr>
      </w:pPr>
      <w:r>
        <w:rPr>
          <w:rFonts w:hint="eastAsia" w:ascii="黑体" w:hAnsi="黑体" w:eastAsia="黑体"/>
          <w:b w:val="0"/>
          <w:szCs w:val="32"/>
        </w:rPr>
        <w:t>十、结论</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bCs/>
          <w:sz w:val="32"/>
          <w:szCs w:val="32"/>
        </w:rPr>
        <w:sectPr>
          <w:footerReference r:id="rId3" w:type="default"/>
          <w:pgSz w:w="11906" w:h="16838"/>
          <w:pgMar w:top="1985" w:right="1588" w:bottom="2098" w:left="1474" w:header="851" w:footer="992" w:gutter="0"/>
          <w:pgNumType w:fmt="numberInDash"/>
          <w:cols w:space="425" w:num="1"/>
          <w:docGrid w:type="lines" w:linePitch="312" w:charSpace="0"/>
        </w:sect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长乐区</w:t>
      </w:r>
      <w:r>
        <w:rPr>
          <w:rFonts w:hint="eastAsia" w:ascii="仿宋_GB2312" w:hAnsi="仿宋_GB2312" w:eastAsia="仿宋_GB2312" w:cs="仿宋_GB2312"/>
          <w:kern w:val="0"/>
          <w:sz w:val="32"/>
          <w:szCs w:val="32"/>
          <w:lang w:eastAsia="zh-CN"/>
        </w:rPr>
        <w:t>占前西路南侧片区</w:t>
      </w:r>
      <w:r>
        <w:rPr>
          <w:rFonts w:hint="eastAsia" w:ascii="仿宋_GB2312" w:hAnsi="仿宋_GB2312" w:eastAsia="仿宋_GB2312" w:cs="仿宋_GB2312"/>
          <w:bCs/>
          <w:sz w:val="32"/>
          <w:szCs w:val="32"/>
        </w:rPr>
        <w:t>土地征收成片开发方案</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符合土地征收成片开发的标准。</w:t>
      </w:r>
    </w:p>
    <w:p>
      <w:pPr>
        <w:pageBreakBefore w:val="0"/>
        <w:widowControl/>
        <w:kinsoku/>
        <w:wordWrap/>
        <w:overflowPunct/>
        <w:topLinePunct w:val="0"/>
        <w:autoSpaceDE/>
        <w:autoSpaceDN/>
        <w:bidi w:val="0"/>
        <w:adjustRightInd/>
        <w:snapToGrid/>
        <w:spacing w:line="560" w:lineRule="exact"/>
        <w:jc w:val="left"/>
        <w:textAlignment w:val="auto"/>
        <w:rPr>
          <w:rFonts w:hint="eastAsia" w:asciiTheme="minorHAnsi" w:hAnsiTheme="minorHAnsi" w:eastAsiaTheme="minorEastAsia" w:cstheme="minorBidi"/>
          <w:kern w:val="2"/>
          <w:sz w:val="21"/>
          <w:szCs w:val="22"/>
          <w:lang w:val="en-US" w:eastAsia="zh-CN" w:bidi="ar-SA"/>
        </w:rPr>
      </w:pPr>
      <w:r>
        <w:pict>
          <v:shape id="_x0000_s1028" o:spid="_x0000_s1028" o:spt="75" alt="C:\Users\li_wenj\Desktop\1.jpg1" type="#_x0000_t75" style="position:absolute;left:0pt;margin-left:0.5pt;margin-top:32.75pt;height:453.6pt;width:641.5pt;mso-wrap-distance-bottom:0pt;mso-wrap-distance-top:0pt;z-index:251659264;mso-width-relative:page;mso-height-relative:page;" filled="f" o:preferrelative="t" stroked="f" coordsize="21600,21600">
            <v:path/>
            <v:fill on="f" focussize="0,0"/>
            <v:stroke on="f"/>
            <v:imagedata r:id="rId5" o:title="1"/>
            <o:lock v:ext="edit" aspectratio="t"/>
            <w10:wrap type="topAndBottom"/>
          </v:shape>
        </w:pict>
      </w:r>
      <w:r>
        <w:rPr>
          <w:rFonts w:hint="eastAsia" w:ascii="仿宋_GB2312" w:hAnsi="宋体" w:eastAsia="仿宋_GB2312"/>
          <w:bCs/>
          <w:sz w:val="32"/>
          <w:szCs w:val="32"/>
        </w:rPr>
        <w:t>附图：</w:t>
      </w:r>
      <w:r>
        <w:rPr>
          <w:rFonts w:hint="eastAsia" w:ascii="仿宋_GB2312" w:hAnsi="宋体" w:eastAsia="仿宋_GB2312"/>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_GB2312" w:hAnsi="宋体" w:eastAsia="仿宋_GB2312"/>
          <w:bCs/>
          <w:sz w:val="32"/>
          <w:szCs w:val="32"/>
        </w:rPr>
        <w:instrText xml:space="preserve">ADDIN CNKISM.UserStyle</w:instrText>
      </w:r>
      <w:r>
        <w:rPr>
          <w:rFonts w:hint="eastAsia" w:ascii="仿宋_GB2312" w:hAnsi="宋体" w:eastAsia="仿宋_GB2312"/>
          <w:bCs/>
          <w:sz w:val="32"/>
          <w:szCs w:val="32"/>
        </w:rPr>
        <w:fldChar w:fldCharType="end"/>
      </w:r>
      <w:r>
        <w:rPr>
          <w:rFonts w:hint="eastAsia" w:ascii="仿宋_GB2312" w:hAnsi="宋体" w:eastAsia="仿宋_GB2312"/>
          <w:bCs/>
          <w:sz w:val="32"/>
          <w:szCs w:val="32"/>
        </w:rPr>
        <w:t>成片开发位置示意图</w:t>
      </w:r>
    </w:p>
    <w:sectPr>
      <w:pgSz w:w="16838" w:h="11906" w:orient="landscape"/>
      <w:pgMar w:top="1474" w:right="1985" w:bottom="1588" w:left="209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仿宋_GB2312" w:hAnsi="仿宋_GB2312" w:eastAsia="仿宋_GB2312" w:cs="仿宋_GB2312"/>
                              <w:sz w:val="28"/>
                              <w:szCs w:val="28"/>
                            </w:rPr>
                            <w:id w:val="58834674"/>
                          </w:sdtPr>
                          <w:sdtEndPr>
                            <w:rPr>
                              <w:rFonts w:hint="eastAsia" w:ascii="仿宋_GB2312" w:hAnsi="仿宋_GB2312" w:eastAsia="仿宋_GB2312" w:cs="仿宋_GB2312"/>
                              <w:sz w:val="28"/>
                              <w:szCs w:val="28"/>
                            </w:rPr>
                          </w:sdtEndPr>
                          <w:sdtContent>
                            <w:p>
                              <w:pPr>
                                <w:pStyle w:val="6"/>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4 -</w:t>
                              </w:r>
                              <w:r>
                                <w:rPr>
                                  <w:rFonts w:hint="eastAsia" w:ascii="仿宋_GB2312" w:hAnsi="仿宋_GB2312" w:eastAsia="仿宋_GB2312" w:cs="仿宋_GB2312"/>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rPr>
                        <w:rFonts w:hint="eastAsia" w:ascii="仿宋_GB2312" w:hAnsi="仿宋_GB2312" w:eastAsia="仿宋_GB2312" w:cs="仿宋_GB2312"/>
                        <w:sz w:val="28"/>
                        <w:szCs w:val="28"/>
                      </w:rPr>
                      <w:id w:val="58834674"/>
                    </w:sdtPr>
                    <w:sdtEndPr>
                      <w:rPr>
                        <w:rFonts w:hint="eastAsia" w:ascii="仿宋_GB2312" w:hAnsi="仿宋_GB2312" w:eastAsia="仿宋_GB2312" w:cs="仿宋_GB2312"/>
                        <w:sz w:val="28"/>
                        <w:szCs w:val="28"/>
                      </w:rPr>
                    </w:sdtEndPr>
                    <w:sdtContent>
                      <w:p>
                        <w:pPr>
                          <w:pStyle w:val="6"/>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4 -</w:t>
                        </w:r>
                        <w:r>
                          <w:rPr>
                            <w:rFonts w:hint="eastAsia" w:ascii="仿宋_GB2312" w:hAnsi="仿宋_GB2312" w:eastAsia="仿宋_GB2312" w:cs="仿宋_GB2312"/>
                            <w:sz w:val="28"/>
                            <w:szCs w:val="28"/>
                          </w:rPr>
                          <w:fldChar w:fldCharType="end"/>
                        </w:r>
                      </w:p>
                    </w:sdtContent>
                  </w:sdt>
                  <w:p/>
                </w:txbxContent>
              </v:textbox>
            </v:shape>
          </w:pict>
        </mc:Fallback>
      </mc:AlternateContent>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3563CF"/>
    <w:multiLevelType w:val="multilevel"/>
    <w:tmpl w:val="5A3563CF"/>
    <w:lvl w:ilvl="0" w:tentative="0">
      <w:start w:val="1"/>
      <w:numFmt w:val="chineseCountingThousand"/>
      <w:pStyle w:val="3"/>
      <w:lvlText w:val="%1、"/>
      <w:lvlJc w:val="left"/>
      <w:pPr>
        <w:ind w:left="420" w:hanging="420"/>
      </w:pPr>
    </w:lvl>
    <w:lvl w:ilvl="1" w:tentative="0">
      <w:start w:val="1"/>
      <w:numFmt w:val="chineseCountingThousand"/>
      <w:lvlText w:val="(%2)"/>
      <w:lvlJc w:val="left"/>
      <w:pPr>
        <w:ind w:left="1500" w:hanging="1080"/>
      </w:pPr>
      <w:rPr>
        <w:rFonts w:hint="default"/>
      </w:rPr>
    </w:lvl>
    <w:lvl w:ilvl="2" w:tentative="0">
      <w:start w:val="1"/>
      <w:numFmt w:val="decimal"/>
      <w:lvlText w:val="（%3）"/>
      <w:lvlJc w:val="left"/>
      <w:pPr>
        <w:ind w:left="1590" w:hanging="750"/>
      </w:pPr>
      <w:rPr>
        <w:rFonts w:ascii="宋体" w:hAnsi="宋体" w:eastAsia="宋体" w:cstheme="minorBidi"/>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iMGI2ODA0NDk2YzIyNWY1N2JiZmRkMWM1MWUyNGEifQ=="/>
  </w:docVars>
  <w:rsids>
    <w:rsidRoot w:val="008206CE"/>
    <w:rsid w:val="00092A71"/>
    <w:rsid w:val="000D625A"/>
    <w:rsid w:val="000E1D34"/>
    <w:rsid w:val="001003E4"/>
    <w:rsid w:val="001124C3"/>
    <w:rsid w:val="0017500E"/>
    <w:rsid w:val="00185ADC"/>
    <w:rsid w:val="00192A04"/>
    <w:rsid w:val="001B343A"/>
    <w:rsid w:val="001B3812"/>
    <w:rsid w:val="001E3A33"/>
    <w:rsid w:val="00203CA3"/>
    <w:rsid w:val="00205DAA"/>
    <w:rsid w:val="00281003"/>
    <w:rsid w:val="002900E7"/>
    <w:rsid w:val="002C118E"/>
    <w:rsid w:val="002D182C"/>
    <w:rsid w:val="002D63E5"/>
    <w:rsid w:val="002D695C"/>
    <w:rsid w:val="00324166"/>
    <w:rsid w:val="00362F0D"/>
    <w:rsid w:val="0039709A"/>
    <w:rsid w:val="003C013F"/>
    <w:rsid w:val="003C1698"/>
    <w:rsid w:val="003D5CCE"/>
    <w:rsid w:val="003D6A6A"/>
    <w:rsid w:val="003F2701"/>
    <w:rsid w:val="004115CE"/>
    <w:rsid w:val="004222B9"/>
    <w:rsid w:val="0045559D"/>
    <w:rsid w:val="004671C0"/>
    <w:rsid w:val="0047022B"/>
    <w:rsid w:val="004B3819"/>
    <w:rsid w:val="004C3CEC"/>
    <w:rsid w:val="004E52D9"/>
    <w:rsid w:val="004F7B5C"/>
    <w:rsid w:val="0050706E"/>
    <w:rsid w:val="00592D1D"/>
    <w:rsid w:val="005C46A5"/>
    <w:rsid w:val="005F2900"/>
    <w:rsid w:val="006207D6"/>
    <w:rsid w:val="0062343E"/>
    <w:rsid w:val="0068432A"/>
    <w:rsid w:val="006A1E58"/>
    <w:rsid w:val="006E058D"/>
    <w:rsid w:val="006E54EA"/>
    <w:rsid w:val="00741F64"/>
    <w:rsid w:val="007B1843"/>
    <w:rsid w:val="007C130C"/>
    <w:rsid w:val="007C1789"/>
    <w:rsid w:val="007C664D"/>
    <w:rsid w:val="007E5E8F"/>
    <w:rsid w:val="007E6BC5"/>
    <w:rsid w:val="007F5F66"/>
    <w:rsid w:val="0080566A"/>
    <w:rsid w:val="0081107F"/>
    <w:rsid w:val="00816F3B"/>
    <w:rsid w:val="008206CE"/>
    <w:rsid w:val="00837B0E"/>
    <w:rsid w:val="00840B86"/>
    <w:rsid w:val="00854B1E"/>
    <w:rsid w:val="00875513"/>
    <w:rsid w:val="00876F89"/>
    <w:rsid w:val="008C2457"/>
    <w:rsid w:val="008D15AD"/>
    <w:rsid w:val="008D681F"/>
    <w:rsid w:val="008E4700"/>
    <w:rsid w:val="00903149"/>
    <w:rsid w:val="00975715"/>
    <w:rsid w:val="00980643"/>
    <w:rsid w:val="0098563F"/>
    <w:rsid w:val="009E7626"/>
    <w:rsid w:val="00A3488C"/>
    <w:rsid w:val="00A70559"/>
    <w:rsid w:val="00AA3880"/>
    <w:rsid w:val="00AA6605"/>
    <w:rsid w:val="00AB0671"/>
    <w:rsid w:val="00AC134A"/>
    <w:rsid w:val="00B16B51"/>
    <w:rsid w:val="00B35D53"/>
    <w:rsid w:val="00B37B2B"/>
    <w:rsid w:val="00B40891"/>
    <w:rsid w:val="00B44426"/>
    <w:rsid w:val="00B4767A"/>
    <w:rsid w:val="00BC391E"/>
    <w:rsid w:val="00BE3644"/>
    <w:rsid w:val="00C220EA"/>
    <w:rsid w:val="00C24E90"/>
    <w:rsid w:val="00C5065C"/>
    <w:rsid w:val="00C91473"/>
    <w:rsid w:val="00C968E3"/>
    <w:rsid w:val="00CC6411"/>
    <w:rsid w:val="00CD02E1"/>
    <w:rsid w:val="00CF55B1"/>
    <w:rsid w:val="00D32A4E"/>
    <w:rsid w:val="00D42F39"/>
    <w:rsid w:val="00D83EC3"/>
    <w:rsid w:val="00D87007"/>
    <w:rsid w:val="00D936B6"/>
    <w:rsid w:val="00E01AF7"/>
    <w:rsid w:val="00E814F1"/>
    <w:rsid w:val="00E95CDA"/>
    <w:rsid w:val="00EA51D6"/>
    <w:rsid w:val="00EA7E2C"/>
    <w:rsid w:val="00F14B00"/>
    <w:rsid w:val="00F57216"/>
    <w:rsid w:val="00F72FDB"/>
    <w:rsid w:val="00F744E6"/>
    <w:rsid w:val="00F76A8F"/>
    <w:rsid w:val="00F86FAC"/>
    <w:rsid w:val="00FB42D5"/>
    <w:rsid w:val="00FE4166"/>
    <w:rsid w:val="036E031A"/>
    <w:rsid w:val="03E866A7"/>
    <w:rsid w:val="04334088"/>
    <w:rsid w:val="04B00081"/>
    <w:rsid w:val="055A6DA3"/>
    <w:rsid w:val="09264929"/>
    <w:rsid w:val="09383245"/>
    <w:rsid w:val="0B9A6E55"/>
    <w:rsid w:val="0BA2729E"/>
    <w:rsid w:val="0C3E017C"/>
    <w:rsid w:val="0E973FE4"/>
    <w:rsid w:val="10853E2D"/>
    <w:rsid w:val="10B3218A"/>
    <w:rsid w:val="145E6AEF"/>
    <w:rsid w:val="149D101A"/>
    <w:rsid w:val="152C3DC8"/>
    <w:rsid w:val="167209C3"/>
    <w:rsid w:val="16E652B4"/>
    <w:rsid w:val="19D93645"/>
    <w:rsid w:val="1ACA2F7E"/>
    <w:rsid w:val="1C60350E"/>
    <w:rsid w:val="1EF227AE"/>
    <w:rsid w:val="2107718B"/>
    <w:rsid w:val="241F37F9"/>
    <w:rsid w:val="25270BB7"/>
    <w:rsid w:val="259124D5"/>
    <w:rsid w:val="27A80F84"/>
    <w:rsid w:val="28A663D3"/>
    <w:rsid w:val="2A570191"/>
    <w:rsid w:val="2AD14BC8"/>
    <w:rsid w:val="2DA827C7"/>
    <w:rsid w:val="2E2B7540"/>
    <w:rsid w:val="358940BA"/>
    <w:rsid w:val="36CC0E37"/>
    <w:rsid w:val="377A347C"/>
    <w:rsid w:val="38187CEA"/>
    <w:rsid w:val="3B6D05EA"/>
    <w:rsid w:val="3BD66A3C"/>
    <w:rsid w:val="3C7B6885"/>
    <w:rsid w:val="3DC429CF"/>
    <w:rsid w:val="3FBC136E"/>
    <w:rsid w:val="40632264"/>
    <w:rsid w:val="454B64E8"/>
    <w:rsid w:val="454D177B"/>
    <w:rsid w:val="4565533F"/>
    <w:rsid w:val="46AD3759"/>
    <w:rsid w:val="47897CB4"/>
    <w:rsid w:val="48DF5182"/>
    <w:rsid w:val="4B7B3121"/>
    <w:rsid w:val="4E267909"/>
    <w:rsid w:val="523E1B77"/>
    <w:rsid w:val="53BE0683"/>
    <w:rsid w:val="53FC13EB"/>
    <w:rsid w:val="54F2623D"/>
    <w:rsid w:val="55B41646"/>
    <w:rsid w:val="562E3BDD"/>
    <w:rsid w:val="5B1F7C52"/>
    <w:rsid w:val="67E22141"/>
    <w:rsid w:val="682956B5"/>
    <w:rsid w:val="6BB32772"/>
    <w:rsid w:val="6BDA2F69"/>
    <w:rsid w:val="6E2D20D7"/>
    <w:rsid w:val="6EBD0AC4"/>
    <w:rsid w:val="6FB97A61"/>
    <w:rsid w:val="735D4B88"/>
    <w:rsid w:val="758E59B0"/>
    <w:rsid w:val="7AE865FB"/>
    <w:rsid w:val="7B2872B8"/>
    <w:rsid w:val="7BCA6E9A"/>
    <w:rsid w:val="7BD32849"/>
    <w:rsid w:val="7C4F0721"/>
    <w:rsid w:val="7C612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9"/>
    <w:pPr>
      <w:keepNext/>
      <w:keepLines/>
      <w:numPr>
        <w:ilvl w:val="0"/>
        <w:numId w:val="1"/>
      </w:numPr>
      <w:spacing w:line="578" w:lineRule="auto"/>
      <w:outlineLvl w:val="0"/>
    </w:pPr>
    <w:rPr>
      <w:rFonts w:eastAsia="微软雅黑"/>
      <w:b/>
      <w:bCs/>
      <w:kern w:val="44"/>
      <w:sz w:val="32"/>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after="120"/>
    </w:pPr>
    <w:rPr>
      <w:rFonts w:eastAsia="宋体"/>
    </w:rPr>
  </w:style>
  <w:style w:type="paragraph" w:styleId="4">
    <w:name w:val="annotation text"/>
    <w:basedOn w:val="1"/>
    <w:link w:val="17"/>
    <w:semiHidden/>
    <w:unhideWhenUsed/>
    <w:qFormat/>
    <w:uiPriority w:val="99"/>
    <w:pPr>
      <w:jc w:val="left"/>
    </w:pPr>
  </w:style>
  <w:style w:type="paragraph" w:styleId="5">
    <w:name w:val="Balloon Text"/>
    <w:basedOn w:val="1"/>
    <w:link w:val="19"/>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4"/>
    <w:next w:val="4"/>
    <w:link w:val="18"/>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basedOn w:val="12"/>
    <w:semiHidden/>
    <w:unhideWhenUsed/>
    <w:qFormat/>
    <w:uiPriority w:val="99"/>
    <w:rPr>
      <w:sz w:val="21"/>
      <w:szCs w:val="21"/>
    </w:rPr>
  </w:style>
  <w:style w:type="character" w:customStyle="1" w:styleId="14">
    <w:name w:val="标题 1 字符"/>
    <w:basedOn w:val="12"/>
    <w:link w:val="3"/>
    <w:qFormat/>
    <w:uiPriority w:val="9"/>
    <w:rPr>
      <w:rFonts w:eastAsia="微软雅黑"/>
      <w:b/>
      <w:bCs/>
      <w:kern w:val="44"/>
      <w:sz w:val="32"/>
      <w:szCs w:val="44"/>
    </w:rPr>
  </w:style>
  <w:style w:type="character" w:customStyle="1" w:styleId="15">
    <w:name w:val="页脚 字符"/>
    <w:basedOn w:val="12"/>
    <w:link w:val="6"/>
    <w:qFormat/>
    <w:uiPriority w:val="99"/>
    <w:rPr>
      <w:sz w:val="18"/>
      <w:szCs w:val="18"/>
    </w:rPr>
  </w:style>
  <w:style w:type="character" w:customStyle="1" w:styleId="16">
    <w:name w:val="页眉 字符"/>
    <w:basedOn w:val="12"/>
    <w:link w:val="7"/>
    <w:qFormat/>
    <w:uiPriority w:val="99"/>
    <w:rPr>
      <w:sz w:val="18"/>
      <w:szCs w:val="18"/>
    </w:rPr>
  </w:style>
  <w:style w:type="character" w:customStyle="1" w:styleId="17">
    <w:name w:val="批注文字 字符"/>
    <w:basedOn w:val="12"/>
    <w:link w:val="4"/>
    <w:semiHidden/>
    <w:qFormat/>
    <w:uiPriority w:val="99"/>
    <w:rPr>
      <w:kern w:val="2"/>
      <w:sz w:val="21"/>
      <w:szCs w:val="22"/>
    </w:rPr>
  </w:style>
  <w:style w:type="character" w:customStyle="1" w:styleId="18">
    <w:name w:val="批注主题 字符"/>
    <w:basedOn w:val="17"/>
    <w:link w:val="9"/>
    <w:semiHidden/>
    <w:qFormat/>
    <w:uiPriority w:val="99"/>
    <w:rPr>
      <w:b/>
      <w:bCs/>
      <w:kern w:val="2"/>
      <w:sz w:val="21"/>
      <w:szCs w:val="22"/>
    </w:rPr>
  </w:style>
  <w:style w:type="character" w:customStyle="1" w:styleId="19">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F9BD8A-6F4F-4567-ACDA-0777B6FC1A56}">
  <ds:schemaRefs/>
</ds:datastoreItem>
</file>

<file path=docProps/app.xml><?xml version="1.0" encoding="utf-8"?>
<Properties xmlns="http://schemas.openxmlformats.org/officeDocument/2006/extended-properties" xmlns:vt="http://schemas.openxmlformats.org/officeDocument/2006/docPropsVTypes">
  <Template>Normal.dotm</Template>
  <Company>fzghy</Company>
  <Pages>5</Pages>
  <Words>1357</Words>
  <Characters>1486</Characters>
  <Lines>11</Lines>
  <Paragraphs>3</Paragraphs>
  <TotalTime>1</TotalTime>
  <ScaleCrop>false</ScaleCrop>
  <LinksUpToDate>false</LinksUpToDate>
  <CharactersWithSpaces>1489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2021-06-20T07:55:00Z</dcterms:created>
  <dc:creator>刘龙华</dc:creator>
  <cp:lastModifiedBy>WPS_1523435612</cp:lastModifiedBy>
  <cp:lastPrinted>2022-08-08T08:48:00Z</cp:lastPrinted>
  <dcterms:modified xsi:type="dcterms:W3CDTF">2022-08-11T09:07:02Z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BD5B0E55D2A14ACBB81D171634AB0228</vt:lpwstr>
  </property>
</Properties>
</file>