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sz w:val="32"/>
          <w:szCs w:val="32"/>
        </w:rPr>
      </w:pPr>
      <w:r>
        <w:rPr>
          <w:rFonts w:hint="eastAsia" w:ascii="黑体" w:hAnsi="黑体" w:eastAsia="黑体" w:cs="黑体"/>
          <w:sz w:val="32"/>
          <w:szCs w:val="32"/>
        </w:rPr>
        <w:t>附件：</w:t>
      </w:r>
    </w:p>
    <w:p>
      <w:pPr>
        <w:spacing w:line="560" w:lineRule="exact"/>
        <w:jc w:val="left"/>
        <w:rPr>
          <w:rFonts w:ascii="方正小标宋简体" w:hAnsi="微软雅黑" w:eastAsia="方正小标宋简体"/>
          <w:sz w:val="44"/>
          <w:szCs w:val="44"/>
        </w:rPr>
      </w:pPr>
    </w:p>
    <w:p>
      <w:pPr>
        <w:spacing w:line="560" w:lineRule="exact"/>
        <w:jc w:val="center"/>
        <w:rPr>
          <w:rFonts w:ascii="方正小标宋简体" w:hAnsi="微软雅黑" w:eastAsia="方正小标宋简体"/>
          <w:sz w:val="44"/>
          <w:szCs w:val="44"/>
        </w:rPr>
      </w:pPr>
      <w:r>
        <w:rPr>
          <w:rFonts w:hint="eastAsia" w:ascii="方正小标宋简体" w:hAnsi="微软雅黑" w:eastAsia="方正小标宋简体"/>
          <w:sz w:val="44"/>
          <w:szCs w:val="44"/>
        </w:rPr>
        <w:t>长乐区洞江湖周边片区土地征收成片开发方案</w:t>
      </w:r>
    </w:p>
    <w:p>
      <w:pPr>
        <w:spacing w:line="560" w:lineRule="exact"/>
        <w:jc w:val="center"/>
        <w:rPr>
          <w:rFonts w:ascii="方正小标宋简体" w:hAnsi="微软雅黑" w:eastAsia="方正小标宋简体"/>
          <w:sz w:val="44"/>
          <w:szCs w:val="44"/>
        </w:rPr>
      </w:pPr>
    </w:p>
    <w:p>
      <w:pPr>
        <w:pStyle w:val="3"/>
        <w:numPr>
          <w:ilvl w:val="0"/>
          <w:numId w:val="0"/>
        </w:numPr>
        <w:spacing w:line="360" w:lineRule="auto"/>
        <w:ind w:firstLine="640" w:firstLineChars="200"/>
        <w:rPr>
          <w:rFonts w:ascii="黑体" w:hAnsi="黑体" w:eastAsia="黑体"/>
          <w:b w:val="0"/>
          <w:szCs w:val="32"/>
        </w:rPr>
      </w:pPr>
      <w:r>
        <w:rPr>
          <w:rFonts w:hint="eastAsia" w:ascii="黑体" w:hAnsi="黑体" w:eastAsia="黑体"/>
          <w:b w:val="0"/>
          <w:szCs w:val="32"/>
        </w:rPr>
        <w:t>一、编制依据</w:t>
      </w:r>
    </w:p>
    <w:p>
      <w:pPr>
        <w:spacing w:line="360" w:lineRule="auto"/>
        <w:ind w:firstLine="640" w:firstLineChars="200"/>
        <w:rPr>
          <w:rFonts w:ascii="Times New Roman" w:hAnsi="Times New Roman" w:eastAsia="仿宋_GB2312"/>
          <w:sz w:val="32"/>
          <w:szCs w:val="32"/>
        </w:rPr>
      </w:pPr>
      <w:r>
        <w:rPr>
          <w:rFonts w:hint="eastAsia" w:ascii="仿宋_GB2312" w:hAnsi="宋体" w:eastAsia="仿宋_GB2312"/>
          <w:sz w:val="32"/>
          <w:szCs w:val="32"/>
        </w:rPr>
        <w:t>依据《中华人民共和国土地管理法》（2019年</w:t>
      </w:r>
      <w:r>
        <w:rPr>
          <w:rFonts w:ascii="仿宋_GB2312" w:hAnsi="宋体" w:eastAsia="仿宋_GB2312"/>
          <w:sz w:val="32"/>
          <w:szCs w:val="32"/>
        </w:rPr>
        <w:t>修正版</w:t>
      </w:r>
      <w:r>
        <w:rPr>
          <w:rFonts w:hint="eastAsia" w:ascii="仿宋_GB2312" w:hAnsi="宋体" w:eastAsia="仿宋_GB2312"/>
          <w:sz w:val="32"/>
          <w:szCs w:val="32"/>
        </w:rPr>
        <w:t>）、《自然资源部关于印发</w:t>
      </w:r>
      <w:r>
        <w:rPr>
          <w:rFonts w:ascii="仿宋_GB2312" w:hAnsi="宋体" w:eastAsia="仿宋_GB2312"/>
          <w:sz w:val="32"/>
          <w:szCs w:val="32"/>
        </w:rPr>
        <w:t>&lt;土地征收成片开发标准（试行）&gt;的通知》（自然资规〔2020〕5号）</w:t>
      </w:r>
      <w:r>
        <w:rPr>
          <w:rFonts w:hint="eastAsia" w:ascii="仿宋_GB2312" w:hAnsi="宋体" w:eastAsia="仿宋_GB2312"/>
          <w:sz w:val="32"/>
          <w:szCs w:val="32"/>
        </w:rPr>
        <w:t>、</w:t>
      </w:r>
      <w:bookmarkStart w:id="0" w:name="_Hlk62547865"/>
      <w:r>
        <w:rPr>
          <w:rFonts w:hint="eastAsia" w:ascii="仿宋_GB2312" w:hAnsi="宋体" w:eastAsia="仿宋_GB2312"/>
          <w:sz w:val="32"/>
          <w:szCs w:val="32"/>
        </w:rPr>
        <w:t>《福建省自然资源厅关于印发〈福建省土地征收成片开发方案报批实施细则（试行）〉的通知》（闽自然资发〔</w:t>
      </w:r>
      <w:r>
        <w:rPr>
          <w:rFonts w:ascii="仿宋_GB2312" w:hAnsi="宋体" w:eastAsia="仿宋_GB2312"/>
          <w:sz w:val="32"/>
          <w:szCs w:val="32"/>
        </w:rPr>
        <w:t>2021〕3号）</w:t>
      </w:r>
      <w:r>
        <w:rPr>
          <w:rFonts w:hint="eastAsia" w:ascii="仿宋_GB2312" w:hAnsi="宋体" w:eastAsia="仿宋_GB2312"/>
          <w:sz w:val="32"/>
          <w:szCs w:val="32"/>
        </w:rPr>
        <w:t>、</w:t>
      </w:r>
      <w:r>
        <w:rPr>
          <w:rFonts w:hint="eastAsia" w:ascii="Times New Roman" w:hAnsi="Times New Roman" w:eastAsia="仿宋_GB2312"/>
          <w:sz w:val="32"/>
          <w:szCs w:val="32"/>
        </w:rPr>
        <w:t>《自然资源部办公厅关于印发〈国土空间调查、规划、用途管制用地用海分类指南（试行）〉》（自然资办发〔</w:t>
      </w:r>
      <w:r>
        <w:rPr>
          <w:rFonts w:ascii="Times New Roman" w:hAnsi="Times New Roman" w:eastAsia="仿宋_GB2312"/>
          <w:sz w:val="32"/>
          <w:szCs w:val="32"/>
        </w:rPr>
        <w:t>2020〕51号）</w:t>
      </w:r>
      <w:r>
        <w:rPr>
          <w:rFonts w:hint="eastAsia" w:ascii="仿宋_GB2312" w:hAnsi="宋体" w:eastAsia="仿宋_GB2312"/>
          <w:sz w:val="32"/>
          <w:szCs w:val="32"/>
        </w:rPr>
        <w:t>、</w:t>
      </w:r>
      <w:bookmarkEnd w:id="0"/>
      <w:r>
        <w:rPr>
          <w:rFonts w:hint="eastAsia" w:ascii="仿宋_GB2312" w:hAnsi="宋体" w:eastAsia="仿宋_GB2312"/>
          <w:sz w:val="32"/>
          <w:szCs w:val="32"/>
        </w:rPr>
        <w:t>《福建省自然资源厅关于印发〈福建省土地征收成片开发方案报批实施细则（试行）〉的通知》（闽自然资发〔</w:t>
      </w:r>
      <w:r>
        <w:rPr>
          <w:rFonts w:ascii="仿宋_GB2312" w:hAnsi="宋体" w:eastAsia="仿宋_GB2312"/>
          <w:sz w:val="32"/>
          <w:szCs w:val="32"/>
        </w:rPr>
        <w:t>2021〕3号）</w:t>
      </w:r>
      <w:r>
        <w:rPr>
          <w:rFonts w:hint="eastAsia" w:ascii="仿宋_GB2312" w:hAnsi="宋体" w:eastAsia="仿宋_GB2312"/>
          <w:sz w:val="32"/>
          <w:szCs w:val="32"/>
        </w:rPr>
        <w:t>、《福建省土地征收成片开发方案编制参考指南</w:t>
      </w:r>
      <w:r>
        <w:rPr>
          <w:rFonts w:ascii="仿宋_GB2312" w:hAnsi="宋体" w:eastAsia="仿宋_GB2312"/>
          <w:sz w:val="32"/>
          <w:szCs w:val="32"/>
        </w:rPr>
        <w:t>(试行)》（闽自然资发〔2021〕6号）</w:t>
      </w:r>
      <w:r>
        <w:rPr>
          <w:rFonts w:hint="eastAsia" w:ascii="仿宋_GB2312" w:hAnsi="宋体" w:eastAsia="仿宋_GB2312"/>
          <w:sz w:val="32"/>
          <w:szCs w:val="32"/>
        </w:rPr>
        <w:t>、《长乐市土地利用总体规划（</w:t>
      </w:r>
      <w:r>
        <w:rPr>
          <w:rFonts w:ascii="仿宋_GB2312" w:hAnsi="宋体" w:eastAsia="仿宋_GB2312"/>
          <w:sz w:val="32"/>
          <w:szCs w:val="32"/>
        </w:rPr>
        <w:t>2006-2020年）调整完善方案》</w:t>
      </w:r>
      <w:r>
        <w:rPr>
          <w:rFonts w:hint="eastAsia" w:ascii="仿宋_GB2312" w:hAnsi="宋体" w:eastAsia="仿宋_GB2312"/>
          <w:sz w:val="32"/>
          <w:szCs w:val="32"/>
        </w:rPr>
        <w:t>编制《长乐区洞江湖周边片区土地征收成片开发方案》。</w:t>
      </w:r>
    </w:p>
    <w:p>
      <w:pPr>
        <w:pStyle w:val="3"/>
        <w:numPr>
          <w:ilvl w:val="0"/>
          <w:numId w:val="0"/>
        </w:numPr>
        <w:spacing w:line="360" w:lineRule="auto"/>
        <w:ind w:firstLine="640" w:firstLineChars="200"/>
        <w:rPr>
          <w:rFonts w:ascii="黑体" w:hAnsi="黑体" w:eastAsia="黑体"/>
          <w:b w:val="0"/>
          <w:szCs w:val="32"/>
        </w:rPr>
      </w:pPr>
      <w:r>
        <w:rPr>
          <w:rFonts w:hint="eastAsia" w:ascii="黑体" w:hAnsi="黑体" w:eastAsia="黑体"/>
          <w:b w:val="0"/>
          <w:szCs w:val="32"/>
        </w:rPr>
        <w:t>二、基本情况</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洞江湖周边片区涉及营前街道马头村，共</w:t>
      </w:r>
      <w:r>
        <w:rPr>
          <w:rFonts w:ascii="仿宋_GB2312" w:hAnsi="宋体" w:eastAsia="仿宋_GB2312"/>
          <w:sz w:val="32"/>
          <w:szCs w:val="32"/>
        </w:rPr>
        <w:t>1</w:t>
      </w:r>
      <w:r>
        <w:rPr>
          <w:rFonts w:hint="eastAsia" w:ascii="仿宋_GB2312" w:hAnsi="宋体" w:eastAsia="仿宋_GB2312"/>
          <w:sz w:val="32"/>
          <w:szCs w:val="32"/>
        </w:rPr>
        <w:t>个街道1个</w:t>
      </w:r>
      <w:r>
        <w:rPr>
          <w:rFonts w:ascii="仿宋_GB2312" w:hAnsi="宋体" w:eastAsia="仿宋_GB2312"/>
          <w:sz w:val="32"/>
          <w:szCs w:val="32"/>
        </w:rPr>
        <w:t>村</w:t>
      </w:r>
      <w:r>
        <w:rPr>
          <w:rFonts w:hint="eastAsia" w:ascii="仿宋_GB2312" w:hAnsi="宋体" w:eastAsia="仿宋_GB2312"/>
          <w:sz w:val="32"/>
          <w:szCs w:val="32"/>
        </w:rPr>
        <w:t>；涉及5个</w:t>
      </w:r>
      <w:r>
        <w:rPr>
          <w:rFonts w:ascii="仿宋_GB2312" w:hAnsi="宋体" w:eastAsia="仿宋_GB2312"/>
          <w:sz w:val="32"/>
          <w:szCs w:val="32"/>
        </w:rPr>
        <w:t>国有单位，不涉及省级和国家级开发单位。</w:t>
      </w:r>
      <w:r>
        <w:rPr>
          <w:rFonts w:hint="eastAsia" w:ascii="仿宋_GB2312" w:hAnsi="宋体" w:eastAsia="仿宋_GB2312"/>
          <w:sz w:val="32"/>
          <w:szCs w:val="32"/>
        </w:rPr>
        <w:t>该成片开发</w:t>
      </w:r>
      <w:r>
        <w:rPr>
          <w:rFonts w:ascii="仿宋_GB2312" w:hAnsi="宋体" w:eastAsia="仿宋_GB2312"/>
          <w:sz w:val="32"/>
          <w:szCs w:val="32"/>
        </w:rPr>
        <w:t>范围</w:t>
      </w:r>
      <w:r>
        <w:rPr>
          <w:rFonts w:hint="eastAsia" w:ascii="仿宋_GB2312" w:hAnsi="宋体" w:eastAsia="仿宋_GB2312"/>
          <w:sz w:val="32"/>
          <w:szCs w:val="32"/>
        </w:rPr>
        <w:t>总</w:t>
      </w:r>
      <w:r>
        <w:rPr>
          <w:rFonts w:ascii="仿宋_GB2312" w:hAnsi="宋体" w:eastAsia="仿宋_GB2312"/>
          <w:sz w:val="32"/>
          <w:szCs w:val="32"/>
        </w:rPr>
        <w:t>面积</w:t>
      </w:r>
      <w:r>
        <w:rPr>
          <w:rFonts w:hint="eastAsia" w:ascii="仿宋_GB2312" w:hAnsi="宋体" w:eastAsia="仿宋_GB2312"/>
          <w:sz w:val="32"/>
          <w:szCs w:val="32"/>
        </w:rPr>
        <w:t>33.7043</w:t>
      </w:r>
      <w:r>
        <w:rPr>
          <w:rFonts w:ascii="仿宋_GB2312" w:hAnsi="宋体" w:eastAsia="仿宋_GB2312"/>
          <w:sz w:val="32"/>
          <w:szCs w:val="32"/>
        </w:rPr>
        <w:t>公顷</w:t>
      </w:r>
      <w:r>
        <w:rPr>
          <w:rFonts w:hint="eastAsia" w:ascii="仿宋_GB2312" w:hAnsi="宋体" w:eastAsia="仿宋_GB2312"/>
          <w:sz w:val="32"/>
          <w:szCs w:val="32"/>
        </w:rPr>
        <w:t>，其中</w:t>
      </w:r>
      <w:r>
        <w:rPr>
          <w:rFonts w:ascii="仿宋_GB2312" w:hAnsi="宋体" w:eastAsia="仿宋_GB2312"/>
          <w:sz w:val="32"/>
          <w:szCs w:val="32"/>
        </w:rPr>
        <w:t>集体土地面积</w:t>
      </w:r>
      <w:r>
        <w:rPr>
          <w:rFonts w:hint="eastAsia" w:ascii="仿宋_GB2312" w:hAnsi="宋体" w:eastAsia="仿宋_GB2312"/>
          <w:sz w:val="32"/>
          <w:szCs w:val="32"/>
        </w:rPr>
        <w:t>26.4433公顷</w:t>
      </w:r>
      <w:r>
        <w:rPr>
          <w:rFonts w:ascii="仿宋_GB2312" w:hAnsi="宋体" w:eastAsia="仿宋_GB2312"/>
          <w:sz w:val="32"/>
          <w:szCs w:val="32"/>
        </w:rPr>
        <w:t>，国</w:t>
      </w:r>
      <w:r>
        <w:rPr>
          <w:rFonts w:hint="eastAsia" w:ascii="仿宋_GB2312" w:hAnsi="宋体" w:eastAsia="仿宋_GB2312"/>
          <w:sz w:val="32"/>
          <w:szCs w:val="32"/>
          <w:lang w:eastAsia="zh-CN"/>
        </w:rPr>
        <w:t>有建设用地面积</w:t>
      </w:r>
      <w:r>
        <w:rPr>
          <w:rFonts w:hint="eastAsia" w:ascii="仿宋_GB2312" w:hAnsi="宋体" w:eastAsia="仿宋_GB2312"/>
          <w:sz w:val="32"/>
          <w:szCs w:val="32"/>
        </w:rPr>
        <w:t>7.2610公顷</w:t>
      </w:r>
      <w:r>
        <w:rPr>
          <w:rFonts w:ascii="仿宋_GB2312" w:hAnsi="宋体" w:eastAsia="仿宋_GB2312"/>
          <w:sz w:val="32"/>
          <w:szCs w:val="32"/>
        </w:rPr>
        <w:t>。</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本方案涉及农用地18.0874</w:t>
      </w:r>
      <w:r>
        <w:rPr>
          <w:rFonts w:ascii="仿宋_GB2312" w:hAnsi="宋体" w:eastAsia="仿宋_GB2312"/>
          <w:sz w:val="32"/>
          <w:szCs w:val="32"/>
        </w:rPr>
        <w:t>公顷（其中：耕地</w:t>
      </w:r>
      <w:r>
        <w:rPr>
          <w:rFonts w:hint="eastAsia" w:ascii="仿宋_GB2312" w:hAnsi="宋体" w:eastAsia="仿宋_GB2312"/>
          <w:sz w:val="32"/>
          <w:szCs w:val="32"/>
        </w:rPr>
        <w:t>15.6072</w:t>
      </w:r>
      <w:r>
        <w:rPr>
          <w:rFonts w:ascii="仿宋_GB2312" w:hAnsi="宋体" w:eastAsia="仿宋_GB2312"/>
          <w:sz w:val="32"/>
          <w:szCs w:val="32"/>
        </w:rPr>
        <w:t>公顷），建设用地</w:t>
      </w:r>
      <w:r>
        <w:rPr>
          <w:rFonts w:hint="eastAsia" w:ascii="仿宋_GB2312" w:hAnsi="宋体" w:eastAsia="仿宋_GB2312"/>
          <w:sz w:val="32"/>
          <w:szCs w:val="32"/>
        </w:rPr>
        <w:t>14.6820</w:t>
      </w:r>
      <w:r>
        <w:rPr>
          <w:rFonts w:ascii="仿宋_GB2312" w:hAnsi="宋体" w:eastAsia="仿宋_GB2312"/>
          <w:sz w:val="32"/>
          <w:szCs w:val="32"/>
        </w:rPr>
        <w:t>公顷，未利用地</w:t>
      </w:r>
      <w:r>
        <w:rPr>
          <w:rFonts w:hint="eastAsia" w:ascii="仿宋_GB2312" w:hAnsi="宋体" w:eastAsia="仿宋_GB2312"/>
          <w:sz w:val="32"/>
          <w:szCs w:val="32"/>
        </w:rPr>
        <w:t>0.9349</w:t>
      </w:r>
      <w:r>
        <w:rPr>
          <w:rFonts w:ascii="仿宋_GB2312" w:hAnsi="宋体" w:eastAsia="仿宋_GB2312"/>
          <w:sz w:val="32"/>
          <w:szCs w:val="32"/>
        </w:rPr>
        <w:t>公顷。</w:t>
      </w:r>
    </w:p>
    <w:p>
      <w:pPr>
        <w:pStyle w:val="3"/>
        <w:numPr>
          <w:ilvl w:val="0"/>
          <w:numId w:val="0"/>
        </w:numPr>
        <w:spacing w:line="360" w:lineRule="auto"/>
        <w:ind w:firstLine="640" w:firstLineChars="200"/>
        <w:rPr>
          <w:rFonts w:ascii="黑体" w:hAnsi="黑体" w:eastAsia="黑体"/>
          <w:b w:val="0"/>
          <w:szCs w:val="32"/>
        </w:rPr>
      </w:pPr>
      <w:r>
        <w:rPr>
          <w:rFonts w:ascii="黑体" w:hAnsi="黑体" w:eastAsia="黑体"/>
          <w:b w:val="0"/>
          <w:szCs w:val="32"/>
        </w:rPr>
        <w:t xml:space="preserve"> </w:t>
      </w:r>
      <w:r>
        <w:rPr>
          <w:rFonts w:hint="eastAsia" w:ascii="黑体" w:hAnsi="黑体" w:eastAsia="黑体"/>
          <w:b w:val="0"/>
          <w:szCs w:val="32"/>
        </w:rPr>
        <w:t>三、项目的必要性</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本片区的开发建设将进一步推进营前片区的建设和更新，优化用地布局，提升城市形象和风貌。成片开发的实施将提高片区的公共空间质量，完善基础设施配套服务能力，提升片区核心竞争力。</w:t>
      </w:r>
    </w:p>
    <w:p>
      <w:pPr>
        <w:pStyle w:val="3"/>
        <w:numPr>
          <w:ilvl w:val="0"/>
          <w:numId w:val="0"/>
        </w:numPr>
        <w:spacing w:line="360" w:lineRule="auto"/>
        <w:ind w:firstLine="640" w:firstLineChars="200"/>
        <w:rPr>
          <w:rFonts w:ascii="黑体" w:hAnsi="黑体" w:eastAsia="黑体"/>
          <w:b w:val="0"/>
          <w:szCs w:val="32"/>
        </w:rPr>
      </w:pPr>
      <w:r>
        <w:rPr>
          <w:rFonts w:hint="eastAsia" w:ascii="黑体" w:hAnsi="黑体" w:eastAsia="黑体"/>
          <w:b w:val="0"/>
          <w:szCs w:val="32"/>
        </w:rPr>
        <w:t>四、规划土地用途分析</w:t>
      </w:r>
    </w:p>
    <w:p>
      <w:pPr>
        <w:widowControl/>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本方案包括居住用地7.1828公顷</w:t>
      </w:r>
      <w:r>
        <w:rPr>
          <w:rFonts w:hint="eastAsia" w:ascii="Times New Roman" w:hAnsi="Times New Roman" w:eastAsia="仿宋_GB2312"/>
          <w:sz w:val="32"/>
          <w:szCs w:val="32"/>
        </w:rPr>
        <w:t>；公共管理与公共服务用地</w:t>
      </w:r>
      <w:r>
        <w:rPr>
          <w:rFonts w:hint="eastAsia" w:ascii="仿宋_GB2312" w:hAnsi="宋体" w:eastAsia="仿宋_GB2312"/>
          <w:sz w:val="32"/>
          <w:szCs w:val="32"/>
        </w:rPr>
        <w:t>7.3950</w:t>
      </w:r>
      <w:r>
        <w:rPr>
          <w:rFonts w:hint="eastAsia" w:ascii="Times New Roman" w:hAnsi="Times New Roman" w:eastAsia="仿宋_GB2312"/>
          <w:sz w:val="32"/>
          <w:szCs w:val="32"/>
        </w:rPr>
        <w:t>公顷；商业服务业用地</w:t>
      </w:r>
      <w:r>
        <w:rPr>
          <w:rFonts w:hint="eastAsia" w:ascii="仿宋_GB2312" w:hAnsi="宋体" w:eastAsia="仿宋_GB2312"/>
          <w:sz w:val="32"/>
          <w:szCs w:val="32"/>
        </w:rPr>
        <w:t>8.1024</w:t>
      </w:r>
      <w:r>
        <w:rPr>
          <w:rFonts w:hint="eastAsia" w:ascii="Times New Roman" w:hAnsi="Times New Roman" w:eastAsia="仿宋_GB2312"/>
          <w:sz w:val="32"/>
          <w:szCs w:val="32"/>
        </w:rPr>
        <w:t>公顷；交通运输用地</w:t>
      </w:r>
      <w:r>
        <w:rPr>
          <w:rFonts w:hint="eastAsia" w:ascii="仿宋_GB2312" w:hAnsi="宋体" w:eastAsia="仿宋_GB2312"/>
          <w:sz w:val="32"/>
          <w:szCs w:val="32"/>
        </w:rPr>
        <w:t>6.3501</w:t>
      </w:r>
      <w:r>
        <w:rPr>
          <w:rFonts w:hint="eastAsia" w:ascii="Times New Roman" w:hAnsi="Times New Roman" w:eastAsia="仿宋_GB2312"/>
          <w:sz w:val="32"/>
          <w:szCs w:val="32"/>
        </w:rPr>
        <w:t>公顷；绿地与开敞空间用地</w:t>
      </w:r>
      <w:r>
        <w:rPr>
          <w:rFonts w:hint="eastAsia" w:ascii="仿宋_GB2312" w:hAnsi="宋体" w:eastAsia="仿宋_GB2312"/>
          <w:sz w:val="32"/>
          <w:szCs w:val="32"/>
        </w:rPr>
        <w:t>3.</w:t>
      </w:r>
      <w:r>
        <w:rPr>
          <w:rFonts w:hint="eastAsia" w:ascii="仿宋_GB2312" w:hAnsi="宋体" w:eastAsia="仿宋_GB2312"/>
          <w:sz w:val="32"/>
          <w:szCs w:val="32"/>
          <w:lang w:val="en-US" w:eastAsia="zh-CN"/>
        </w:rPr>
        <w:t>2644</w:t>
      </w:r>
      <w:r>
        <w:rPr>
          <w:rFonts w:hint="eastAsia" w:ascii="Times New Roman" w:hAnsi="Times New Roman" w:eastAsia="仿宋_GB2312"/>
          <w:sz w:val="32"/>
          <w:szCs w:val="32"/>
        </w:rPr>
        <w:t>公顷；陆地水域</w:t>
      </w:r>
      <w:r>
        <w:rPr>
          <w:rFonts w:hint="eastAsia" w:ascii="仿宋_GB2312" w:hAnsi="宋体" w:eastAsia="仿宋_GB2312"/>
          <w:sz w:val="32"/>
          <w:szCs w:val="32"/>
        </w:rPr>
        <w:t>1.4096</w:t>
      </w:r>
      <w:r>
        <w:rPr>
          <w:rFonts w:hint="eastAsia" w:ascii="Times New Roman" w:hAnsi="Times New Roman" w:eastAsia="仿宋_GB2312"/>
          <w:sz w:val="32"/>
          <w:szCs w:val="32"/>
        </w:rPr>
        <w:t>公顷。</w:t>
      </w:r>
    </w:p>
    <w:p>
      <w:pPr>
        <w:pStyle w:val="3"/>
        <w:numPr>
          <w:ilvl w:val="0"/>
          <w:numId w:val="0"/>
        </w:numPr>
        <w:spacing w:line="360" w:lineRule="auto"/>
        <w:ind w:firstLine="640" w:firstLineChars="200"/>
        <w:rPr>
          <w:rFonts w:ascii="黑体" w:hAnsi="黑体" w:eastAsia="黑体"/>
          <w:b w:val="0"/>
          <w:szCs w:val="32"/>
        </w:rPr>
      </w:pPr>
      <w:r>
        <w:rPr>
          <w:rFonts w:hint="eastAsia" w:ascii="黑体" w:hAnsi="黑体" w:eastAsia="黑体"/>
          <w:b w:val="0"/>
          <w:szCs w:val="32"/>
        </w:rPr>
        <w:t>五、公益性用地</w:t>
      </w:r>
      <w:r>
        <w:rPr>
          <w:rFonts w:ascii="黑体" w:hAnsi="黑体" w:eastAsia="黑体"/>
          <w:b w:val="0"/>
          <w:szCs w:val="32"/>
        </w:rPr>
        <w:t>情况</w:t>
      </w:r>
    </w:p>
    <w:p>
      <w:pPr>
        <w:spacing w:line="360" w:lineRule="auto"/>
        <w:ind w:firstLine="640" w:firstLineChars="200"/>
        <w:rPr>
          <w:rFonts w:ascii="仿宋_GB2312" w:hAnsi="宋体" w:eastAsia="仿宋_GB2312"/>
          <w:sz w:val="32"/>
          <w:szCs w:val="32"/>
        </w:rPr>
      </w:pPr>
      <w:r>
        <w:rPr>
          <w:rFonts w:hint="eastAsia" w:ascii="Times New Roman" w:hAnsi="Times New Roman" w:eastAsia="仿宋_GB2312"/>
          <w:sz w:val="32"/>
          <w:szCs w:val="32"/>
        </w:rPr>
        <w:t>公益性用地包含公共管理与公共服务用地、交通运输用地、绿地与开敞空间用地和陆地水域等，合计</w:t>
      </w:r>
      <w:r>
        <w:rPr>
          <w:rFonts w:hint="eastAsia" w:ascii="仿宋_GB2312" w:hAnsi="宋体" w:eastAsia="仿宋_GB2312"/>
          <w:sz w:val="32"/>
          <w:szCs w:val="32"/>
          <w:lang w:val="en-US" w:eastAsia="zh-CN"/>
        </w:rPr>
        <w:t>18.4191</w:t>
      </w:r>
      <w:r>
        <w:rPr>
          <w:rFonts w:hint="eastAsia" w:ascii="Times New Roman" w:hAnsi="Times New Roman" w:eastAsia="仿宋_GB2312"/>
          <w:sz w:val="32"/>
          <w:szCs w:val="32"/>
        </w:rPr>
        <w:t>公顷，占用地</w:t>
      </w:r>
      <w:r>
        <w:rPr>
          <w:rFonts w:hint="eastAsia" w:ascii="Times New Roman" w:hAnsi="Times New Roman" w:eastAsia="仿宋_GB2312"/>
          <w:sz w:val="32"/>
          <w:szCs w:val="32"/>
          <w:lang w:val="en-US" w:eastAsia="zh-CN"/>
        </w:rPr>
        <w:t>总</w:t>
      </w:r>
      <w:r>
        <w:rPr>
          <w:rFonts w:hint="eastAsia" w:ascii="仿宋_GB2312" w:hAnsi="宋体" w:eastAsia="仿宋_GB2312"/>
          <w:sz w:val="32"/>
          <w:szCs w:val="32"/>
        </w:rPr>
        <w:t>面积的</w:t>
      </w:r>
      <w:r>
        <w:rPr>
          <w:rFonts w:hint="eastAsia" w:ascii="仿宋_GB2312" w:hAnsi="宋体" w:eastAsia="仿宋_GB2312"/>
          <w:sz w:val="32"/>
          <w:szCs w:val="32"/>
          <w:lang w:val="en-US" w:eastAsia="zh-CN"/>
        </w:rPr>
        <w:t>54.65</w:t>
      </w:r>
      <w:r>
        <w:rPr>
          <w:rFonts w:ascii="仿宋_GB2312" w:hAnsi="宋体" w:eastAsia="仿宋_GB2312"/>
          <w:sz w:val="32"/>
          <w:szCs w:val="32"/>
        </w:rPr>
        <w:t>%</w:t>
      </w:r>
      <w:r>
        <w:rPr>
          <w:rFonts w:hint="eastAsia" w:ascii="仿宋_GB2312" w:hAnsi="宋体" w:eastAsia="仿宋_GB2312"/>
          <w:sz w:val="32"/>
          <w:szCs w:val="32"/>
        </w:rPr>
        <w:t>，符合自然资规〔</w:t>
      </w:r>
      <w:r>
        <w:rPr>
          <w:rFonts w:ascii="仿宋_GB2312" w:hAnsi="宋体" w:eastAsia="仿宋_GB2312"/>
          <w:sz w:val="32"/>
          <w:szCs w:val="32"/>
        </w:rPr>
        <w:t>2020</w:t>
      </w:r>
      <w:r>
        <w:rPr>
          <w:rFonts w:hint="eastAsia" w:ascii="仿宋_GB2312" w:hAnsi="宋体" w:eastAsia="仿宋_GB2312"/>
          <w:sz w:val="32"/>
          <w:szCs w:val="32"/>
        </w:rPr>
        <w:t>〕</w:t>
      </w:r>
      <w:r>
        <w:rPr>
          <w:rFonts w:ascii="仿宋_GB2312" w:hAnsi="宋体" w:eastAsia="仿宋_GB2312"/>
          <w:sz w:val="32"/>
          <w:szCs w:val="32"/>
        </w:rPr>
        <w:t>5</w:t>
      </w:r>
      <w:r>
        <w:rPr>
          <w:rFonts w:hint="eastAsia" w:ascii="仿宋_GB2312" w:hAnsi="宋体" w:eastAsia="仿宋_GB2312"/>
          <w:sz w:val="32"/>
          <w:szCs w:val="32"/>
        </w:rPr>
        <w:t>号文件规定。</w:t>
      </w:r>
    </w:p>
    <w:p>
      <w:pPr>
        <w:pStyle w:val="3"/>
        <w:numPr>
          <w:ilvl w:val="0"/>
          <w:numId w:val="0"/>
        </w:numPr>
        <w:spacing w:line="360" w:lineRule="auto"/>
        <w:ind w:firstLine="640" w:firstLineChars="200"/>
        <w:rPr>
          <w:rFonts w:ascii="黑体" w:hAnsi="黑体" w:eastAsia="黑体"/>
          <w:b w:val="0"/>
          <w:szCs w:val="32"/>
        </w:rPr>
      </w:pPr>
      <w:r>
        <w:rPr>
          <w:rFonts w:hint="eastAsia" w:ascii="黑体" w:hAnsi="黑体" w:eastAsia="黑体"/>
          <w:b w:val="0"/>
          <w:szCs w:val="32"/>
        </w:rPr>
        <w:t>六</w:t>
      </w:r>
      <w:r>
        <w:rPr>
          <w:rFonts w:ascii="黑体" w:hAnsi="黑体" w:eastAsia="黑体"/>
          <w:b w:val="0"/>
          <w:szCs w:val="32"/>
        </w:rPr>
        <w:t>、规划符合情况</w:t>
      </w:r>
    </w:p>
    <w:p>
      <w:pPr>
        <w:spacing w:line="560" w:lineRule="exact"/>
        <w:ind w:firstLine="640" w:firstLineChars="200"/>
        <w:rPr>
          <w:rFonts w:hint="eastAsia" w:ascii="仿宋_GB2312" w:hAnsi="宋体" w:eastAsia="仿宋_GB2312"/>
          <w:sz w:val="32"/>
          <w:szCs w:val="32"/>
          <w:lang w:eastAsia="zh-CN"/>
        </w:rPr>
      </w:pPr>
      <w:r>
        <w:rPr>
          <w:rFonts w:ascii="仿宋_GB2312" w:hAnsi="宋体" w:eastAsia="仿宋_GB2312"/>
          <w:sz w:val="32"/>
          <w:szCs w:val="32"/>
        </w:rPr>
        <w:t xml:space="preserve">本方案符合国民经济和社会发展规划的发展定位、要求，有 利于完成规划目标、任务，已纳入国民经济和社会发展年度计划。 </w:t>
      </w:r>
      <w:r>
        <w:rPr>
          <w:rFonts w:hint="eastAsia" w:ascii="仿宋_GB2312" w:hAnsi="宋体" w:eastAsia="仿宋_GB2312"/>
          <w:sz w:val="32"/>
          <w:szCs w:val="32"/>
        </w:rPr>
        <w:t>本方案已纳入上报的城镇开发边界集中建设区，</w:t>
      </w:r>
      <w:r>
        <w:rPr>
          <w:rFonts w:hint="eastAsia" w:ascii="仿宋_GB2312" w:hAnsi="宋体" w:eastAsia="仿宋_GB2312"/>
          <w:sz w:val="32"/>
          <w:szCs w:val="32"/>
          <w:lang w:val="en-US" w:eastAsia="zh-CN"/>
        </w:rPr>
        <w:t>长乐区</w:t>
      </w:r>
      <w:r>
        <w:rPr>
          <w:rFonts w:hint="eastAsia" w:ascii="仿宋_GB2312" w:hAnsi="宋体" w:eastAsia="仿宋_GB2312"/>
          <w:sz w:val="32"/>
          <w:szCs w:val="32"/>
        </w:rPr>
        <w:t>人民政府承诺将土地征收成片开发范围纳入国土空间规划最终确定的城镇开发边界内的集中建设区</w:t>
      </w:r>
      <w:r>
        <w:rPr>
          <w:rFonts w:hint="eastAsia" w:ascii="仿宋_GB2312" w:hAnsi="宋体" w:eastAsia="仿宋_GB2312"/>
          <w:sz w:val="32"/>
          <w:szCs w:val="32"/>
          <w:lang w:eastAsia="zh-CN"/>
        </w:rPr>
        <w:t>。</w:t>
      </w:r>
    </w:p>
    <w:p>
      <w:pPr>
        <w:pStyle w:val="3"/>
        <w:numPr>
          <w:ilvl w:val="0"/>
          <w:numId w:val="0"/>
        </w:numPr>
        <w:spacing w:line="360" w:lineRule="auto"/>
        <w:ind w:firstLine="640" w:firstLineChars="200"/>
        <w:rPr>
          <w:rFonts w:ascii="黑体" w:hAnsi="黑体" w:eastAsia="黑体"/>
          <w:b w:val="0"/>
          <w:szCs w:val="32"/>
        </w:rPr>
      </w:pPr>
      <w:r>
        <w:rPr>
          <w:rFonts w:hint="eastAsia" w:ascii="黑体" w:hAnsi="黑体" w:eastAsia="黑体"/>
          <w:b w:val="0"/>
          <w:szCs w:val="32"/>
        </w:rPr>
        <w:t>七</w:t>
      </w:r>
      <w:r>
        <w:rPr>
          <w:rFonts w:ascii="黑体" w:hAnsi="黑体" w:eastAsia="黑体"/>
          <w:b w:val="0"/>
          <w:szCs w:val="32"/>
        </w:rPr>
        <w:t>、</w:t>
      </w:r>
      <w:r>
        <w:rPr>
          <w:rFonts w:hint="eastAsia" w:ascii="黑体" w:hAnsi="黑体" w:eastAsia="黑体"/>
          <w:b w:val="0"/>
          <w:szCs w:val="32"/>
        </w:rPr>
        <w:t>永久基本农田及生态保护情况</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成片开发范围内不涉及永久基本农田、陆域生态保护红线等，符合成片开发项目送审报批的要求。</w:t>
      </w:r>
    </w:p>
    <w:p>
      <w:pPr>
        <w:pStyle w:val="3"/>
        <w:numPr>
          <w:ilvl w:val="0"/>
          <w:numId w:val="0"/>
        </w:numPr>
        <w:spacing w:line="360" w:lineRule="auto"/>
        <w:ind w:firstLine="640" w:firstLineChars="200"/>
        <w:rPr>
          <w:rFonts w:ascii="黑体" w:hAnsi="黑体" w:eastAsia="黑体"/>
          <w:b w:val="0"/>
          <w:szCs w:val="32"/>
        </w:rPr>
      </w:pPr>
      <w:r>
        <w:rPr>
          <w:rFonts w:hint="eastAsia" w:ascii="黑体" w:hAnsi="黑体" w:eastAsia="黑体"/>
          <w:b w:val="0"/>
          <w:szCs w:val="32"/>
        </w:rPr>
        <w:t>八</w:t>
      </w:r>
      <w:r>
        <w:rPr>
          <w:rFonts w:ascii="黑体" w:hAnsi="黑体" w:eastAsia="黑体"/>
          <w:b w:val="0"/>
          <w:szCs w:val="32"/>
        </w:rPr>
        <w:t>、</w:t>
      </w:r>
      <w:r>
        <w:rPr>
          <w:rFonts w:hint="eastAsia" w:ascii="黑体" w:hAnsi="黑体" w:eastAsia="黑体"/>
          <w:b w:val="0"/>
          <w:szCs w:val="32"/>
        </w:rPr>
        <w:t>实施计划</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本方案用地总面积33.7043 公顷，已完成实施面积7.261</w:t>
      </w:r>
      <w:r>
        <w:rPr>
          <w:rFonts w:hint="eastAsia" w:ascii="仿宋_GB2312" w:hAnsi="宋体" w:eastAsia="仿宋_GB2312"/>
          <w:sz w:val="32"/>
          <w:szCs w:val="32"/>
          <w:lang w:val="en-US" w:eastAsia="zh-CN"/>
        </w:rPr>
        <w:t>0</w:t>
      </w:r>
      <w:r>
        <w:rPr>
          <w:rFonts w:hint="eastAsia" w:ascii="仿宋_GB2312" w:hAnsi="宋体" w:eastAsia="仿宋_GB2312"/>
          <w:sz w:val="32"/>
          <w:szCs w:val="32"/>
        </w:rPr>
        <w:t>公顷，故拟安排实施项目面积26.4433公顷，计划实施周期为2022-2024年，3年内实施完毕。</w:t>
      </w:r>
    </w:p>
    <w:p>
      <w:pPr>
        <w:pStyle w:val="3"/>
        <w:numPr>
          <w:ilvl w:val="0"/>
          <w:numId w:val="0"/>
        </w:numPr>
        <w:spacing w:line="360" w:lineRule="auto"/>
        <w:ind w:firstLine="640" w:firstLineChars="200"/>
        <w:rPr>
          <w:rFonts w:ascii="黑体" w:hAnsi="黑体" w:eastAsia="黑体"/>
          <w:b w:val="0"/>
          <w:szCs w:val="32"/>
        </w:rPr>
      </w:pPr>
      <w:r>
        <w:rPr>
          <w:rFonts w:hint="eastAsia" w:ascii="黑体" w:hAnsi="黑体" w:eastAsia="黑体"/>
          <w:b w:val="0"/>
          <w:szCs w:val="32"/>
        </w:rPr>
        <w:t>九、效益评估</w:t>
      </w:r>
    </w:p>
    <w:p>
      <w:pPr>
        <w:spacing w:line="360" w:lineRule="auto"/>
        <w:ind w:firstLine="640" w:firstLineChars="200"/>
        <w:rPr>
          <w:rFonts w:ascii="仿宋_GB2312" w:hAnsi="宋体" w:eastAsia="仿宋_GB2312"/>
          <w:bCs/>
          <w:sz w:val="32"/>
          <w:szCs w:val="32"/>
        </w:rPr>
      </w:pPr>
      <w:r>
        <w:rPr>
          <w:rFonts w:hint="eastAsia" w:ascii="仿宋_GB2312" w:hAnsi="宋体" w:eastAsia="仿宋_GB2312"/>
          <w:bCs/>
          <w:sz w:val="32"/>
          <w:szCs w:val="32"/>
        </w:rPr>
        <w:t>（一）土地利用效益：通过合理安排用地规模、结构和布局，有利于完善配套设施，科学配置土地资源，优化土地利用空间格局，提高现有用地使用效益，</w:t>
      </w:r>
      <w:r>
        <w:rPr>
          <w:rFonts w:hint="eastAsia" w:ascii="仿宋_GB2312" w:hAnsi="宋体" w:eastAsia="仿宋_GB2312"/>
          <w:bCs/>
          <w:sz w:val="32"/>
          <w:szCs w:val="32"/>
          <w:lang w:eastAsia="zh-CN"/>
        </w:rPr>
        <w:t>有效</w:t>
      </w:r>
      <w:r>
        <w:rPr>
          <w:rFonts w:hint="eastAsia" w:ascii="仿宋_GB2312" w:hAnsi="宋体" w:eastAsia="仿宋_GB2312"/>
          <w:bCs/>
          <w:sz w:val="32"/>
          <w:szCs w:val="32"/>
        </w:rPr>
        <w:t>促进土地的集约高效利用</w:t>
      </w:r>
      <w:bookmarkStart w:id="1" w:name="_GoBack"/>
      <w:bookmarkEnd w:id="1"/>
      <w:r>
        <w:rPr>
          <w:rFonts w:hint="eastAsia" w:ascii="仿宋_GB2312" w:hAnsi="宋体" w:eastAsia="仿宋_GB2312"/>
          <w:bCs/>
          <w:sz w:val="32"/>
          <w:szCs w:val="32"/>
        </w:rPr>
        <w:t>。</w:t>
      </w:r>
    </w:p>
    <w:p>
      <w:pPr>
        <w:spacing w:line="360" w:lineRule="auto"/>
        <w:ind w:firstLine="640" w:firstLineChars="200"/>
        <w:rPr>
          <w:rFonts w:ascii="仿宋_GB2312" w:hAnsi="宋体" w:eastAsia="仿宋_GB2312"/>
          <w:bCs/>
          <w:sz w:val="32"/>
          <w:szCs w:val="32"/>
        </w:rPr>
      </w:pPr>
      <w:r>
        <w:rPr>
          <w:rFonts w:hint="eastAsia" w:ascii="仿宋_GB2312" w:hAnsi="宋体" w:eastAsia="仿宋_GB2312"/>
          <w:bCs/>
          <w:sz w:val="32"/>
          <w:szCs w:val="32"/>
        </w:rPr>
        <w:t>（二）经济效益：本片区位于营前街道东南侧，靠近营滨路和国道316，交通便利，</w:t>
      </w:r>
      <w:r>
        <w:rPr>
          <w:rFonts w:hint="eastAsia" w:ascii="仿宋_GB2312" w:hAnsi="宋体" w:eastAsia="仿宋_GB2312"/>
          <w:bCs/>
          <w:sz w:val="32"/>
          <w:szCs w:val="32"/>
          <w:lang w:val="en-US" w:eastAsia="zh-CN"/>
        </w:rPr>
        <w:t>片区的开发有利于提升城市面貌，完善</w:t>
      </w:r>
      <w:r>
        <w:rPr>
          <w:rFonts w:hint="eastAsia" w:ascii="仿宋_GB2312" w:hAnsi="宋体" w:eastAsia="仿宋_GB2312"/>
          <w:bCs/>
          <w:sz w:val="32"/>
          <w:szCs w:val="32"/>
        </w:rPr>
        <w:t>周边生活配套</w:t>
      </w:r>
      <w:r>
        <w:rPr>
          <w:rFonts w:hint="eastAsia" w:ascii="仿宋_GB2312" w:hAnsi="宋体" w:eastAsia="仿宋_GB2312"/>
          <w:bCs/>
          <w:sz w:val="32"/>
          <w:szCs w:val="32"/>
          <w:lang w:eastAsia="zh-CN"/>
        </w:rPr>
        <w:t>，</w:t>
      </w:r>
      <w:r>
        <w:rPr>
          <w:rFonts w:hint="eastAsia" w:ascii="仿宋_GB2312" w:hAnsi="宋体" w:eastAsia="仿宋_GB2312"/>
          <w:bCs/>
          <w:sz w:val="32"/>
          <w:szCs w:val="32"/>
          <w:lang w:val="en-US" w:eastAsia="zh-CN"/>
        </w:rPr>
        <w:t>带动区域商业服务业</w:t>
      </w:r>
      <w:r>
        <w:rPr>
          <w:rFonts w:hint="eastAsia" w:ascii="仿宋_GB2312" w:hAnsi="宋体" w:eastAsia="仿宋_GB2312"/>
          <w:bCs/>
          <w:sz w:val="32"/>
          <w:szCs w:val="32"/>
        </w:rPr>
        <w:t>的发展，拉动基础配套设施建设及相关行业的投入，对促进区域经济发展，增加税收等方面有较强的促进作用。</w:t>
      </w:r>
    </w:p>
    <w:p>
      <w:pPr>
        <w:spacing w:line="360" w:lineRule="auto"/>
        <w:ind w:firstLine="640" w:firstLineChars="200"/>
        <w:rPr>
          <w:rFonts w:ascii="仿宋_GB2312" w:hAnsi="宋体" w:eastAsia="仿宋_GB2312"/>
          <w:bCs/>
          <w:sz w:val="32"/>
          <w:szCs w:val="32"/>
        </w:rPr>
      </w:pPr>
      <w:r>
        <w:rPr>
          <w:rFonts w:hint="eastAsia" w:ascii="仿宋_GB2312" w:hAnsi="宋体" w:eastAsia="仿宋_GB2312"/>
          <w:bCs/>
          <w:sz w:val="32"/>
          <w:szCs w:val="32"/>
        </w:rPr>
        <w:t>（三）社会效益：</w:t>
      </w:r>
      <w:r>
        <w:rPr>
          <w:rFonts w:hint="eastAsia" w:ascii="仿宋_GB2312" w:hAnsi="宋体" w:eastAsia="仿宋_GB2312"/>
          <w:bCs/>
          <w:sz w:val="32"/>
          <w:szCs w:val="32"/>
          <w:lang w:val="en-US" w:eastAsia="zh-CN"/>
        </w:rPr>
        <w:t>片区的开发将完善区域的基础设施配套，</w:t>
      </w:r>
      <w:r>
        <w:rPr>
          <w:rFonts w:hint="eastAsia" w:ascii="仿宋_GB2312" w:hAnsi="宋体" w:eastAsia="仿宋_GB2312"/>
          <w:bCs/>
          <w:sz w:val="32"/>
          <w:szCs w:val="32"/>
        </w:rPr>
        <w:t>对改善区域生活和教育环境，提升区域品质起到重要作用。</w:t>
      </w:r>
    </w:p>
    <w:p>
      <w:pPr>
        <w:spacing w:line="360" w:lineRule="auto"/>
        <w:ind w:firstLine="640" w:firstLineChars="200"/>
        <w:rPr>
          <w:rFonts w:ascii="仿宋_GB2312" w:hAnsi="宋体" w:eastAsia="仿宋_GB2312"/>
          <w:bCs/>
          <w:sz w:val="32"/>
          <w:szCs w:val="32"/>
        </w:rPr>
      </w:pPr>
      <w:r>
        <w:rPr>
          <w:rFonts w:hint="eastAsia" w:ascii="仿宋_GB2312" w:hAnsi="宋体" w:eastAsia="仿宋_GB2312"/>
          <w:bCs/>
          <w:sz w:val="32"/>
          <w:szCs w:val="32"/>
        </w:rPr>
        <w:t>（四）生态效益：对区域在大气环境、生态环境、地下水环境、土壤环境的影响较小。规划范围内城市绿地建设将有效提升人均绿地面积，改善人居环境。</w:t>
      </w:r>
    </w:p>
    <w:p>
      <w:pPr>
        <w:pStyle w:val="3"/>
        <w:numPr>
          <w:ilvl w:val="0"/>
          <w:numId w:val="0"/>
        </w:numPr>
        <w:spacing w:line="360" w:lineRule="auto"/>
        <w:ind w:firstLine="640" w:firstLineChars="200"/>
        <w:rPr>
          <w:rFonts w:ascii="黑体" w:hAnsi="黑体" w:eastAsia="黑体"/>
          <w:b w:val="0"/>
          <w:szCs w:val="32"/>
        </w:rPr>
      </w:pPr>
      <w:r>
        <w:rPr>
          <w:rFonts w:hint="eastAsia" w:ascii="黑体" w:hAnsi="黑体" w:eastAsia="黑体"/>
          <w:b w:val="0"/>
          <w:szCs w:val="32"/>
        </w:rPr>
        <w:t>十一、结论</w:t>
      </w:r>
    </w:p>
    <w:p>
      <w:pPr>
        <w:spacing w:line="360" w:lineRule="auto"/>
        <w:ind w:firstLine="640" w:firstLineChars="200"/>
        <w:rPr>
          <w:rFonts w:ascii="仿宋_GB2312" w:hAnsi="宋体" w:eastAsia="仿宋_GB2312"/>
          <w:bCs/>
          <w:sz w:val="32"/>
          <w:szCs w:val="32"/>
        </w:rPr>
      </w:pPr>
      <w:r>
        <w:rPr>
          <w:rFonts w:hint="eastAsia" w:ascii="仿宋_GB2312" w:hAnsi="宋体" w:eastAsia="仿宋_GB2312"/>
          <w:bCs/>
          <w:sz w:val="32"/>
          <w:szCs w:val="32"/>
        </w:rPr>
        <w:t>《长乐区洞江湖周边片区土地征收成片开发方案》符合土地征收成片开发的标准。</w:t>
      </w:r>
    </w:p>
    <w:p>
      <w:pPr>
        <w:widowControl/>
        <w:spacing w:line="560" w:lineRule="exact"/>
        <w:jc w:val="left"/>
        <w:rPr>
          <w:rFonts w:ascii="仿宋_GB2312" w:hAnsi="宋体" w:eastAsia="仿宋_GB2312"/>
          <w:bCs/>
          <w:sz w:val="32"/>
          <w:szCs w:val="32"/>
        </w:rPr>
      </w:pPr>
      <w:r>
        <w:rPr>
          <w:rFonts w:ascii="仿宋_GB2312" w:hAnsi="宋体" w:eastAsia="仿宋_GB2312"/>
          <w:bCs/>
          <w:sz w:val="32"/>
          <w:szCs w:val="32"/>
        </w:rPr>
        <w:br w:type="page"/>
      </w:r>
      <w:r>
        <w:rPr>
          <w:rFonts w:hint="eastAsia" w:ascii="仿宋_GB2312" w:hAnsi="宋体" w:eastAsia="仿宋_GB2312"/>
          <w:bCs/>
          <w:sz w:val="32"/>
          <w:szCs w:val="32"/>
        </w:rPr>
        <w:t>附图：</w:t>
      </w:r>
      <w:r>
        <w:rPr>
          <w:rFonts w:hint="eastAsia" w:ascii="仿宋_GB2312" w:hAnsi="宋体" w:eastAsia="仿宋_GB2312"/>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仿宋_GB2312" w:hAnsi="宋体" w:eastAsia="仿宋_GB2312"/>
          <w:bCs/>
          <w:sz w:val="32"/>
          <w:szCs w:val="32"/>
        </w:rPr>
        <w:instrText xml:space="preserve">ADDIN CNKISM.UserStyle</w:instrText>
      </w:r>
      <w:r>
        <w:rPr>
          <w:rFonts w:hint="eastAsia" w:ascii="仿宋_GB2312" w:hAnsi="宋体" w:eastAsia="仿宋_GB2312"/>
          <w:bCs/>
          <w:sz w:val="32"/>
          <w:szCs w:val="32"/>
        </w:rPr>
        <w:fldChar w:fldCharType="end"/>
      </w:r>
      <w:r>
        <w:rPr>
          <w:rFonts w:hint="eastAsia" w:ascii="仿宋_GB2312" w:hAnsi="宋体" w:eastAsia="仿宋_GB2312"/>
          <w:bCs/>
          <w:sz w:val="32"/>
          <w:szCs w:val="32"/>
        </w:rPr>
        <w:t>成片开发位置示意图</w:t>
      </w:r>
    </w:p>
    <w:p>
      <w:pPr>
        <w:spacing w:line="560" w:lineRule="exact"/>
        <w:rPr>
          <w:rFonts w:ascii="仿宋_GB2312" w:hAnsi="宋体" w:eastAsia="仿宋_GB2312"/>
          <w:bCs/>
          <w:sz w:val="32"/>
          <w:szCs w:val="32"/>
        </w:rPr>
      </w:pPr>
      <w:r>
        <w:pict>
          <v:shape id="_x0000_s1028" o:spid="_x0000_s1028" o:spt="75" alt="G:\2、2021年\01.成片开发\02长乐区\02片区\02洞庭湖周边片区\02图件\1.长乐区2021年度第四十八批次土地征收成片开发方案（洞江湖周边片区）-成片开发位置示意图.jpg1.长乐区2021年度第四十八批次土地征收成片开发方案（洞江湖周边片区）-成片开发位置示意图" type="#_x0000_t75" style="position:absolute;left:0pt;margin-left:12.15pt;margin-top:9.55pt;height:569.25pt;width:402.55pt;mso-wrap-distance-bottom:0pt;mso-wrap-distance-top:0pt;z-index:251659264;mso-width-relative:page;mso-height-relative:page;" filled="f" o:preferrelative="t" stroked="f" coordsize="21600,21600">
            <v:path/>
            <v:fill on="f" focussize="0,0"/>
            <v:stroke on="f"/>
            <v:imagedata r:id="rId5" o:title="1.长乐区2021年度第四十八批次土地征收成片开发方案（洞江湖周边片区）-成片开发位置示意图"/>
            <o:lock v:ext="edit" aspectratio="t"/>
            <w10:wrap type="topAndBottom"/>
          </v:shape>
        </w:pict>
      </w:r>
    </w:p>
    <w:sectPr>
      <w:footerReference r:id="rId3" w:type="default"/>
      <w:pgSz w:w="11906" w:h="16838"/>
      <w:pgMar w:top="1985" w:right="1588" w:bottom="2098"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eastAsia" w:ascii="仿宋_GB2312" w:hAnsi="仿宋_GB2312" w:eastAsia="仿宋_GB2312" w:cs="仿宋_GB2312"/>
                              <w:sz w:val="28"/>
                              <w:szCs w:val="28"/>
                            </w:rPr>
                            <w:id w:val="58834674"/>
                          </w:sdtPr>
                          <w:sdtEndPr>
                            <w:rPr>
                              <w:rFonts w:hint="eastAsia" w:ascii="仿宋_GB2312" w:hAnsi="仿宋_GB2312" w:eastAsia="仿宋_GB2312" w:cs="仿宋_GB2312"/>
                              <w:sz w:val="28"/>
                              <w:szCs w:val="28"/>
                            </w:rPr>
                          </w:sdtEndPr>
                          <w:sdtContent>
                            <w:p>
                              <w:pPr>
                                <w:pStyle w:val="5"/>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lang w:val="zh-CN"/>
                                </w:rPr>
                                <w:t>-</w:t>
                              </w:r>
                              <w:r>
                                <w:rPr>
                                  <w:rFonts w:ascii="仿宋_GB2312" w:hAnsi="仿宋_GB2312" w:eastAsia="仿宋_GB2312" w:cs="仿宋_GB2312"/>
                                  <w:sz w:val="28"/>
                                  <w:szCs w:val="28"/>
                                </w:rPr>
                                <w:t xml:space="preserve"> 4 -</w:t>
                              </w:r>
                              <w:r>
                                <w:rPr>
                                  <w:rFonts w:hint="eastAsia" w:ascii="仿宋_GB2312" w:hAnsi="仿宋_GB2312" w:eastAsia="仿宋_GB2312" w:cs="仿宋_GB2312"/>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sdt>
                    <w:sdtPr>
                      <w:rPr>
                        <w:rFonts w:hint="eastAsia" w:ascii="仿宋_GB2312" w:hAnsi="仿宋_GB2312" w:eastAsia="仿宋_GB2312" w:cs="仿宋_GB2312"/>
                        <w:sz w:val="28"/>
                        <w:szCs w:val="28"/>
                      </w:rPr>
                      <w:id w:val="58834674"/>
                    </w:sdtPr>
                    <w:sdtEndPr>
                      <w:rPr>
                        <w:rFonts w:hint="eastAsia" w:ascii="仿宋_GB2312" w:hAnsi="仿宋_GB2312" w:eastAsia="仿宋_GB2312" w:cs="仿宋_GB2312"/>
                        <w:sz w:val="28"/>
                        <w:szCs w:val="28"/>
                      </w:rPr>
                    </w:sdtEndPr>
                    <w:sdtContent>
                      <w:p>
                        <w:pPr>
                          <w:pStyle w:val="5"/>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lang w:val="zh-CN"/>
                          </w:rPr>
                          <w:t>-</w:t>
                        </w:r>
                        <w:r>
                          <w:rPr>
                            <w:rFonts w:ascii="仿宋_GB2312" w:hAnsi="仿宋_GB2312" w:eastAsia="仿宋_GB2312" w:cs="仿宋_GB2312"/>
                            <w:sz w:val="28"/>
                            <w:szCs w:val="28"/>
                          </w:rPr>
                          <w:t xml:space="preserve"> 4 -</w:t>
                        </w:r>
                        <w:r>
                          <w:rPr>
                            <w:rFonts w:hint="eastAsia" w:ascii="仿宋_GB2312" w:hAnsi="仿宋_GB2312" w:eastAsia="仿宋_GB2312" w:cs="仿宋_GB2312"/>
                            <w:sz w:val="28"/>
                            <w:szCs w:val="28"/>
                          </w:rPr>
                          <w:fldChar w:fldCharType="end"/>
                        </w:r>
                      </w:p>
                    </w:sdtContent>
                  </w:sdt>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563CF"/>
    <w:multiLevelType w:val="multilevel"/>
    <w:tmpl w:val="5A3563CF"/>
    <w:lvl w:ilvl="0" w:tentative="0">
      <w:start w:val="1"/>
      <w:numFmt w:val="chineseCountingThousand"/>
      <w:pStyle w:val="3"/>
      <w:lvlText w:val="%1、"/>
      <w:lvlJc w:val="left"/>
      <w:pPr>
        <w:ind w:left="420" w:hanging="420"/>
      </w:pPr>
    </w:lvl>
    <w:lvl w:ilvl="1" w:tentative="0">
      <w:start w:val="1"/>
      <w:numFmt w:val="chineseCountingThousand"/>
      <w:lvlText w:val="(%2)"/>
      <w:lvlJc w:val="left"/>
      <w:pPr>
        <w:ind w:left="1500" w:hanging="1080"/>
      </w:pPr>
      <w:rPr>
        <w:rFonts w:hint="default"/>
      </w:rPr>
    </w:lvl>
    <w:lvl w:ilvl="2" w:tentative="0">
      <w:start w:val="1"/>
      <w:numFmt w:val="decimal"/>
      <w:lvlText w:val="（%3）"/>
      <w:lvlJc w:val="left"/>
      <w:pPr>
        <w:ind w:left="1590" w:hanging="750"/>
      </w:pPr>
      <w:rPr>
        <w:rFonts w:ascii="宋体" w:hAnsi="宋体" w:eastAsia="宋体" w:cstheme="minorBidi"/>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6CE"/>
    <w:rsid w:val="00092A71"/>
    <w:rsid w:val="000D625A"/>
    <w:rsid w:val="000E1D34"/>
    <w:rsid w:val="000F5A58"/>
    <w:rsid w:val="001003E4"/>
    <w:rsid w:val="001124C3"/>
    <w:rsid w:val="0017500E"/>
    <w:rsid w:val="00185ADC"/>
    <w:rsid w:val="00192A04"/>
    <w:rsid w:val="001B343A"/>
    <w:rsid w:val="001B3812"/>
    <w:rsid w:val="001E3A33"/>
    <w:rsid w:val="00203CA3"/>
    <w:rsid w:val="00205DAA"/>
    <w:rsid w:val="00215461"/>
    <w:rsid w:val="00281003"/>
    <w:rsid w:val="002900E7"/>
    <w:rsid w:val="002B66C0"/>
    <w:rsid w:val="002C118E"/>
    <w:rsid w:val="002D182C"/>
    <w:rsid w:val="002D63E5"/>
    <w:rsid w:val="002D695C"/>
    <w:rsid w:val="00324166"/>
    <w:rsid w:val="003344DE"/>
    <w:rsid w:val="00362F0D"/>
    <w:rsid w:val="00392367"/>
    <w:rsid w:val="0039709A"/>
    <w:rsid w:val="003C013F"/>
    <w:rsid w:val="003C1698"/>
    <w:rsid w:val="003D5CCE"/>
    <w:rsid w:val="003D6A6A"/>
    <w:rsid w:val="003F2701"/>
    <w:rsid w:val="004115CE"/>
    <w:rsid w:val="004222B9"/>
    <w:rsid w:val="0045559D"/>
    <w:rsid w:val="0047022B"/>
    <w:rsid w:val="004B3819"/>
    <w:rsid w:val="004C3CEC"/>
    <w:rsid w:val="004E52D9"/>
    <w:rsid w:val="004F7B5C"/>
    <w:rsid w:val="005171AA"/>
    <w:rsid w:val="00592D1D"/>
    <w:rsid w:val="005C46A5"/>
    <w:rsid w:val="005F2900"/>
    <w:rsid w:val="0062343E"/>
    <w:rsid w:val="0068432A"/>
    <w:rsid w:val="006A1E58"/>
    <w:rsid w:val="006E058D"/>
    <w:rsid w:val="006E54EA"/>
    <w:rsid w:val="00740A71"/>
    <w:rsid w:val="00741F64"/>
    <w:rsid w:val="007932B0"/>
    <w:rsid w:val="007C1789"/>
    <w:rsid w:val="007C664D"/>
    <w:rsid w:val="007E5E8F"/>
    <w:rsid w:val="007F5F66"/>
    <w:rsid w:val="0080566A"/>
    <w:rsid w:val="0081107F"/>
    <w:rsid w:val="00816F3B"/>
    <w:rsid w:val="008206CE"/>
    <w:rsid w:val="00837B0E"/>
    <w:rsid w:val="00840B86"/>
    <w:rsid w:val="00854B1E"/>
    <w:rsid w:val="00875513"/>
    <w:rsid w:val="00876F89"/>
    <w:rsid w:val="008C2457"/>
    <w:rsid w:val="008D15AD"/>
    <w:rsid w:val="008D681F"/>
    <w:rsid w:val="008E4700"/>
    <w:rsid w:val="00980643"/>
    <w:rsid w:val="009E7626"/>
    <w:rsid w:val="00A3488C"/>
    <w:rsid w:val="00A45A2D"/>
    <w:rsid w:val="00A70559"/>
    <w:rsid w:val="00AA3880"/>
    <w:rsid w:val="00AA6605"/>
    <w:rsid w:val="00AB0671"/>
    <w:rsid w:val="00AC134A"/>
    <w:rsid w:val="00B16B51"/>
    <w:rsid w:val="00B35D53"/>
    <w:rsid w:val="00B37B2B"/>
    <w:rsid w:val="00B40891"/>
    <w:rsid w:val="00B44426"/>
    <w:rsid w:val="00B4767A"/>
    <w:rsid w:val="00BC391E"/>
    <w:rsid w:val="00BE3644"/>
    <w:rsid w:val="00C220EA"/>
    <w:rsid w:val="00C24E90"/>
    <w:rsid w:val="00C5065C"/>
    <w:rsid w:val="00C91473"/>
    <w:rsid w:val="00C968E3"/>
    <w:rsid w:val="00CC6411"/>
    <w:rsid w:val="00CD02E1"/>
    <w:rsid w:val="00CF55B1"/>
    <w:rsid w:val="00D32A4E"/>
    <w:rsid w:val="00D42F39"/>
    <w:rsid w:val="00D83EC3"/>
    <w:rsid w:val="00D87007"/>
    <w:rsid w:val="00D936B6"/>
    <w:rsid w:val="00E01AF7"/>
    <w:rsid w:val="00E814F1"/>
    <w:rsid w:val="00E95CDA"/>
    <w:rsid w:val="00EA51D6"/>
    <w:rsid w:val="00EA7E2C"/>
    <w:rsid w:val="00ED10CD"/>
    <w:rsid w:val="00F14B00"/>
    <w:rsid w:val="00F57216"/>
    <w:rsid w:val="00F72FDB"/>
    <w:rsid w:val="00F744E6"/>
    <w:rsid w:val="00F76A8F"/>
    <w:rsid w:val="00F86FAC"/>
    <w:rsid w:val="00FB42D5"/>
    <w:rsid w:val="00FE39A0"/>
    <w:rsid w:val="00FE4166"/>
    <w:rsid w:val="08497DC1"/>
    <w:rsid w:val="167209C3"/>
    <w:rsid w:val="216F6362"/>
    <w:rsid w:val="27A80F84"/>
    <w:rsid w:val="28A663D3"/>
    <w:rsid w:val="2AC02A3C"/>
    <w:rsid w:val="2AD14BC8"/>
    <w:rsid w:val="2DA827C7"/>
    <w:rsid w:val="2EE83E14"/>
    <w:rsid w:val="355548A8"/>
    <w:rsid w:val="3E1871F7"/>
    <w:rsid w:val="40632264"/>
    <w:rsid w:val="454D177B"/>
    <w:rsid w:val="4565533F"/>
    <w:rsid w:val="48F25AE1"/>
    <w:rsid w:val="4E267909"/>
    <w:rsid w:val="4E4E01EC"/>
    <w:rsid w:val="4E827B5D"/>
    <w:rsid w:val="55B41646"/>
    <w:rsid w:val="618E1833"/>
    <w:rsid w:val="682956B5"/>
    <w:rsid w:val="6F9E3132"/>
    <w:rsid w:val="742835D1"/>
    <w:rsid w:val="7AE865FB"/>
    <w:rsid w:val="7BCA6E9A"/>
    <w:rsid w:val="7BD32849"/>
    <w:rsid w:val="7BF61456"/>
    <w:rsid w:val="7C612CB1"/>
    <w:rsid w:val="7E363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3"/>
    <w:qFormat/>
    <w:uiPriority w:val="9"/>
    <w:pPr>
      <w:keepNext/>
      <w:keepLines/>
      <w:numPr>
        <w:ilvl w:val="0"/>
        <w:numId w:val="1"/>
      </w:numPr>
      <w:spacing w:line="578" w:lineRule="auto"/>
      <w:outlineLvl w:val="0"/>
    </w:pPr>
    <w:rPr>
      <w:rFonts w:eastAsia="微软雅黑"/>
      <w:b/>
      <w:bCs/>
      <w:kern w:val="44"/>
      <w:sz w:val="32"/>
      <w:szCs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semiHidden/>
    <w:unhideWhenUsed/>
    <w:qFormat/>
    <w:uiPriority w:val="99"/>
    <w:rPr>
      <w:sz w:val="18"/>
      <w:szCs w:val="18"/>
    </w:rPr>
  </w:style>
  <w:style w:type="paragraph" w:styleId="4">
    <w:name w:val="annotation text"/>
    <w:basedOn w:val="1"/>
    <w:link w:val="16"/>
    <w:semiHidden/>
    <w:unhideWhenUsed/>
    <w:qFormat/>
    <w:uiPriority w:val="99"/>
    <w:pPr>
      <w:jc w:val="left"/>
    </w:p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4"/>
    <w:next w:val="4"/>
    <w:link w:val="17"/>
    <w:semiHidden/>
    <w:unhideWhenUsed/>
    <w:qFormat/>
    <w:uiPriority w:val="99"/>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semiHidden/>
    <w:unhideWhenUsed/>
    <w:qFormat/>
    <w:uiPriority w:val="99"/>
    <w:rPr>
      <w:sz w:val="21"/>
      <w:szCs w:val="21"/>
    </w:rPr>
  </w:style>
  <w:style w:type="character" w:customStyle="1" w:styleId="13">
    <w:name w:val="标题 1 字符"/>
    <w:basedOn w:val="11"/>
    <w:link w:val="3"/>
    <w:qFormat/>
    <w:uiPriority w:val="9"/>
    <w:rPr>
      <w:rFonts w:eastAsia="微软雅黑"/>
      <w:b/>
      <w:bCs/>
      <w:kern w:val="44"/>
      <w:sz w:val="32"/>
      <w:szCs w:val="44"/>
    </w:rPr>
  </w:style>
  <w:style w:type="character" w:customStyle="1" w:styleId="14">
    <w:name w:val="页脚 字符"/>
    <w:basedOn w:val="11"/>
    <w:link w:val="5"/>
    <w:qFormat/>
    <w:uiPriority w:val="99"/>
    <w:rPr>
      <w:sz w:val="18"/>
      <w:szCs w:val="18"/>
    </w:rPr>
  </w:style>
  <w:style w:type="character" w:customStyle="1" w:styleId="15">
    <w:name w:val="页眉 字符"/>
    <w:basedOn w:val="11"/>
    <w:link w:val="6"/>
    <w:qFormat/>
    <w:uiPriority w:val="99"/>
    <w:rPr>
      <w:sz w:val="18"/>
      <w:szCs w:val="18"/>
    </w:rPr>
  </w:style>
  <w:style w:type="character" w:customStyle="1" w:styleId="16">
    <w:name w:val="批注文字 字符"/>
    <w:basedOn w:val="11"/>
    <w:link w:val="4"/>
    <w:semiHidden/>
    <w:qFormat/>
    <w:uiPriority w:val="99"/>
    <w:rPr>
      <w:kern w:val="2"/>
      <w:sz w:val="21"/>
      <w:szCs w:val="22"/>
    </w:rPr>
  </w:style>
  <w:style w:type="character" w:customStyle="1" w:styleId="17">
    <w:name w:val="批注主题 字符"/>
    <w:basedOn w:val="16"/>
    <w:link w:val="8"/>
    <w:semiHidden/>
    <w:qFormat/>
    <w:uiPriority w:val="99"/>
    <w:rPr>
      <w:b/>
      <w:bCs/>
      <w:kern w:val="2"/>
      <w:sz w:val="21"/>
      <w:szCs w:val="22"/>
    </w:rPr>
  </w:style>
  <w:style w:type="character" w:customStyle="1" w:styleId="18">
    <w:name w:val="批注框文本 字符"/>
    <w:basedOn w:val="11"/>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F9BD8A-6F4F-4567-ACDA-0777B6FC1A56}">
  <ds:schemaRefs/>
</ds:datastoreItem>
</file>

<file path=docProps/app.xml><?xml version="1.0" encoding="utf-8"?>
<Properties xmlns="http://schemas.openxmlformats.org/officeDocument/2006/extended-properties" xmlns:vt="http://schemas.openxmlformats.org/officeDocument/2006/docPropsVTypes">
  <Template>Normal.dotm</Template>
  <Company>fzghy</Company>
  <Pages>5</Pages>
  <Words>243</Words>
  <Characters>1391</Characters>
  <Lines>11</Lines>
  <Paragraphs>3</Paragraphs>
  <TotalTime>17</TotalTime>
  <ScaleCrop>false</ScaleCrop>
  <LinksUpToDate>false</LinksUpToDate>
  <CharactersWithSpaces>1631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2021-06-20T07:55:00Z</dcterms:created>
  <dc:creator>刘龙华</dc:creator>
  <cp:lastModifiedBy>陈欣(UE000487)</cp:lastModifiedBy>
  <cp:lastPrinted>2021-06-02T10:30:00Z</cp:lastPrinted>
  <dcterms:modified xsi:type="dcterms:W3CDTF">2022-03-16T08:48:22Z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BD5B0E55D2A14ACBB81D171634AB0228</vt:lpwstr>
  </property>
</Properties>
</file>