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left"/>
        <w:rPr>
          <w:rFonts w:ascii="方正小标宋简体" w:hAnsi="微软雅黑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北环路北侧片区土地征收</w:t>
      </w: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成片开发方案</w:t>
      </w: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</w:rPr>
      </w:pP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一、编制依据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依据《中华人民共和国土地管理法》（2019年</w:t>
      </w:r>
      <w:r>
        <w:rPr>
          <w:rFonts w:ascii="仿宋_GB2312" w:hAnsi="宋体" w:eastAsia="仿宋_GB2312"/>
          <w:sz w:val="32"/>
          <w:szCs w:val="32"/>
        </w:rPr>
        <w:t>修正版</w:t>
      </w:r>
      <w:r>
        <w:rPr>
          <w:rFonts w:hint="eastAsia" w:ascii="仿宋_GB2312" w:hAnsi="宋体" w:eastAsia="仿宋_GB2312"/>
          <w:sz w:val="32"/>
          <w:szCs w:val="32"/>
        </w:rPr>
        <w:t>）、《自然资源部关于印发</w:t>
      </w:r>
      <w:r>
        <w:rPr>
          <w:rFonts w:ascii="仿宋_GB2312" w:hAnsi="宋体" w:eastAsia="仿宋_GB2312"/>
          <w:sz w:val="32"/>
          <w:szCs w:val="32"/>
        </w:rPr>
        <w:t>&lt;土地征收成片开发标准（试行）&gt;的通知》（自然资规〔2020〕5号）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bookmarkStart w:id="0" w:name="_Hlk62547865"/>
      <w:r>
        <w:rPr>
          <w:rFonts w:hint="eastAsia" w:ascii="仿宋_GB2312" w:hAnsi="宋体" w:eastAsia="仿宋_GB2312"/>
          <w:sz w:val="32"/>
          <w:szCs w:val="32"/>
        </w:rPr>
        <w:t>《福建省自然资源厅关于印发〈福建省土地征收成片开发方案报批实施细则（试行）〉的通知》（闽自然资发〔</w:t>
      </w:r>
      <w:r>
        <w:rPr>
          <w:rFonts w:ascii="仿宋_GB2312" w:hAnsi="宋体" w:eastAsia="仿宋_GB2312"/>
          <w:sz w:val="32"/>
          <w:szCs w:val="32"/>
        </w:rPr>
        <w:t>2021〕3号）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《自然资源部办公厅关于印发〈国土空间调查、规划、用途管制用地用海分类指南（试行）〉》（自然资办发〔</w:t>
      </w:r>
      <w:r>
        <w:rPr>
          <w:rFonts w:ascii="Times New Roman" w:hAnsi="Times New Roman" w:eastAsia="仿宋_GB2312"/>
          <w:sz w:val="32"/>
          <w:szCs w:val="32"/>
        </w:rPr>
        <w:t>2020〕51号）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bookmarkEnd w:id="0"/>
      <w:r>
        <w:rPr>
          <w:rFonts w:hint="eastAsia" w:ascii="仿宋_GB2312" w:hAnsi="宋体" w:eastAsia="仿宋_GB2312"/>
          <w:sz w:val="32"/>
          <w:szCs w:val="32"/>
        </w:rPr>
        <w:t>《福建省自然资源厅关于印发〈福建省土地征收成片开发方案报批实施细则（试行）〉的通知》（闽自然资发〔</w:t>
      </w:r>
      <w:r>
        <w:rPr>
          <w:rFonts w:ascii="仿宋_GB2312" w:hAnsi="宋体" w:eastAsia="仿宋_GB2312"/>
          <w:sz w:val="32"/>
          <w:szCs w:val="32"/>
        </w:rPr>
        <w:t>2021〕3号）</w:t>
      </w:r>
      <w:r>
        <w:rPr>
          <w:rFonts w:hint="eastAsia" w:ascii="仿宋_GB2312" w:hAnsi="宋体" w:eastAsia="仿宋_GB2312"/>
          <w:sz w:val="32"/>
          <w:szCs w:val="32"/>
        </w:rPr>
        <w:t>、《福建省土地征收成片开发方案编制参考指南</w:t>
      </w:r>
      <w:r>
        <w:rPr>
          <w:rFonts w:ascii="仿宋_GB2312" w:hAnsi="宋体" w:eastAsia="仿宋_GB2312"/>
          <w:sz w:val="32"/>
          <w:szCs w:val="32"/>
        </w:rPr>
        <w:t>(试行)》（闽自然资发〔2021〕6号）</w:t>
      </w:r>
      <w:r>
        <w:rPr>
          <w:rFonts w:hint="eastAsia" w:ascii="仿宋_GB2312" w:hAnsi="宋体" w:eastAsia="仿宋_GB2312"/>
          <w:sz w:val="32"/>
          <w:szCs w:val="32"/>
        </w:rPr>
        <w:t>、《长乐市土地利用总体规划（</w:t>
      </w:r>
      <w:r>
        <w:rPr>
          <w:rFonts w:ascii="仿宋_GB2312" w:hAnsi="宋体" w:eastAsia="仿宋_GB2312"/>
          <w:sz w:val="32"/>
          <w:szCs w:val="32"/>
        </w:rPr>
        <w:t>2006-2020年）调整完善方案》</w:t>
      </w:r>
      <w:r>
        <w:rPr>
          <w:rFonts w:hint="eastAsia" w:ascii="仿宋_GB2312" w:hAnsi="宋体" w:eastAsia="仿宋_GB2312"/>
          <w:sz w:val="32"/>
          <w:szCs w:val="32"/>
        </w:rPr>
        <w:t>编制《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北环路北侧片区</w:t>
      </w:r>
      <w:r>
        <w:rPr>
          <w:rFonts w:hint="eastAsia" w:ascii="仿宋_GB2312" w:hAnsi="宋体" w:eastAsia="仿宋_GB2312"/>
          <w:sz w:val="32"/>
          <w:szCs w:val="32"/>
        </w:rPr>
        <w:t>土地征收成片开发方案》。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二、基本情况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北环路北侧片区涉及长乐区吴航街道的十洋村和西关村，共1个街道2个村；涉及4个国有单位，不涉及省级和国家级开发单位。该成片开发</w:t>
      </w:r>
      <w:r>
        <w:rPr>
          <w:rFonts w:ascii="仿宋_GB2312" w:hAnsi="宋体" w:eastAsia="仿宋_GB2312"/>
          <w:sz w:val="32"/>
          <w:szCs w:val="32"/>
        </w:rPr>
        <w:t>范围</w:t>
      </w:r>
      <w:r>
        <w:rPr>
          <w:rFonts w:hint="eastAsia" w:ascii="仿宋_GB2312" w:hAnsi="宋体" w:eastAsia="仿宋_GB2312"/>
          <w:sz w:val="32"/>
          <w:szCs w:val="32"/>
        </w:rPr>
        <w:t>总</w:t>
      </w:r>
      <w:r>
        <w:rPr>
          <w:rFonts w:ascii="仿宋_GB2312" w:hAnsi="宋体" w:eastAsia="仿宋_GB2312"/>
          <w:sz w:val="32"/>
          <w:szCs w:val="32"/>
        </w:rPr>
        <w:t>面积</w:t>
      </w:r>
      <w:r>
        <w:rPr>
          <w:rFonts w:hint="eastAsia" w:ascii="仿宋_GB2312" w:hAnsi="宋体" w:eastAsia="仿宋_GB2312"/>
          <w:sz w:val="32"/>
          <w:szCs w:val="32"/>
        </w:rPr>
        <w:t>13.3950公顷，其中集体土地面积3.4387公顷，国有土地面积9.9563公顷。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本方案涉及农用地1.4064</w:t>
      </w:r>
      <w:r>
        <w:rPr>
          <w:rFonts w:ascii="仿宋_GB2312" w:hAnsi="宋体" w:eastAsia="仿宋_GB2312"/>
          <w:sz w:val="32"/>
          <w:szCs w:val="32"/>
        </w:rPr>
        <w:t>公顷（其中：耕地</w:t>
      </w:r>
      <w:r>
        <w:rPr>
          <w:rFonts w:hint="eastAsia" w:ascii="仿宋_GB2312" w:hAnsi="宋体" w:eastAsia="仿宋_GB2312"/>
          <w:sz w:val="32"/>
          <w:szCs w:val="32"/>
        </w:rPr>
        <w:t>0.3518</w:t>
      </w:r>
      <w:r>
        <w:rPr>
          <w:rFonts w:ascii="仿宋_GB2312" w:hAnsi="宋体" w:eastAsia="仿宋_GB2312"/>
          <w:sz w:val="32"/>
          <w:szCs w:val="32"/>
        </w:rPr>
        <w:t>公顷），建设用地</w:t>
      </w:r>
      <w:r>
        <w:rPr>
          <w:rFonts w:hint="eastAsia" w:ascii="仿宋_GB2312" w:hAnsi="宋体" w:eastAsia="仿宋_GB2312"/>
          <w:sz w:val="32"/>
          <w:szCs w:val="32"/>
        </w:rPr>
        <w:t>11.9823</w:t>
      </w:r>
      <w:r>
        <w:rPr>
          <w:rFonts w:ascii="仿宋_GB2312" w:hAnsi="宋体" w:eastAsia="仿宋_GB2312"/>
          <w:sz w:val="32"/>
          <w:szCs w:val="32"/>
        </w:rPr>
        <w:t>公顷，未利用地</w:t>
      </w:r>
      <w:r>
        <w:rPr>
          <w:rFonts w:hint="eastAsia" w:ascii="仿宋_GB2312" w:hAnsi="宋体" w:eastAsia="仿宋_GB2312"/>
          <w:sz w:val="32"/>
          <w:szCs w:val="32"/>
        </w:rPr>
        <w:t>0.0063</w:t>
      </w:r>
      <w:r>
        <w:rPr>
          <w:rFonts w:ascii="仿宋_GB2312" w:hAnsi="宋体" w:eastAsia="仿宋_GB2312"/>
          <w:sz w:val="32"/>
          <w:szCs w:val="32"/>
        </w:rPr>
        <w:t>公顷。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三、项目的必要性</w:t>
      </w:r>
    </w:p>
    <w:p>
      <w:pPr>
        <w:widowControl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本片区的开发建设是进一步推进城市更新，增进民生福祉的需要，是提升宜居生活品质的需要，也是保障“十四五”期间土地资源要素供应的需要。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四、规划土地用途分析</w:t>
      </w:r>
    </w:p>
    <w:p>
      <w:pPr>
        <w:widowControl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本方案包括居住用地用途面积1.3377公顷；公共管理与公共服务用地用途面积9.2885公顷；交通运输用地用途面积1.4221公顷；绿地与开敞空间用地用途1.3467公顷。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五、公益性用地</w:t>
      </w:r>
      <w:r>
        <w:rPr>
          <w:rFonts w:ascii="黑体" w:hAnsi="黑体" w:eastAsia="黑体"/>
          <w:b w:val="0"/>
          <w:szCs w:val="32"/>
        </w:rPr>
        <w:t>情况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公益性用地包含公共管理与公共服务用地用途、交通运输用地用途、绿地与开敞空间用地用途等，合计</w:t>
      </w:r>
      <w:r>
        <w:rPr>
          <w:rFonts w:hint="eastAsia" w:ascii="仿宋_GB2312" w:hAnsi="宋体" w:eastAsia="仿宋_GB2312"/>
          <w:sz w:val="32"/>
          <w:szCs w:val="32"/>
        </w:rPr>
        <w:t>12.0573</w:t>
      </w:r>
      <w:r>
        <w:rPr>
          <w:rFonts w:hint="eastAsia" w:ascii="Times New Roman" w:hAnsi="Times New Roman" w:eastAsia="仿宋_GB2312"/>
          <w:sz w:val="32"/>
          <w:szCs w:val="32"/>
        </w:rPr>
        <w:t>公顷，占总用地</w:t>
      </w:r>
      <w:r>
        <w:rPr>
          <w:rFonts w:hint="eastAsia" w:ascii="仿宋_GB2312" w:hAnsi="宋体" w:eastAsia="仿宋_GB2312"/>
          <w:sz w:val="32"/>
          <w:szCs w:val="32"/>
        </w:rPr>
        <w:t>面积的90.01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，符合自然资规〔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号文件规定。</w:t>
      </w:r>
      <w:bookmarkStart w:id="1" w:name="_GoBack"/>
      <w:bookmarkEnd w:id="1"/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六</w:t>
      </w:r>
      <w:r>
        <w:rPr>
          <w:rFonts w:ascii="黑体" w:hAnsi="黑体" w:eastAsia="黑体"/>
          <w:b w:val="0"/>
          <w:szCs w:val="32"/>
        </w:rPr>
        <w:t>、规划符合情况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本方案符合国民经济和社会发展规划的发展定位、要求，有 利于完成规划目标、任务，已纳入国民经济和社会发展年度计划。 成片开发范围均位于土地利用总体规划确定的允许建设区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有 条件建设区，</w:t>
      </w:r>
      <w:r>
        <w:rPr>
          <w:rFonts w:hint="eastAsia" w:ascii="仿宋_GB2312" w:hAnsi="宋体" w:eastAsia="仿宋_GB2312"/>
          <w:sz w:val="32"/>
          <w:szCs w:val="32"/>
        </w:rPr>
        <w:t>目前该成片开发范围已纳入上传系统的城镇开发边界集中建设区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七</w:t>
      </w:r>
      <w:r>
        <w:rPr>
          <w:rFonts w:ascii="黑体" w:hAnsi="黑体" w:eastAsia="黑体"/>
          <w:b w:val="0"/>
          <w:szCs w:val="32"/>
        </w:rPr>
        <w:t>、</w:t>
      </w:r>
      <w:r>
        <w:rPr>
          <w:rFonts w:hint="eastAsia" w:ascii="黑体" w:hAnsi="黑体" w:eastAsia="黑体"/>
          <w:b w:val="0"/>
          <w:szCs w:val="32"/>
        </w:rPr>
        <w:t>永久基本农田及生态保护情况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成片开发范围内不涉及永久基本农田、陆域生态保护红线等，符合成片开发项目送审报批的要求。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八</w:t>
      </w:r>
      <w:r>
        <w:rPr>
          <w:rFonts w:ascii="黑体" w:hAnsi="黑体" w:eastAsia="黑体"/>
          <w:b w:val="0"/>
          <w:szCs w:val="32"/>
        </w:rPr>
        <w:t>、</w:t>
      </w:r>
      <w:r>
        <w:rPr>
          <w:rFonts w:hint="eastAsia" w:ascii="黑体" w:hAnsi="黑体" w:eastAsia="黑体"/>
          <w:b w:val="0"/>
          <w:szCs w:val="32"/>
        </w:rPr>
        <w:t>实施计划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本方案用地总面积13.3950公顷，其中涉及已完成实施面积9.9563公顷，故拟安排实施项目面积3.4387公顷，</w:t>
      </w:r>
      <w:r>
        <w:rPr>
          <w:rFonts w:ascii="仿宋_GB2312" w:hAnsi="宋体" w:eastAsia="仿宋_GB2312"/>
          <w:sz w:val="32"/>
          <w:szCs w:val="32"/>
        </w:rPr>
        <w:t>计划实施周期为202</w:t>
      </w: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-202</w:t>
      </w: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ascii="仿宋_GB2312" w:hAnsi="宋体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年内实施完毕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九、效益评估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（一）土地利用效益：有助于提高现有用地使用效益，实现土地利用由粗放型向集约型的根本转变。有利于优化建设用地空间布局，提高建设用地集约利用水平。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二）经济效益：本片区位于吴航街道北侧，靠近航兴路和西关街，交通便利，居住环境较好，配套养老用地，土地价值较高。对人口具有较大吸引力，居住人口的集聚将带动周边生活配套的完善和商业、商务的发展，拉动当地基础配套设施建设及相关行业的投入，对促进区域经济发展，增加税收等方面有较强的促进作用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三）社会效益：本片区成片开发将提升街区活力和周边的交通便利性，进一步增强人口集聚效应，为城镇开发建设注入动能，助力片区发展进入快速发展通道。已建设的社会福利用地有利于养老事业的健康发展，实现政府集中养老供给，达到老有所依，老有所养的目的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（四）生态效益：对区域在大气环境、生态环境、地下水环境、土壤环境的影响较小。规划范围内城市绿地建设将有效提升人均绿地面积，改善人居环境。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十、结论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北环路北侧片区</w:t>
      </w:r>
      <w:r>
        <w:rPr>
          <w:rFonts w:hint="eastAsia" w:ascii="仿宋_GB2312" w:hAnsi="宋体" w:eastAsia="仿宋_GB2312"/>
          <w:bCs/>
          <w:sz w:val="32"/>
          <w:szCs w:val="32"/>
        </w:rPr>
        <w:t>土地征收成片开发方案》符合土地征收成片开发的标准。</w:t>
      </w:r>
    </w:p>
    <w:p>
      <w:pPr>
        <w:widowControl/>
        <w:spacing w:line="360" w:lineRule="auto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br w:type="page"/>
      </w:r>
      <w:r>
        <w:rPr>
          <w:rFonts w:hint="eastAsia" w:ascii="仿宋_GB2312" w:hAnsi="宋体" w:eastAsia="仿宋_GB2312"/>
          <w:bCs/>
          <w:sz w:val="32"/>
          <w:szCs w:val="32"/>
        </w:rPr>
        <w:t>附图：</w:t>
      </w:r>
      <w:r>
        <w:rPr>
          <w:rFonts w:hint="eastAsia" w:ascii="仿宋_GB2312" w:hAnsi="宋体" w:eastAsia="仿宋_GB2312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宋体" w:eastAsia="仿宋_GB2312"/>
          <w:bCs/>
          <w:sz w:val="32"/>
          <w:szCs w:val="32"/>
        </w:rPr>
        <w:instrText xml:space="preserve">ADDIN CNKISM.UserStyle</w:instrText>
      </w:r>
      <w:r>
        <w:rPr>
          <w:rFonts w:hint="eastAsia" w:ascii="仿宋_GB2312" w:hAnsi="宋体" w:eastAsia="仿宋_GB2312"/>
          <w:bCs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Cs/>
          <w:sz w:val="32"/>
          <w:szCs w:val="32"/>
        </w:rPr>
        <w:t>成片开发位置示意图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pict>
          <v:shape id="_x0000_s1028" o:spid="_x0000_s1028" o:spt="75" type="#_x0000_t75" style="position:absolute;left:0pt;margin-left:12.95pt;margin-top:8.15pt;height:544.65pt;width:384.85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1"/>
            <o:lock v:ext="edit" aspectratio="t"/>
            <w10:wrap type="topAndBottom"/>
          </v:shape>
        </w:pict>
      </w:r>
    </w:p>
    <w:sectPr>
      <w:footerReference r:id="rId3" w:type="default"/>
      <w:pgSz w:w="11906" w:h="16838"/>
      <w:pgMar w:top="1985" w:right="1588" w:bottom="209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d w:val="58834674"/>
                </w:sdtPr>
                <w:sdtEndP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63CF"/>
    <w:multiLevelType w:val="multilevel"/>
    <w:tmpl w:val="5A3563CF"/>
    <w:lvl w:ilvl="0" w:tentative="0">
      <w:start w:val="1"/>
      <w:numFmt w:val="chineseCountingThousand"/>
      <w:pStyle w:val="3"/>
      <w:lvlText w:val="%1、"/>
      <w:lvlJc w:val="left"/>
      <w:pPr>
        <w:ind w:left="420" w:hanging="420"/>
      </w:pPr>
    </w:lvl>
    <w:lvl w:ilvl="1" w:tentative="0">
      <w:start w:val="1"/>
      <w:numFmt w:val="chineseCountingThousand"/>
      <w:lvlText w:val="(%2)"/>
      <w:lvlJc w:val="left"/>
      <w:pPr>
        <w:ind w:left="1500" w:hanging="1080"/>
      </w:pPr>
      <w:rPr>
        <w:rFonts w:hint="default"/>
      </w:rPr>
    </w:lvl>
    <w:lvl w:ilvl="2" w:tentative="0">
      <w:start w:val="1"/>
      <w:numFmt w:val="decimal"/>
      <w:lvlText w:val="（%3）"/>
      <w:lvlJc w:val="left"/>
      <w:pPr>
        <w:ind w:left="1590" w:hanging="750"/>
      </w:pPr>
      <w:rPr>
        <w:rFonts w:ascii="宋体" w:hAnsi="宋体" w:eastAsia="宋体" w:cstheme="minorBidi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6CE"/>
    <w:rsid w:val="00092A71"/>
    <w:rsid w:val="000D625A"/>
    <w:rsid w:val="000E1D34"/>
    <w:rsid w:val="001003E4"/>
    <w:rsid w:val="001124C3"/>
    <w:rsid w:val="0017500E"/>
    <w:rsid w:val="00185ADC"/>
    <w:rsid w:val="00192A04"/>
    <w:rsid w:val="001B343A"/>
    <w:rsid w:val="001B3812"/>
    <w:rsid w:val="001C20EA"/>
    <w:rsid w:val="001E3A33"/>
    <w:rsid w:val="00203CA3"/>
    <w:rsid w:val="00205DAA"/>
    <w:rsid w:val="00263CBE"/>
    <w:rsid w:val="00281003"/>
    <w:rsid w:val="002900E7"/>
    <w:rsid w:val="002C118E"/>
    <w:rsid w:val="002D182C"/>
    <w:rsid w:val="002D63E5"/>
    <w:rsid w:val="002D695C"/>
    <w:rsid w:val="00321995"/>
    <w:rsid w:val="00324166"/>
    <w:rsid w:val="00362F0D"/>
    <w:rsid w:val="0039709A"/>
    <w:rsid w:val="003C013F"/>
    <w:rsid w:val="003C1698"/>
    <w:rsid w:val="003D5CCE"/>
    <w:rsid w:val="003D6A6A"/>
    <w:rsid w:val="003F2701"/>
    <w:rsid w:val="003F473E"/>
    <w:rsid w:val="004115CE"/>
    <w:rsid w:val="004222B9"/>
    <w:rsid w:val="0045559D"/>
    <w:rsid w:val="0047022B"/>
    <w:rsid w:val="004B3819"/>
    <w:rsid w:val="004C3CEC"/>
    <w:rsid w:val="004E4070"/>
    <w:rsid w:val="004E52D9"/>
    <w:rsid w:val="004F7B5C"/>
    <w:rsid w:val="005922B8"/>
    <w:rsid w:val="00592D1D"/>
    <w:rsid w:val="005A05EF"/>
    <w:rsid w:val="005A24B3"/>
    <w:rsid w:val="005C46A5"/>
    <w:rsid w:val="005F2900"/>
    <w:rsid w:val="0062343E"/>
    <w:rsid w:val="0068432A"/>
    <w:rsid w:val="006A1E58"/>
    <w:rsid w:val="006E058D"/>
    <w:rsid w:val="006E54EA"/>
    <w:rsid w:val="00741F64"/>
    <w:rsid w:val="00772A12"/>
    <w:rsid w:val="00772FFB"/>
    <w:rsid w:val="007C1789"/>
    <w:rsid w:val="007C664D"/>
    <w:rsid w:val="007E5E8F"/>
    <w:rsid w:val="007F5F66"/>
    <w:rsid w:val="0080566A"/>
    <w:rsid w:val="0081107F"/>
    <w:rsid w:val="00816F3B"/>
    <w:rsid w:val="008206CE"/>
    <w:rsid w:val="00834EB2"/>
    <w:rsid w:val="00837B0E"/>
    <w:rsid w:val="00840B86"/>
    <w:rsid w:val="00854B1E"/>
    <w:rsid w:val="00875513"/>
    <w:rsid w:val="00876F89"/>
    <w:rsid w:val="008C2457"/>
    <w:rsid w:val="008D15AD"/>
    <w:rsid w:val="008D681F"/>
    <w:rsid w:val="008E4700"/>
    <w:rsid w:val="008F2ECE"/>
    <w:rsid w:val="00921B79"/>
    <w:rsid w:val="00975676"/>
    <w:rsid w:val="00980643"/>
    <w:rsid w:val="009C5494"/>
    <w:rsid w:val="009E7626"/>
    <w:rsid w:val="00A3488C"/>
    <w:rsid w:val="00A70559"/>
    <w:rsid w:val="00AA3880"/>
    <w:rsid w:val="00AA5E7A"/>
    <w:rsid w:val="00AA6605"/>
    <w:rsid w:val="00AB0671"/>
    <w:rsid w:val="00AC134A"/>
    <w:rsid w:val="00AD7A7A"/>
    <w:rsid w:val="00B16B51"/>
    <w:rsid w:val="00B35D53"/>
    <w:rsid w:val="00B37B2B"/>
    <w:rsid w:val="00B40891"/>
    <w:rsid w:val="00B44426"/>
    <w:rsid w:val="00B4767A"/>
    <w:rsid w:val="00B71DCE"/>
    <w:rsid w:val="00B96A3E"/>
    <w:rsid w:val="00BC391E"/>
    <w:rsid w:val="00BE3644"/>
    <w:rsid w:val="00C220EA"/>
    <w:rsid w:val="00C24E90"/>
    <w:rsid w:val="00C5065C"/>
    <w:rsid w:val="00C877B8"/>
    <w:rsid w:val="00C91473"/>
    <w:rsid w:val="00C968E3"/>
    <w:rsid w:val="00CC6411"/>
    <w:rsid w:val="00CD02E1"/>
    <w:rsid w:val="00CF55B1"/>
    <w:rsid w:val="00D176B7"/>
    <w:rsid w:val="00D32A4E"/>
    <w:rsid w:val="00D4204F"/>
    <w:rsid w:val="00D42985"/>
    <w:rsid w:val="00D42F39"/>
    <w:rsid w:val="00D83EC3"/>
    <w:rsid w:val="00D87007"/>
    <w:rsid w:val="00D936B6"/>
    <w:rsid w:val="00E01AF7"/>
    <w:rsid w:val="00E814F1"/>
    <w:rsid w:val="00E95CDA"/>
    <w:rsid w:val="00EA51D6"/>
    <w:rsid w:val="00EA7E2C"/>
    <w:rsid w:val="00ED55A4"/>
    <w:rsid w:val="00F14B00"/>
    <w:rsid w:val="00F502CA"/>
    <w:rsid w:val="00F57216"/>
    <w:rsid w:val="00F72FDB"/>
    <w:rsid w:val="00F744E6"/>
    <w:rsid w:val="00F76A8F"/>
    <w:rsid w:val="00F8240E"/>
    <w:rsid w:val="00F86FAC"/>
    <w:rsid w:val="00FB42D5"/>
    <w:rsid w:val="00FE4166"/>
    <w:rsid w:val="02076BE2"/>
    <w:rsid w:val="04334088"/>
    <w:rsid w:val="09264929"/>
    <w:rsid w:val="0BA2729E"/>
    <w:rsid w:val="0D8358E8"/>
    <w:rsid w:val="167209C3"/>
    <w:rsid w:val="1EF227AE"/>
    <w:rsid w:val="27A80F84"/>
    <w:rsid w:val="28A663D3"/>
    <w:rsid w:val="2AD14BC8"/>
    <w:rsid w:val="2DA827C7"/>
    <w:rsid w:val="2E2B7540"/>
    <w:rsid w:val="358940BA"/>
    <w:rsid w:val="3A3B1110"/>
    <w:rsid w:val="40632264"/>
    <w:rsid w:val="454D177B"/>
    <w:rsid w:val="4565533F"/>
    <w:rsid w:val="47897CB4"/>
    <w:rsid w:val="4E267909"/>
    <w:rsid w:val="55B41646"/>
    <w:rsid w:val="5CE1623E"/>
    <w:rsid w:val="63D70F7F"/>
    <w:rsid w:val="682956B5"/>
    <w:rsid w:val="6BDA2F69"/>
    <w:rsid w:val="7AE865FB"/>
    <w:rsid w:val="7B2872B8"/>
    <w:rsid w:val="7BCA6E9A"/>
    <w:rsid w:val="7BD32849"/>
    <w:rsid w:val="7C4F0721"/>
    <w:rsid w:val="7C6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numPr>
        <w:ilvl w:val="0"/>
        <w:numId w:val="1"/>
      </w:numPr>
      <w:spacing w:line="578" w:lineRule="auto"/>
      <w:outlineLvl w:val="0"/>
    </w:pPr>
    <w:rPr>
      <w:rFonts w:eastAsia="微软雅黑"/>
      <w:b/>
      <w:bCs/>
      <w:kern w:val="44"/>
      <w:sz w:val="32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Char"/>
    <w:basedOn w:val="11"/>
    <w:link w:val="3"/>
    <w:qFormat/>
    <w:uiPriority w:val="9"/>
    <w:rPr>
      <w:rFonts w:eastAsia="微软雅黑"/>
      <w:b/>
      <w:bCs/>
      <w:kern w:val="44"/>
      <w:sz w:val="32"/>
      <w:szCs w:val="44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文字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批注框文本 Char"/>
    <w:basedOn w:val="11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64324-1D26-4AC3-9094-F52879F84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fzghy</Company>
  <Pages>5</Pages>
  <Words>238</Words>
  <Characters>1358</Characters>
  <Lines>11</Lines>
  <Paragraphs>3</Paragraphs>
  <TotalTime>4085</TotalTime>
  <ScaleCrop>false</ScaleCrop>
  <LinksUpToDate>false</LinksUpToDate>
  <CharactersWithSpaces>1593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2021-06-20T07:55:00Z</dcterms:created>
  <dc:creator>刘龙华</dc:creator>
  <cp:lastModifiedBy>WPS_1523435612</cp:lastModifiedBy>
  <cp:lastPrinted>2021-10-29T07:53:00Z</cp:lastPrinted>
  <dcterms:modified xsi:type="dcterms:W3CDTF">2022-06-23T02:03:41Z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BD5B0E55D2A14ACBB81D171634AB0228</vt:lpwstr>
  </property>
</Properties>
</file>