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110EF">
      <w:pPr>
        <w:pStyle w:val="5"/>
        <w:keepNext w:val="0"/>
        <w:keepLines w:val="0"/>
        <w:pageBreakBefore w:val="0"/>
        <w:widowControl w:val="0"/>
        <w:kinsoku/>
        <w:wordWrap/>
        <w:overflowPunct/>
        <w:topLinePunct w:val="0"/>
        <w:autoSpaceDE w:val="0"/>
        <w:autoSpaceDN w:val="0"/>
        <w:bidi w:val="0"/>
        <w:adjustRightInd/>
        <w:snapToGrid/>
        <w:spacing w:line="600" w:lineRule="exact"/>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p>
    <w:p w14:paraId="61852D94">
      <w:pPr>
        <w:pStyle w:val="5"/>
        <w:keepNext w:val="0"/>
        <w:keepLines w:val="0"/>
        <w:pageBreakBefore w:val="0"/>
        <w:widowControl w:val="0"/>
        <w:kinsoku/>
        <w:wordWrap/>
        <w:overflowPunct/>
        <w:topLinePunct w:val="0"/>
        <w:autoSpaceDE w:val="0"/>
        <w:autoSpaceDN w:val="0"/>
        <w:bidi w:val="0"/>
        <w:adjustRightInd/>
        <w:snapToGrid/>
        <w:spacing w:line="600" w:lineRule="exact"/>
        <w:jc w:val="both"/>
        <w:textAlignment w:val="auto"/>
        <w:rPr>
          <w:rFonts w:hint="eastAsia" w:ascii="方正小标宋简体" w:hAnsi="方正小标宋简体" w:eastAsia="方正小标宋简体" w:cs="方正小标宋简体"/>
          <w:b w:val="0"/>
          <w:bCs w:val="0"/>
          <w:sz w:val="36"/>
          <w:szCs w:val="36"/>
          <w:lang w:eastAsia="zh-CN"/>
        </w:rPr>
      </w:pPr>
    </w:p>
    <w:p w14:paraId="2B64A6DC">
      <w:pPr>
        <w:pStyle w:val="5"/>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ascii="宋体" w:hAnsi="宋体" w:cs="宋体"/>
          <w:b/>
          <w:bCs/>
          <w:sz w:val="40"/>
          <w:szCs w:val="40"/>
        </w:rPr>
      </w:pPr>
      <w:r>
        <w:rPr>
          <w:rFonts w:hint="eastAsia" w:ascii="方正小标宋简体" w:hAnsi="方正小标宋简体" w:eastAsia="方正小标宋简体" w:cs="方正小标宋简体"/>
          <w:b w:val="0"/>
          <w:bCs w:val="0"/>
          <w:sz w:val="36"/>
          <w:szCs w:val="36"/>
        </w:rPr>
        <w:t>滨海网龙颗粒物空气自动监测站运维服务项目</w:t>
      </w:r>
    </w:p>
    <w:p w14:paraId="438BBA98">
      <w:pPr>
        <w:jc w:val="center"/>
        <w:rPr>
          <w:rFonts w:ascii="宋体" w:hAnsi="宋体" w:eastAsia="仿宋_GB2312" w:cs="Times New Roman"/>
          <w:b/>
          <w:sz w:val="32"/>
          <w:szCs w:val="32"/>
        </w:rPr>
      </w:pPr>
    </w:p>
    <w:p w14:paraId="20BF2B31">
      <w:pPr>
        <w:pStyle w:val="2"/>
        <w:pageBreakBefore w:val="0"/>
        <w:kinsoku/>
        <w:wordWrap/>
        <w:overflowPunct/>
        <w:topLinePunct w:val="0"/>
        <w:autoSpaceDE/>
        <w:autoSpaceDN/>
        <w:bidi w:val="0"/>
        <w:adjustRightInd/>
        <w:snapToGrid/>
        <w:spacing w:before="0" w:beforeAutospacing="0" w:after="0" w:afterAutospacing="0" w:line="440" w:lineRule="exact"/>
        <w:ind w:firstLine="643" w:firstLineChars="200"/>
        <w:jc w:val="both"/>
        <w:textAlignment w:val="auto"/>
        <w:rPr>
          <w:color w:val="auto"/>
        </w:rPr>
      </w:pPr>
      <w:r>
        <w:rPr>
          <w:rFonts w:hint="eastAsia"/>
          <w:color w:val="auto"/>
        </w:rPr>
        <w:t>1.项目概况</w:t>
      </w:r>
    </w:p>
    <w:p w14:paraId="4F551F08">
      <w:pPr>
        <w:pStyle w:val="3"/>
        <w:pageBreakBefore w:val="0"/>
        <w:kinsoku/>
        <w:wordWrap/>
        <w:overflowPunct/>
        <w:topLinePunct w:val="0"/>
        <w:autoSpaceDE/>
        <w:autoSpaceDN/>
        <w:bidi w:val="0"/>
        <w:adjustRightInd/>
        <w:snapToGrid/>
        <w:spacing w:before="0" w:beforeAutospacing="0" w:after="0" w:afterAutospacing="0" w:line="440" w:lineRule="exact"/>
        <w:ind w:firstLine="542" w:firstLineChars="200"/>
        <w:jc w:val="both"/>
        <w:textAlignment w:val="auto"/>
        <w:rPr>
          <w:color w:val="auto"/>
        </w:rPr>
      </w:pPr>
      <w:r>
        <w:rPr>
          <w:rFonts w:hint="eastAsia"/>
          <w:color w:val="auto"/>
        </w:rPr>
        <w:t>1.1运维服务招标站点基本情况</w:t>
      </w:r>
    </w:p>
    <w:p w14:paraId="6F4CB4D4">
      <w:pPr>
        <w:pageBreakBefore w:val="0"/>
        <w:widowControl/>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为确保长乐区环境空气颗粒物自动监测站（滨海网龙点）</w:t>
      </w:r>
      <w:r>
        <w:rPr>
          <w:rFonts w:hint="eastAsia" w:ascii="仿宋" w:hAnsi="仿宋" w:eastAsia="仿宋" w:cs="仿宋"/>
          <w:color w:val="000000"/>
          <w:sz w:val="28"/>
          <w:szCs w:val="28"/>
          <w:shd w:val="clear" w:color="auto" w:fill="FFFFFF"/>
          <w:lang w:eastAsia="zh-CN"/>
        </w:rPr>
        <w:t>持续</w:t>
      </w:r>
      <w:r>
        <w:rPr>
          <w:rFonts w:hint="eastAsia" w:ascii="仿宋" w:hAnsi="仿宋" w:eastAsia="仿宋" w:cs="仿宋"/>
          <w:color w:val="000000"/>
          <w:sz w:val="28"/>
          <w:szCs w:val="28"/>
          <w:shd w:val="clear" w:color="auto" w:fill="FFFFFF"/>
        </w:rPr>
        <w:t>规范运行，福州市长乐生态环境局拟通过招标采购的方式开展该颗粒物自动站监测站运维服务采购工作，招标采购工作包含的具体环境空自动站站点基本情况如下：</w:t>
      </w:r>
    </w:p>
    <w:p w14:paraId="27B95360">
      <w:pPr>
        <w:pStyle w:val="11"/>
        <w:snapToGrid/>
        <w:rPr>
          <w:sz w:val="28"/>
          <w:szCs w:val="28"/>
          <w:shd w:val="clear" w:color="auto" w:fill="FFFFFF"/>
        </w:rPr>
      </w:pPr>
      <w:r>
        <w:rPr>
          <w:rFonts w:hint="eastAsia"/>
          <w:sz w:val="28"/>
          <w:szCs w:val="28"/>
          <w:shd w:val="clear" w:color="auto" w:fill="FFFFFF"/>
        </w:rPr>
        <w:t>表1 开展运维招标采购站点现有仪器基本情况汇总表</w:t>
      </w:r>
    </w:p>
    <w:tbl>
      <w:tblPr>
        <w:tblStyle w:val="9"/>
        <w:tblW w:w="0" w:type="auto"/>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57" w:type="dxa"/>
          <w:bottom w:w="0" w:type="dxa"/>
          <w:right w:w="57" w:type="dxa"/>
        </w:tblCellMar>
      </w:tblPr>
      <w:tblGrid>
        <w:gridCol w:w="1191"/>
        <w:gridCol w:w="2438"/>
        <w:gridCol w:w="1361"/>
        <w:gridCol w:w="1191"/>
        <w:gridCol w:w="1361"/>
        <w:gridCol w:w="1588"/>
      </w:tblGrid>
      <w:tr w14:paraId="7DCF0C5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482" w:hRule="atLeast"/>
          <w:jc w:val="center"/>
        </w:trPr>
        <w:tc>
          <w:tcPr>
            <w:tcW w:w="1191" w:type="dxa"/>
            <w:shd w:val="clear" w:color="auto" w:fill="auto"/>
            <w:noWrap w:val="0"/>
            <w:vAlign w:val="center"/>
          </w:tcPr>
          <w:p w14:paraId="0DB11046">
            <w:pPr>
              <w:pStyle w:val="11"/>
              <w:autoSpaceDE w:val="0"/>
              <w:autoSpaceDN w:val="0"/>
              <w:rPr>
                <w:rFonts w:eastAsia="仿宋_GB2312"/>
              </w:rPr>
            </w:pPr>
            <w:r>
              <w:rPr>
                <w:rFonts w:hint="eastAsia" w:eastAsia="仿宋_GB2312"/>
              </w:rPr>
              <w:t>站点名称（属性）</w:t>
            </w:r>
          </w:p>
        </w:tc>
        <w:tc>
          <w:tcPr>
            <w:tcW w:w="2438" w:type="dxa"/>
            <w:shd w:val="clear" w:color="auto" w:fill="auto"/>
            <w:noWrap w:val="0"/>
            <w:vAlign w:val="center"/>
          </w:tcPr>
          <w:p w14:paraId="727CDF7E">
            <w:pPr>
              <w:pStyle w:val="11"/>
              <w:autoSpaceDE w:val="0"/>
              <w:autoSpaceDN w:val="0"/>
              <w:rPr>
                <w:rFonts w:eastAsia="仿宋_GB2312"/>
              </w:rPr>
            </w:pPr>
            <w:r>
              <w:rPr>
                <w:rFonts w:hint="eastAsia" w:eastAsia="仿宋_GB2312"/>
              </w:rPr>
              <w:t>仪器设备名称</w:t>
            </w:r>
          </w:p>
        </w:tc>
        <w:tc>
          <w:tcPr>
            <w:tcW w:w="1361" w:type="dxa"/>
            <w:shd w:val="clear" w:color="auto" w:fill="auto"/>
            <w:noWrap w:val="0"/>
            <w:vAlign w:val="center"/>
          </w:tcPr>
          <w:p w14:paraId="2D3A2425">
            <w:pPr>
              <w:pStyle w:val="11"/>
              <w:autoSpaceDE w:val="0"/>
              <w:autoSpaceDN w:val="0"/>
              <w:rPr>
                <w:rFonts w:eastAsia="仿宋_GB2312"/>
              </w:rPr>
            </w:pPr>
            <w:r>
              <w:rPr>
                <w:rFonts w:hint="eastAsia" w:eastAsia="仿宋_GB2312"/>
              </w:rPr>
              <w:t>仪器型号</w:t>
            </w:r>
          </w:p>
        </w:tc>
        <w:tc>
          <w:tcPr>
            <w:tcW w:w="1191" w:type="dxa"/>
            <w:shd w:val="clear" w:color="auto" w:fill="auto"/>
            <w:noWrap w:val="0"/>
            <w:vAlign w:val="center"/>
          </w:tcPr>
          <w:p w14:paraId="0B0A1754">
            <w:pPr>
              <w:pStyle w:val="11"/>
              <w:autoSpaceDE w:val="0"/>
              <w:autoSpaceDN w:val="0"/>
              <w:rPr>
                <w:rFonts w:eastAsia="仿宋_GB2312"/>
              </w:rPr>
            </w:pPr>
            <w:r>
              <w:rPr>
                <w:rFonts w:hint="eastAsia" w:eastAsia="仿宋_GB2312"/>
              </w:rPr>
              <w:t>仪器品牌</w:t>
            </w:r>
          </w:p>
        </w:tc>
        <w:tc>
          <w:tcPr>
            <w:tcW w:w="1361" w:type="dxa"/>
            <w:shd w:val="clear" w:color="auto" w:fill="auto"/>
            <w:noWrap w:val="0"/>
            <w:vAlign w:val="center"/>
          </w:tcPr>
          <w:p w14:paraId="46FB968F">
            <w:pPr>
              <w:pStyle w:val="11"/>
              <w:autoSpaceDE w:val="0"/>
              <w:autoSpaceDN w:val="0"/>
              <w:rPr>
                <w:rFonts w:eastAsia="仿宋_GB2312"/>
              </w:rPr>
            </w:pPr>
            <w:r>
              <w:rPr>
                <w:rFonts w:hint="eastAsia" w:eastAsia="仿宋_GB2312"/>
              </w:rPr>
              <w:t>仪器开始</w:t>
            </w:r>
          </w:p>
          <w:p w14:paraId="72F2B442">
            <w:pPr>
              <w:pStyle w:val="11"/>
              <w:autoSpaceDE w:val="0"/>
              <w:autoSpaceDN w:val="0"/>
              <w:rPr>
                <w:rFonts w:eastAsia="仿宋_GB2312"/>
              </w:rPr>
            </w:pPr>
            <w:r>
              <w:rPr>
                <w:rFonts w:hint="eastAsia" w:eastAsia="仿宋_GB2312"/>
              </w:rPr>
              <w:t>使用时间</w:t>
            </w:r>
          </w:p>
        </w:tc>
        <w:tc>
          <w:tcPr>
            <w:tcW w:w="1588" w:type="dxa"/>
            <w:shd w:val="clear" w:color="auto" w:fill="auto"/>
            <w:noWrap w:val="0"/>
            <w:vAlign w:val="center"/>
          </w:tcPr>
          <w:p w14:paraId="753058E3">
            <w:pPr>
              <w:pStyle w:val="11"/>
              <w:autoSpaceDE w:val="0"/>
              <w:autoSpaceDN w:val="0"/>
              <w:rPr>
                <w:rFonts w:eastAsia="仿宋_GB2312"/>
              </w:rPr>
            </w:pPr>
            <w:r>
              <w:rPr>
                <w:rFonts w:hint="eastAsia" w:eastAsia="仿宋_GB2312"/>
              </w:rPr>
              <w:t>站点地址</w:t>
            </w:r>
          </w:p>
        </w:tc>
      </w:tr>
      <w:tr w14:paraId="2977B9B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482" w:hRule="atLeast"/>
          <w:jc w:val="center"/>
        </w:trPr>
        <w:tc>
          <w:tcPr>
            <w:tcW w:w="1191" w:type="dxa"/>
            <w:vMerge w:val="restart"/>
            <w:shd w:val="clear" w:color="auto" w:fill="auto"/>
            <w:noWrap w:val="0"/>
            <w:vAlign w:val="center"/>
          </w:tcPr>
          <w:p w14:paraId="6DCC393C">
            <w:pPr>
              <w:pStyle w:val="12"/>
              <w:autoSpaceDE w:val="0"/>
              <w:autoSpaceDN w:val="0"/>
              <w:rPr>
                <w:rFonts w:eastAsia="宋体"/>
                <w:b/>
                <w:szCs w:val="24"/>
              </w:rPr>
            </w:pPr>
            <w:r>
              <w:rPr>
                <w:rFonts w:hint="eastAsia" w:eastAsia="宋体"/>
                <w:b/>
                <w:szCs w:val="24"/>
              </w:rPr>
              <w:t>滨海网龙</w:t>
            </w:r>
          </w:p>
          <w:p w14:paraId="3ABA0D34">
            <w:pPr>
              <w:pStyle w:val="5"/>
              <w:autoSpaceDE w:val="0"/>
              <w:autoSpaceDN w:val="0"/>
              <w:snapToGrid w:val="0"/>
              <w:jc w:val="center"/>
              <w:rPr>
                <w:rFonts w:ascii="宋体" w:hAnsi="宋体" w:eastAsia="仿宋_GB2312" w:cs="Times New Roman"/>
                <w:b/>
                <w:sz w:val="24"/>
                <w:szCs w:val="24"/>
              </w:rPr>
            </w:pPr>
            <w:r>
              <w:rPr>
                <w:rFonts w:hint="eastAsia" w:ascii="宋体" w:hAnsi="宋体" w:eastAsia="仿宋_GB2312" w:cs="Times New Roman"/>
                <w:b/>
                <w:sz w:val="24"/>
                <w:szCs w:val="24"/>
              </w:rPr>
              <w:t>（区控）</w:t>
            </w:r>
          </w:p>
        </w:tc>
        <w:tc>
          <w:tcPr>
            <w:tcW w:w="2438" w:type="dxa"/>
            <w:shd w:val="clear" w:color="auto" w:fill="auto"/>
            <w:noWrap w:val="0"/>
            <w:vAlign w:val="center"/>
          </w:tcPr>
          <w:p w14:paraId="5FF3D065">
            <w:pPr>
              <w:pStyle w:val="12"/>
              <w:autoSpaceDE w:val="0"/>
              <w:autoSpaceDN w:val="0"/>
              <w:jc w:val="both"/>
            </w:pPr>
            <w:r>
              <w:rPr>
                <w:rFonts w:hint="eastAsia"/>
              </w:rPr>
              <w:t>PM</w:t>
            </w:r>
            <w:r>
              <w:rPr>
                <w:rFonts w:ascii="Arial" w:hAnsi="Arial" w:cs="Arial"/>
                <w:vertAlign w:val="subscript"/>
              </w:rPr>
              <w:t>2.5</w:t>
            </w:r>
            <w:r>
              <w:rPr>
                <w:rFonts w:hint="eastAsia"/>
              </w:rPr>
              <w:t>自动检测仪</w:t>
            </w:r>
          </w:p>
        </w:tc>
        <w:tc>
          <w:tcPr>
            <w:tcW w:w="1361" w:type="dxa"/>
            <w:shd w:val="clear" w:color="auto" w:fill="auto"/>
            <w:noWrap w:val="0"/>
            <w:vAlign w:val="center"/>
          </w:tcPr>
          <w:p w14:paraId="5B2A15F5">
            <w:pPr>
              <w:pStyle w:val="12"/>
              <w:autoSpaceDE w:val="0"/>
              <w:autoSpaceDN w:val="0"/>
            </w:pPr>
            <w:r>
              <w:rPr>
                <w:rFonts w:hint="eastAsia"/>
              </w:rPr>
              <w:t>DPM-6000</w:t>
            </w:r>
          </w:p>
        </w:tc>
        <w:tc>
          <w:tcPr>
            <w:tcW w:w="1191" w:type="dxa"/>
            <w:shd w:val="clear" w:color="auto" w:fill="auto"/>
            <w:noWrap w:val="0"/>
            <w:vAlign w:val="center"/>
          </w:tcPr>
          <w:p w14:paraId="0E3660C9">
            <w:pPr>
              <w:pStyle w:val="12"/>
              <w:autoSpaceDE w:val="0"/>
              <w:autoSpaceDN w:val="0"/>
            </w:pPr>
            <w:r>
              <w:rPr>
                <w:rFonts w:hint="eastAsia"/>
              </w:rPr>
              <w:t>杭州春来</w:t>
            </w:r>
          </w:p>
        </w:tc>
        <w:tc>
          <w:tcPr>
            <w:tcW w:w="1361" w:type="dxa"/>
            <w:shd w:val="clear" w:color="auto" w:fill="auto"/>
            <w:noWrap w:val="0"/>
            <w:vAlign w:val="center"/>
          </w:tcPr>
          <w:p w14:paraId="4760D338">
            <w:pPr>
              <w:pStyle w:val="7"/>
              <w:autoSpaceDE w:val="0"/>
              <w:autoSpaceDN w:val="0"/>
              <w:jc w:val="center"/>
              <w:rPr>
                <w:rFonts w:ascii="宋体" w:hAnsi="宋体" w:eastAsia="仿宋" w:cs="仿宋"/>
                <w:sz w:val="24"/>
                <w:shd w:val="clear" w:color="auto" w:fill="FFFFFF"/>
              </w:rPr>
            </w:pPr>
            <w:r>
              <w:rPr>
                <w:rFonts w:hint="eastAsia" w:ascii="宋体" w:hAnsi="宋体" w:eastAsia="仿宋" w:cs="仿宋"/>
                <w:sz w:val="24"/>
                <w:shd w:val="clear" w:color="auto" w:fill="FFFFFF"/>
              </w:rPr>
              <w:t>2021年10月</w:t>
            </w:r>
          </w:p>
        </w:tc>
        <w:tc>
          <w:tcPr>
            <w:tcW w:w="1588" w:type="dxa"/>
            <w:vMerge w:val="restart"/>
            <w:shd w:val="clear" w:color="auto" w:fill="auto"/>
            <w:noWrap w:val="0"/>
            <w:vAlign w:val="center"/>
          </w:tcPr>
          <w:p w14:paraId="6E5C6581">
            <w:pPr>
              <w:autoSpaceDE w:val="0"/>
              <w:autoSpaceDN w:val="0"/>
              <w:snapToGrid w:val="0"/>
              <w:rPr>
                <w:rFonts w:eastAsia="仿宋_GB2312"/>
                <w:sz w:val="24"/>
              </w:rPr>
            </w:pPr>
            <w:r>
              <w:rPr>
                <w:rFonts w:hint="eastAsia" w:eastAsia="仿宋_GB2312"/>
                <w:sz w:val="24"/>
              </w:rPr>
              <w:t>长乐区滨海路</w:t>
            </w:r>
          </w:p>
          <w:p w14:paraId="23C188C0">
            <w:pPr>
              <w:autoSpaceDE w:val="0"/>
              <w:autoSpaceDN w:val="0"/>
              <w:snapToGrid w:val="0"/>
              <w:rPr>
                <w:rFonts w:eastAsia="仿宋_GB2312"/>
                <w:sz w:val="24"/>
              </w:rPr>
            </w:pPr>
            <w:r>
              <w:rPr>
                <w:rFonts w:hint="eastAsia" w:eastAsia="仿宋_GB2312"/>
                <w:sz w:val="24"/>
              </w:rPr>
              <w:t>星纪元学校</w:t>
            </w:r>
          </w:p>
        </w:tc>
      </w:tr>
      <w:tr w14:paraId="7DCA11E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482" w:hRule="atLeast"/>
          <w:jc w:val="center"/>
        </w:trPr>
        <w:tc>
          <w:tcPr>
            <w:tcW w:w="1191" w:type="dxa"/>
            <w:vMerge w:val="continue"/>
            <w:shd w:val="clear" w:color="auto" w:fill="auto"/>
            <w:noWrap w:val="0"/>
            <w:vAlign w:val="center"/>
          </w:tcPr>
          <w:p w14:paraId="4DC994B4">
            <w:pPr>
              <w:autoSpaceDE w:val="0"/>
              <w:autoSpaceDN w:val="0"/>
              <w:snapToGrid w:val="0"/>
              <w:rPr>
                <w:rFonts w:eastAsia="仿宋_GB2312"/>
                <w:b/>
                <w:sz w:val="24"/>
              </w:rPr>
            </w:pPr>
          </w:p>
        </w:tc>
        <w:tc>
          <w:tcPr>
            <w:tcW w:w="2438" w:type="dxa"/>
            <w:shd w:val="clear" w:color="auto" w:fill="auto"/>
            <w:noWrap w:val="0"/>
            <w:vAlign w:val="center"/>
          </w:tcPr>
          <w:p w14:paraId="4EFCD4CE">
            <w:pPr>
              <w:pStyle w:val="12"/>
              <w:autoSpaceDE w:val="0"/>
              <w:autoSpaceDN w:val="0"/>
              <w:jc w:val="both"/>
            </w:pPr>
            <w:r>
              <w:rPr>
                <w:rFonts w:hint="eastAsia"/>
              </w:rPr>
              <w:t>PM</w:t>
            </w:r>
            <w:r>
              <w:rPr>
                <w:rFonts w:hint="eastAsia" w:ascii="Arial" w:hAnsi="Arial" w:cs="Arial"/>
                <w:vertAlign w:val="subscript"/>
              </w:rPr>
              <w:t>10</w:t>
            </w:r>
            <w:r>
              <w:rPr>
                <w:rFonts w:hint="eastAsia"/>
              </w:rPr>
              <w:t>自动检测仪</w:t>
            </w:r>
          </w:p>
        </w:tc>
        <w:tc>
          <w:tcPr>
            <w:tcW w:w="1361" w:type="dxa"/>
            <w:shd w:val="clear" w:color="auto" w:fill="auto"/>
            <w:noWrap w:val="0"/>
            <w:vAlign w:val="center"/>
          </w:tcPr>
          <w:p w14:paraId="2EC52B18">
            <w:pPr>
              <w:pStyle w:val="12"/>
              <w:autoSpaceDE w:val="0"/>
              <w:autoSpaceDN w:val="0"/>
            </w:pPr>
            <w:r>
              <w:rPr>
                <w:rFonts w:hint="eastAsia"/>
              </w:rPr>
              <w:t>DPM-6000</w:t>
            </w:r>
          </w:p>
        </w:tc>
        <w:tc>
          <w:tcPr>
            <w:tcW w:w="1191" w:type="dxa"/>
            <w:shd w:val="clear" w:color="auto" w:fill="auto"/>
            <w:noWrap w:val="0"/>
            <w:vAlign w:val="center"/>
          </w:tcPr>
          <w:p w14:paraId="0500DC00">
            <w:pPr>
              <w:pStyle w:val="12"/>
              <w:autoSpaceDE w:val="0"/>
              <w:autoSpaceDN w:val="0"/>
            </w:pPr>
            <w:r>
              <w:rPr>
                <w:rFonts w:hint="eastAsia"/>
              </w:rPr>
              <w:t>杭州春来</w:t>
            </w:r>
          </w:p>
        </w:tc>
        <w:tc>
          <w:tcPr>
            <w:tcW w:w="1361" w:type="dxa"/>
            <w:shd w:val="clear" w:color="auto" w:fill="auto"/>
            <w:noWrap w:val="0"/>
            <w:vAlign w:val="center"/>
          </w:tcPr>
          <w:p w14:paraId="4F37CF2C">
            <w:pPr>
              <w:pStyle w:val="7"/>
              <w:autoSpaceDE w:val="0"/>
              <w:autoSpaceDN w:val="0"/>
              <w:jc w:val="center"/>
              <w:rPr>
                <w:rFonts w:ascii="宋体" w:hAnsi="宋体" w:eastAsia="仿宋" w:cs="仿宋"/>
                <w:sz w:val="24"/>
                <w:shd w:val="clear" w:color="auto" w:fill="FFFFFF"/>
              </w:rPr>
            </w:pPr>
            <w:r>
              <w:rPr>
                <w:rFonts w:hint="eastAsia" w:ascii="宋体" w:hAnsi="宋体" w:eastAsia="仿宋" w:cs="仿宋"/>
                <w:sz w:val="24"/>
                <w:shd w:val="clear" w:color="auto" w:fill="FFFFFF"/>
              </w:rPr>
              <w:t>2021年10月</w:t>
            </w:r>
          </w:p>
        </w:tc>
        <w:tc>
          <w:tcPr>
            <w:tcW w:w="1588" w:type="dxa"/>
            <w:vMerge w:val="continue"/>
            <w:shd w:val="clear" w:color="auto" w:fill="auto"/>
            <w:noWrap w:val="0"/>
            <w:vAlign w:val="center"/>
          </w:tcPr>
          <w:p w14:paraId="1AEEC962">
            <w:pPr>
              <w:autoSpaceDE w:val="0"/>
              <w:autoSpaceDN w:val="0"/>
              <w:snapToGrid w:val="0"/>
              <w:rPr>
                <w:rFonts w:eastAsia="仿宋_GB2312"/>
                <w:sz w:val="24"/>
              </w:rPr>
            </w:pPr>
          </w:p>
        </w:tc>
      </w:tr>
      <w:tr w14:paraId="5A2CA8C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482" w:hRule="atLeast"/>
          <w:jc w:val="center"/>
        </w:trPr>
        <w:tc>
          <w:tcPr>
            <w:tcW w:w="1191" w:type="dxa"/>
            <w:vMerge w:val="continue"/>
            <w:shd w:val="clear" w:color="auto" w:fill="auto"/>
            <w:noWrap w:val="0"/>
            <w:vAlign w:val="center"/>
          </w:tcPr>
          <w:p w14:paraId="021BEC5B">
            <w:pPr>
              <w:autoSpaceDE w:val="0"/>
              <w:autoSpaceDN w:val="0"/>
              <w:snapToGrid w:val="0"/>
              <w:rPr>
                <w:rFonts w:eastAsia="仿宋_GB2312"/>
                <w:b/>
                <w:sz w:val="24"/>
              </w:rPr>
            </w:pPr>
          </w:p>
        </w:tc>
        <w:tc>
          <w:tcPr>
            <w:tcW w:w="2438" w:type="dxa"/>
            <w:shd w:val="clear" w:color="auto" w:fill="auto"/>
            <w:noWrap w:val="0"/>
            <w:vAlign w:val="center"/>
          </w:tcPr>
          <w:p w14:paraId="6CA5566D">
            <w:pPr>
              <w:pStyle w:val="12"/>
              <w:autoSpaceDE w:val="0"/>
              <w:autoSpaceDN w:val="0"/>
              <w:jc w:val="both"/>
            </w:pPr>
            <w:r>
              <w:rPr>
                <w:rFonts w:hint="eastAsia"/>
              </w:rPr>
              <w:t>TSP自动检测仪</w:t>
            </w:r>
          </w:p>
        </w:tc>
        <w:tc>
          <w:tcPr>
            <w:tcW w:w="1361" w:type="dxa"/>
            <w:shd w:val="clear" w:color="auto" w:fill="auto"/>
            <w:noWrap w:val="0"/>
            <w:vAlign w:val="center"/>
          </w:tcPr>
          <w:p w14:paraId="4599E5C0">
            <w:pPr>
              <w:pStyle w:val="12"/>
              <w:autoSpaceDE w:val="0"/>
              <w:autoSpaceDN w:val="0"/>
            </w:pPr>
            <w:r>
              <w:rPr>
                <w:rFonts w:hint="eastAsia"/>
              </w:rPr>
              <w:t>DPM-6000</w:t>
            </w:r>
          </w:p>
        </w:tc>
        <w:tc>
          <w:tcPr>
            <w:tcW w:w="1191" w:type="dxa"/>
            <w:shd w:val="clear" w:color="auto" w:fill="auto"/>
            <w:noWrap w:val="0"/>
            <w:vAlign w:val="center"/>
          </w:tcPr>
          <w:p w14:paraId="5F588BF2">
            <w:pPr>
              <w:pStyle w:val="12"/>
              <w:autoSpaceDE w:val="0"/>
              <w:autoSpaceDN w:val="0"/>
            </w:pPr>
            <w:r>
              <w:rPr>
                <w:rFonts w:hint="eastAsia"/>
              </w:rPr>
              <w:t>杭州春来</w:t>
            </w:r>
          </w:p>
        </w:tc>
        <w:tc>
          <w:tcPr>
            <w:tcW w:w="1361" w:type="dxa"/>
            <w:shd w:val="clear" w:color="auto" w:fill="auto"/>
            <w:noWrap w:val="0"/>
            <w:vAlign w:val="center"/>
          </w:tcPr>
          <w:p w14:paraId="185F01AE">
            <w:pPr>
              <w:pStyle w:val="7"/>
              <w:autoSpaceDE w:val="0"/>
              <w:autoSpaceDN w:val="0"/>
              <w:jc w:val="center"/>
              <w:rPr>
                <w:rFonts w:ascii="宋体" w:hAnsi="宋体" w:eastAsia="仿宋" w:cs="仿宋"/>
                <w:sz w:val="24"/>
                <w:shd w:val="clear" w:color="auto" w:fill="FFFFFF"/>
              </w:rPr>
            </w:pPr>
            <w:r>
              <w:rPr>
                <w:rFonts w:hint="eastAsia" w:ascii="宋体" w:hAnsi="宋体" w:eastAsia="仿宋" w:cs="仿宋"/>
                <w:sz w:val="24"/>
                <w:shd w:val="clear" w:color="auto" w:fill="FFFFFF"/>
              </w:rPr>
              <w:t>2021年10月</w:t>
            </w:r>
          </w:p>
        </w:tc>
        <w:tc>
          <w:tcPr>
            <w:tcW w:w="1588" w:type="dxa"/>
            <w:vMerge w:val="continue"/>
            <w:shd w:val="clear" w:color="auto" w:fill="auto"/>
            <w:noWrap w:val="0"/>
            <w:vAlign w:val="center"/>
          </w:tcPr>
          <w:p w14:paraId="4122E293">
            <w:pPr>
              <w:autoSpaceDE w:val="0"/>
              <w:autoSpaceDN w:val="0"/>
              <w:snapToGrid w:val="0"/>
              <w:rPr>
                <w:rFonts w:eastAsia="仿宋_GB2312"/>
                <w:sz w:val="24"/>
              </w:rPr>
            </w:pPr>
          </w:p>
        </w:tc>
      </w:tr>
      <w:tr w14:paraId="600022E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482" w:hRule="atLeast"/>
          <w:jc w:val="center"/>
        </w:trPr>
        <w:tc>
          <w:tcPr>
            <w:tcW w:w="1191" w:type="dxa"/>
            <w:vMerge w:val="continue"/>
            <w:shd w:val="clear" w:color="auto" w:fill="auto"/>
            <w:noWrap w:val="0"/>
            <w:vAlign w:val="center"/>
          </w:tcPr>
          <w:p w14:paraId="75DA5399">
            <w:pPr>
              <w:autoSpaceDE w:val="0"/>
              <w:autoSpaceDN w:val="0"/>
              <w:snapToGrid w:val="0"/>
              <w:rPr>
                <w:rFonts w:eastAsia="仿宋_GB2312"/>
                <w:b/>
                <w:sz w:val="24"/>
              </w:rPr>
            </w:pPr>
          </w:p>
        </w:tc>
        <w:tc>
          <w:tcPr>
            <w:tcW w:w="2438" w:type="dxa"/>
            <w:shd w:val="clear" w:color="auto" w:fill="auto"/>
            <w:noWrap w:val="0"/>
            <w:vAlign w:val="center"/>
          </w:tcPr>
          <w:p w14:paraId="1E426EC6">
            <w:pPr>
              <w:pStyle w:val="12"/>
              <w:autoSpaceDE w:val="0"/>
              <w:autoSpaceDN w:val="0"/>
              <w:jc w:val="both"/>
            </w:pPr>
            <w:r>
              <w:rPr>
                <w:rFonts w:hint="eastAsia"/>
              </w:rPr>
              <w:t>TSP</w:t>
            </w:r>
            <w:r>
              <w:rPr>
                <w:rFonts w:hint="eastAsia"/>
                <w:spacing w:val="-8"/>
                <w:w w:val="90"/>
              </w:rPr>
              <w:t>颗粒物中流量采样</w:t>
            </w:r>
            <w:r>
              <w:rPr>
                <w:rFonts w:hint="eastAsia"/>
                <w:w w:val="90"/>
              </w:rPr>
              <w:t>器</w:t>
            </w:r>
          </w:p>
        </w:tc>
        <w:tc>
          <w:tcPr>
            <w:tcW w:w="1361" w:type="dxa"/>
            <w:shd w:val="clear" w:color="auto" w:fill="auto"/>
            <w:noWrap w:val="0"/>
            <w:vAlign w:val="center"/>
          </w:tcPr>
          <w:p w14:paraId="073FD659">
            <w:pPr>
              <w:pStyle w:val="12"/>
              <w:autoSpaceDE w:val="0"/>
              <w:autoSpaceDN w:val="0"/>
            </w:pPr>
            <w:r>
              <w:rPr>
                <w:rFonts w:hint="eastAsia"/>
              </w:rPr>
              <w:t>2030</w:t>
            </w:r>
          </w:p>
        </w:tc>
        <w:tc>
          <w:tcPr>
            <w:tcW w:w="1191" w:type="dxa"/>
            <w:shd w:val="clear" w:color="auto" w:fill="auto"/>
            <w:noWrap w:val="0"/>
            <w:vAlign w:val="center"/>
          </w:tcPr>
          <w:p w14:paraId="6A626FB4">
            <w:pPr>
              <w:pStyle w:val="12"/>
              <w:autoSpaceDE w:val="0"/>
              <w:autoSpaceDN w:val="0"/>
            </w:pPr>
            <w:r>
              <w:rPr>
                <w:rFonts w:hint="eastAsia"/>
              </w:rPr>
              <w:t>青岛崂应</w:t>
            </w:r>
          </w:p>
        </w:tc>
        <w:tc>
          <w:tcPr>
            <w:tcW w:w="1361" w:type="dxa"/>
            <w:shd w:val="clear" w:color="auto" w:fill="auto"/>
            <w:noWrap w:val="0"/>
            <w:vAlign w:val="center"/>
          </w:tcPr>
          <w:p w14:paraId="3FBD1E4F">
            <w:pPr>
              <w:pStyle w:val="7"/>
              <w:autoSpaceDE w:val="0"/>
              <w:autoSpaceDN w:val="0"/>
              <w:jc w:val="center"/>
              <w:rPr>
                <w:rFonts w:ascii="宋体" w:hAnsi="宋体" w:eastAsia="仿宋" w:cs="仿宋"/>
                <w:sz w:val="24"/>
                <w:shd w:val="clear" w:color="auto" w:fill="FFFFFF"/>
              </w:rPr>
            </w:pPr>
            <w:r>
              <w:rPr>
                <w:rFonts w:hint="eastAsia" w:ascii="宋体" w:hAnsi="宋体" w:eastAsia="仿宋" w:cs="仿宋"/>
                <w:sz w:val="24"/>
                <w:shd w:val="clear" w:color="auto" w:fill="FFFFFF"/>
              </w:rPr>
              <w:t>2021年10月</w:t>
            </w:r>
          </w:p>
        </w:tc>
        <w:tc>
          <w:tcPr>
            <w:tcW w:w="1588" w:type="dxa"/>
            <w:vMerge w:val="continue"/>
            <w:shd w:val="clear" w:color="auto" w:fill="auto"/>
            <w:noWrap w:val="0"/>
            <w:vAlign w:val="center"/>
          </w:tcPr>
          <w:p w14:paraId="2C2CFB8C">
            <w:pPr>
              <w:autoSpaceDE w:val="0"/>
              <w:autoSpaceDN w:val="0"/>
              <w:snapToGrid w:val="0"/>
              <w:rPr>
                <w:rFonts w:eastAsia="仿宋_GB2312"/>
                <w:sz w:val="24"/>
              </w:rPr>
            </w:pPr>
          </w:p>
        </w:tc>
      </w:tr>
      <w:tr w14:paraId="2980755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482" w:hRule="atLeast"/>
          <w:jc w:val="center"/>
        </w:trPr>
        <w:tc>
          <w:tcPr>
            <w:tcW w:w="1191" w:type="dxa"/>
            <w:vMerge w:val="continue"/>
            <w:shd w:val="clear" w:color="auto" w:fill="auto"/>
            <w:noWrap w:val="0"/>
            <w:vAlign w:val="center"/>
          </w:tcPr>
          <w:p w14:paraId="5FD52103">
            <w:pPr>
              <w:autoSpaceDE w:val="0"/>
              <w:autoSpaceDN w:val="0"/>
              <w:snapToGrid w:val="0"/>
              <w:rPr>
                <w:rFonts w:eastAsia="仿宋_GB2312"/>
                <w:b/>
                <w:sz w:val="24"/>
              </w:rPr>
            </w:pPr>
          </w:p>
        </w:tc>
        <w:tc>
          <w:tcPr>
            <w:tcW w:w="2438" w:type="dxa"/>
            <w:shd w:val="clear" w:color="auto" w:fill="auto"/>
            <w:noWrap w:val="0"/>
            <w:vAlign w:val="center"/>
          </w:tcPr>
          <w:p w14:paraId="06551529">
            <w:pPr>
              <w:pStyle w:val="12"/>
              <w:autoSpaceDE w:val="0"/>
              <w:autoSpaceDN w:val="0"/>
              <w:jc w:val="both"/>
            </w:pPr>
            <w:r>
              <w:rPr>
                <w:rFonts w:hint="eastAsia"/>
              </w:rPr>
              <w:t>孔口流量校准器</w:t>
            </w:r>
          </w:p>
        </w:tc>
        <w:tc>
          <w:tcPr>
            <w:tcW w:w="1361" w:type="dxa"/>
            <w:shd w:val="clear" w:color="auto" w:fill="auto"/>
            <w:noWrap w:val="0"/>
            <w:vAlign w:val="center"/>
          </w:tcPr>
          <w:p w14:paraId="3A284E52">
            <w:pPr>
              <w:pStyle w:val="12"/>
              <w:autoSpaceDE w:val="0"/>
              <w:autoSpaceDN w:val="0"/>
            </w:pPr>
            <w:r>
              <w:rPr>
                <w:rFonts w:hint="eastAsia"/>
              </w:rPr>
              <w:t>7020Z</w:t>
            </w:r>
          </w:p>
        </w:tc>
        <w:tc>
          <w:tcPr>
            <w:tcW w:w="1191" w:type="dxa"/>
            <w:shd w:val="clear" w:color="auto" w:fill="auto"/>
            <w:noWrap w:val="0"/>
            <w:vAlign w:val="center"/>
          </w:tcPr>
          <w:p w14:paraId="57C7C631">
            <w:pPr>
              <w:pStyle w:val="12"/>
              <w:autoSpaceDE w:val="0"/>
              <w:autoSpaceDN w:val="0"/>
            </w:pPr>
            <w:r>
              <w:rPr>
                <w:rFonts w:hint="eastAsia"/>
              </w:rPr>
              <w:t>青岛崂应</w:t>
            </w:r>
          </w:p>
        </w:tc>
        <w:tc>
          <w:tcPr>
            <w:tcW w:w="1361" w:type="dxa"/>
            <w:shd w:val="clear" w:color="auto" w:fill="auto"/>
            <w:noWrap w:val="0"/>
            <w:vAlign w:val="center"/>
          </w:tcPr>
          <w:p w14:paraId="78A55D44">
            <w:pPr>
              <w:pStyle w:val="7"/>
              <w:autoSpaceDE w:val="0"/>
              <w:autoSpaceDN w:val="0"/>
              <w:jc w:val="center"/>
              <w:rPr>
                <w:rFonts w:ascii="宋体" w:hAnsi="宋体" w:eastAsia="仿宋" w:cs="仿宋"/>
                <w:sz w:val="24"/>
                <w:shd w:val="clear" w:color="auto" w:fill="FFFFFF"/>
              </w:rPr>
            </w:pPr>
            <w:r>
              <w:rPr>
                <w:rFonts w:hint="eastAsia" w:ascii="宋体" w:hAnsi="宋体" w:eastAsia="仿宋" w:cs="仿宋"/>
                <w:sz w:val="24"/>
                <w:shd w:val="clear" w:color="auto" w:fill="FFFFFF"/>
              </w:rPr>
              <w:t>2021年10月</w:t>
            </w:r>
          </w:p>
        </w:tc>
        <w:tc>
          <w:tcPr>
            <w:tcW w:w="1588" w:type="dxa"/>
            <w:vMerge w:val="continue"/>
            <w:shd w:val="clear" w:color="auto" w:fill="auto"/>
            <w:noWrap w:val="0"/>
            <w:vAlign w:val="center"/>
          </w:tcPr>
          <w:p w14:paraId="3DF5CEF6">
            <w:pPr>
              <w:pStyle w:val="12"/>
              <w:autoSpaceDE w:val="0"/>
              <w:autoSpaceDN w:val="0"/>
            </w:pPr>
          </w:p>
        </w:tc>
      </w:tr>
      <w:tr w14:paraId="24E9A13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482" w:hRule="atLeast"/>
          <w:jc w:val="center"/>
        </w:trPr>
        <w:tc>
          <w:tcPr>
            <w:tcW w:w="1191" w:type="dxa"/>
            <w:vMerge w:val="continue"/>
            <w:shd w:val="clear" w:color="auto" w:fill="auto"/>
            <w:noWrap w:val="0"/>
            <w:vAlign w:val="center"/>
          </w:tcPr>
          <w:p w14:paraId="5C8C249F">
            <w:pPr>
              <w:pStyle w:val="12"/>
              <w:autoSpaceDE w:val="0"/>
              <w:autoSpaceDN w:val="0"/>
              <w:rPr>
                <w:rFonts w:eastAsia="宋体"/>
                <w:b/>
                <w:szCs w:val="24"/>
              </w:rPr>
            </w:pPr>
          </w:p>
        </w:tc>
        <w:tc>
          <w:tcPr>
            <w:tcW w:w="2438" w:type="dxa"/>
            <w:shd w:val="clear" w:color="auto" w:fill="auto"/>
            <w:noWrap w:val="0"/>
            <w:vAlign w:val="center"/>
          </w:tcPr>
          <w:p w14:paraId="3B927739">
            <w:pPr>
              <w:autoSpaceDE w:val="0"/>
              <w:autoSpaceDN w:val="0"/>
              <w:snapToGrid w:val="0"/>
              <w:rPr>
                <w:rFonts w:eastAsia="仿宋_GB2312"/>
                <w:sz w:val="24"/>
              </w:rPr>
            </w:pPr>
            <w:r>
              <w:rPr>
                <w:rFonts w:hint="eastAsia" w:eastAsia="仿宋_GB2312"/>
                <w:sz w:val="24"/>
              </w:rPr>
              <w:t>降尘缸及采样器(3套)</w:t>
            </w:r>
          </w:p>
        </w:tc>
        <w:tc>
          <w:tcPr>
            <w:tcW w:w="1361" w:type="dxa"/>
            <w:shd w:val="clear" w:color="auto" w:fill="auto"/>
            <w:noWrap w:val="0"/>
            <w:vAlign w:val="center"/>
          </w:tcPr>
          <w:p w14:paraId="05042147">
            <w:pPr>
              <w:autoSpaceDE w:val="0"/>
              <w:autoSpaceDN w:val="0"/>
              <w:snapToGrid w:val="0"/>
              <w:jc w:val="center"/>
              <w:rPr>
                <w:rFonts w:eastAsia="仿宋_GB2312"/>
                <w:sz w:val="24"/>
              </w:rPr>
            </w:pPr>
            <w:r>
              <w:rPr>
                <w:rFonts w:hint="eastAsia" w:eastAsia="仿宋_GB2312"/>
                <w:sz w:val="24"/>
              </w:rPr>
              <w:t>HY.JC-1</w:t>
            </w:r>
          </w:p>
        </w:tc>
        <w:tc>
          <w:tcPr>
            <w:tcW w:w="1191" w:type="dxa"/>
            <w:shd w:val="clear" w:color="auto" w:fill="auto"/>
            <w:noWrap w:val="0"/>
            <w:vAlign w:val="center"/>
          </w:tcPr>
          <w:p w14:paraId="517839E0">
            <w:pPr>
              <w:pStyle w:val="12"/>
              <w:autoSpaceDE w:val="0"/>
              <w:autoSpaceDN w:val="0"/>
            </w:pPr>
            <w:r>
              <w:rPr>
                <w:rFonts w:hint="eastAsia"/>
              </w:rPr>
              <w:t>金水华禹</w:t>
            </w:r>
          </w:p>
        </w:tc>
        <w:tc>
          <w:tcPr>
            <w:tcW w:w="1361" w:type="dxa"/>
            <w:shd w:val="clear" w:color="auto" w:fill="auto"/>
            <w:noWrap w:val="0"/>
            <w:vAlign w:val="center"/>
          </w:tcPr>
          <w:p w14:paraId="070B5699">
            <w:pPr>
              <w:pStyle w:val="7"/>
              <w:autoSpaceDE w:val="0"/>
              <w:autoSpaceDN w:val="0"/>
              <w:jc w:val="center"/>
              <w:rPr>
                <w:rFonts w:ascii="宋体" w:hAnsi="宋体" w:eastAsia="仿宋" w:cs="仿宋"/>
                <w:sz w:val="24"/>
                <w:shd w:val="clear" w:color="auto" w:fill="FFFFFF"/>
              </w:rPr>
            </w:pPr>
            <w:r>
              <w:rPr>
                <w:rFonts w:hint="eastAsia" w:ascii="宋体" w:hAnsi="宋体" w:eastAsia="仿宋" w:cs="仿宋"/>
                <w:sz w:val="24"/>
                <w:shd w:val="clear" w:color="auto" w:fill="FFFFFF"/>
              </w:rPr>
              <w:t>2021年10月</w:t>
            </w:r>
          </w:p>
        </w:tc>
        <w:tc>
          <w:tcPr>
            <w:tcW w:w="1588" w:type="dxa"/>
            <w:vMerge w:val="continue"/>
            <w:shd w:val="clear" w:color="auto" w:fill="auto"/>
            <w:noWrap w:val="0"/>
            <w:vAlign w:val="center"/>
          </w:tcPr>
          <w:p w14:paraId="086B1DD8">
            <w:pPr>
              <w:pStyle w:val="12"/>
              <w:autoSpaceDE w:val="0"/>
              <w:autoSpaceDN w:val="0"/>
            </w:pPr>
          </w:p>
        </w:tc>
      </w:tr>
      <w:tr w14:paraId="331E552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482" w:hRule="atLeast"/>
          <w:jc w:val="center"/>
        </w:trPr>
        <w:tc>
          <w:tcPr>
            <w:tcW w:w="1191" w:type="dxa"/>
            <w:vMerge w:val="continue"/>
            <w:shd w:val="clear" w:color="auto" w:fill="auto"/>
            <w:noWrap w:val="0"/>
            <w:vAlign w:val="center"/>
          </w:tcPr>
          <w:p w14:paraId="3EC13747">
            <w:pPr>
              <w:pStyle w:val="12"/>
              <w:autoSpaceDE w:val="0"/>
              <w:autoSpaceDN w:val="0"/>
              <w:rPr>
                <w:rFonts w:eastAsia="宋体"/>
                <w:b/>
                <w:szCs w:val="24"/>
              </w:rPr>
            </w:pPr>
          </w:p>
        </w:tc>
        <w:tc>
          <w:tcPr>
            <w:tcW w:w="2438" w:type="dxa"/>
            <w:shd w:val="clear" w:color="auto" w:fill="auto"/>
            <w:noWrap w:val="0"/>
            <w:vAlign w:val="center"/>
          </w:tcPr>
          <w:p w14:paraId="47AF7DEF">
            <w:pPr>
              <w:autoSpaceDE w:val="0"/>
              <w:autoSpaceDN w:val="0"/>
              <w:snapToGrid w:val="0"/>
              <w:rPr>
                <w:rFonts w:eastAsia="仿宋_GB2312"/>
                <w:sz w:val="24"/>
              </w:rPr>
            </w:pPr>
            <w:r>
              <w:rPr>
                <w:rFonts w:hint="eastAsia" w:eastAsia="仿宋_GB2312"/>
                <w:sz w:val="24"/>
              </w:rPr>
              <w:t>自动降尘采样器</w:t>
            </w:r>
          </w:p>
        </w:tc>
        <w:tc>
          <w:tcPr>
            <w:tcW w:w="1361" w:type="dxa"/>
            <w:shd w:val="clear" w:color="auto" w:fill="auto"/>
            <w:noWrap w:val="0"/>
            <w:vAlign w:val="center"/>
          </w:tcPr>
          <w:p w14:paraId="4A99E44E">
            <w:pPr>
              <w:autoSpaceDE w:val="0"/>
              <w:autoSpaceDN w:val="0"/>
              <w:snapToGrid w:val="0"/>
              <w:jc w:val="center"/>
              <w:rPr>
                <w:rFonts w:eastAsia="仿宋_GB2312"/>
                <w:sz w:val="24"/>
              </w:rPr>
            </w:pPr>
            <w:r>
              <w:rPr>
                <w:rFonts w:hint="eastAsia" w:eastAsia="仿宋_GB2312"/>
                <w:sz w:val="24"/>
              </w:rPr>
              <w:t>APS-2B</w:t>
            </w:r>
          </w:p>
        </w:tc>
        <w:tc>
          <w:tcPr>
            <w:tcW w:w="1191" w:type="dxa"/>
            <w:shd w:val="clear" w:color="auto" w:fill="auto"/>
            <w:noWrap w:val="0"/>
            <w:vAlign w:val="center"/>
          </w:tcPr>
          <w:p w14:paraId="7CA89E20">
            <w:pPr>
              <w:pStyle w:val="12"/>
              <w:autoSpaceDE w:val="0"/>
              <w:autoSpaceDN w:val="0"/>
            </w:pPr>
            <w:r>
              <w:rPr>
                <w:rFonts w:hint="eastAsia"/>
              </w:rPr>
              <w:t>湘蓝仪器</w:t>
            </w:r>
          </w:p>
        </w:tc>
        <w:tc>
          <w:tcPr>
            <w:tcW w:w="1361" w:type="dxa"/>
            <w:shd w:val="clear" w:color="auto" w:fill="auto"/>
            <w:noWrap w:val="0"/>
            <w:vAlign w:val="center"/>
          </w:tcPr>
          <w:p w14:paraId="752F1F98">
            <w:pPr>
              <w:pStyle w:val="7"/>
              <w:autoSpaceDE w:val="0"/>
              <w:autoSpaceDN w:val="0"/>
              <w:jc w:val="center"/>
              <w:rPr>
                <w:rFonts w:ascii="宋体" w:hAnsi="宋体" w:eastAsia="仿宋" w:cs="仿宋"/>
                <w:sz w:val="24"/>
                <w:shd w:val="clear" w:color="auto" w:fill="FFFFFF"/>
              </w:rPr>
            </w:pPr>
            <w:r>
              <w:rPr>
                <w:rFonts w:hint="eastAsia" w:ascii="宋体" w:hAnsi="宋体" w:eastAsia="仿宋" w:cs="仿宋"/>
                <w:sz w:val="24"/>
                <w:shd w:val="clear" w:color="auto" w:fill="FFFFFF"/>
              </w:rPr>
              <w:t>2021年10月</w:t>
            </w:r>
          </w:p>
        </w:tc>
        <w:tc>
          <w:tcPr>
            <w:tcW w:w="1588" w:type="dxa"/>
            <w:vMerge w:val="continue"/>
            <w:shd w:val="clear" w:color="auto" w:fill="auto"/>
            <w:noWrap w:val="0"/>
            <w:vAlign w:val="center"/>
          </w:tcPr>
          <w:p w14:paraId="25A570A9">
            <w:pPr>
              <w:pStyle w:val="12"/>
              <w:autoSpaceDE w:val="0"/>
              <w:autoSpaceDN w:val="0"/>
            </w:pPr>
          </w:p>
        </w:tc>
      </w:tr>
      <w:tr w14:paraId="57CA1D60">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482" w:hRule="atLeast"/>
          <w:jc w:val="center"/>
        </w:trPr>
        <w:tc>
          <w:tcPr>
            <w:tcW w:w="1191" w:type="dxa"/>
            <w:vMerge w:val="continue"/>
            <w:shd w:val="clear" w:color="auto" w:fill="auto"/>
            <w:noWrap w:val="0"/>
            <w:vAlign w:val="center"/>
          </w:tcPr>
          <w:p w14:paraId="28FF25B6">
            <w:pPr>
              <w:pStyle w:val="12"/>
              <w:autoSpaceDE w:val="0"/>
              <w:autoSpaceDN w:val="0"/>
              <w:rPr>
                <w:rFonts w:eastAsia="宋体"/>
                <w:b/>
                <w:szCs w:val="24"/>
              </w:rPr>
            </w:pPr>
          </w:p>
        </w:tc>
        <w:tc>
          <w:tcPr>
            <w:tcW w:w="2438" w:type="dxa"/>
            <w:shd w:val="clear" w:color="auto" w:fill="auto"/>
            <w:noWrap w:val="0"/>
            <w:vAlign w:val="center"/>
          </w:tcPr>
          <w:p w14:paraId="10B5E461">
            <w:pPr>
              <w:autoSpaceDE w:val="0"/>
              <w:autoSpaceDN w:val="0"/>
              <w:snapToGrid w:val="0"/>
              <w:rPr>
                <w:rFonts w:eastAsia="仿宋_GB2312"/>
                <w:sz w:val="24"/>
              </w:rPr>
            </w:pPr>
            <w:r>
              <w:rPr>
                <w:rFonts w:hint="eastAsia" w:eastAsia="仿宋_GB2312"/>
                <w:sz w:val="24"/>
              </w:rPr>
              <w:t>气象五参数</w:t>
            </w:r>
            <w:r>
              <w:rPr>
                <w:rFonts w:hint="eastAsia" w:eastAsia="仿宋"/>
                <w:sz w:val="24"/>
                <w:shd w:val="clear" w:color="auto" w:fill="FFFFFF"/>
              </w:rPr>
              <w:t>(风向,风速,温度,湿度,气压)</w:t>
            </w:r>
          </w:p>
        </w:tc>
        <w:tc>
          <w:tcPr>
            <w:tcW w:w="1361" w:type="dxa"/>
            <w:shd w:val="clear" w:color="auto" w:fill="auto"/>
            <w:noWrap w:val="0"/>
            <w:vAlign w:val="center"/>
          </w:tcPr>
          <w:p w14:paraId="028420A1">
            <w:pPr>
              <w:autoSpaceDE w:val="0"/>
              <w:autoSpaceDN w:val="0"/>
              <w:snapToGrid w:val="0"/>
              <w:jc w:val="center"/>
              <w:rPr>
                <w:rFonts w:eastAsia="仿宋_GB2312"/>
                <w:sz w:val="24"/>
              </w:rPr>
            </w:pPr>
            <w:r>
              <w:rPr>
                <w:rFonts w:hint="eastAsia" w:eastAsia="仿宋_GB2312"/>
                <w:sz w:val="24"/>
              </w:rPr>
              <w:t>WS-5P</w:t>
            </w:r>
          </w:p>
        </w:tc>
        <w:tc>
          <w:tcPr>
            <w:tcW w:w="1191" w:type="dxa"/>
            <w:shd w:val="clear" w:color="auto" w:fill="auto"/>
            <w:noWrap w:val="0"/>
            <w:vAlign w:val="center"/>
          </w:tcPr>
          <w:p w14:paraId="6917A636">
            <w:pPr>
              <w:pStyle w:val="12"/>
              <w:autoSpaceDE w:val="0"/>
              <w:autoSpaceDN w:val="0"/>
            </w:pPr>
            <w:r>
              <w:rPr>
                <w:rFonts w:hint="eastAsia"/>
              </w:rPr>
              <w:t>智翔宇</w:t>
            </w:r>
          </w:p>
        </w:tc>
        <w:tc>
          <w:tcPr>
            <w:tcW w:w="1361" w:type="dxa"/>
            <w:shd w:val="clear" w:color="auto" w:fill="auto"/>
            <w:noWrap w:val="0"/>
            <w:vAlign w:val="center"/>
          </w:tcPr>
          <w:p w14:paraId="7C96D737">
            <w:pPr>
              <w:pStyle w:val="7"/>
              <w:autoSpaceDE w:val="0"/>
              <w:autoSpaceDN w:val="0"/>
              <w:jc w:val="center"/>
              <w:rPr>
                <w:rFonts w:ascii="宋体" w:hAnsi="宋体" w:eastAsia="仿宋" w:cs="仿宋"/>
                <w:sz w:val="24"/>
                <w:shd w:val="clear" w:color="auto" w:fill="FFFFFF"/>
              </w:rPr>
            </w:pPr>
            <w:r>
              <w:rPr>
                <w:rFonts w:hint="eastAsia" w:ascii="宋体" w:hAnsi="宋体" w:eastAsia="仿宋" w:cs="仿宋"/>
                <w:sz w:val="24"/>
                <w:shd w:val="clear" w:color="auto" w:fill="FFFFFF"/>
              </w:rPr>
              <w:t>2021年10月</w:t>
            </w:r>
          </w:p>
        </w:tc>
        <w:tc>
          <w:tcPr>
            <w:tcW w:w="1588" w:type="dxa"/>
            <w:vMerge w:val="continue"/>
            <w:shd w:val="clear" w:color="auto" w:fill="auto"/>
            <w:noWrap w:val="0"/>
            <w:vAlign w:val="center"/>
          </w:tcPr>
          <w:p w14:paraId="244E572C">
            <w:pPr>
              <w:pStyle w:val="12"/>
              <w:autoSpaceDE w:val="0"/>
              <w:autoSpaceDN w:val="0"/>
            </w:pPr>
          </w:p>
        </w:tc>
      </w:tr>
      <w:tr w14:paraId="24EB3DB6">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57" w:type="dxa"/>
            <w:bottom w:w="0" w:type="dxa"/>
            <w:right w:w="57" w:type="dxa"/>
          </w:tblCellMar>
        </w:tblPrEx>
        <w:trPr>
          <w:trHeight w:val="482" w:hRule="atLeast"/>
          <w:jc w:val="center"/>
        </w:trPr>
        <w:tc>
          <w:tcPr>
            <w:tcW w:w="1191" w:type="dxa"/>
            <w:vMerge w:val="continue"/>
            <w:shd w:val="clear" w:color="auto" w:fill="auto"/>
            <w:noWrap w:val="0"/>
            <w:vAlign w:val="center"/>
          </w:tcPr>
          <w:p w14:paraId="0B1F193D">
            <w:pPr>
              <w:pStyle w:val="5"/>
              <w:autoSpaceDE w:val="0"/>
              <w:autoSpaceDN w:val="0"/>
              <w:snapToGrid w:val="0"/>
              <w:jc w:val="center"/>
              <w:rPr>
                <w:rFonts w:ascii="宋体" w:hAnsi="宋体" w:eastAsia="仿宋"/>
                <w:sz w:val="24"/>
                <w:szCs w:val="24"/>
              </w:rPr>
            </w:pPr>
          </w:p>
        </w:tc>
        <w:tc>
          <w:tcPr>
            <w:tcW w:w="2438" w:type="dxa"/>
            <w:shd w:val="clear" w:color="auto" w:fill="auto"/>
            <w:noWrap w:val="0"/>
            <w:vAlign w:val="center"/>
          </w:tcPr>
          <w:p w14:paraId="314E811A">
            <w:pPr>
              <w:pStyle w:val="12"/>
              <w:autoSpaceDE w:val="0"/>
              <w:autoSpaceDN w:val="0"/>
              <w:jc w:val="both"/>
            </w:pPr>
            <w:r>
              <w:rPr>
                <w:rFonts w:hint="eastAsia"/>
              </w:rPr>
              <w:t>工控机及数采软件</w:t>
            </w:r>
          </w:p>
        </w:tc>
        <w:tc>
          <w:tcPr>
            <w:tcW w:w="1361" w:type="dxa"/>
            <w:shd w:val="clear" w:color="auto" w:fill="auto"/>
            <w:noWrap w:val="0"/>
            <w:vAlign w:val="center"/>
          </w:tcPr>
          <w:p w14:paraId="34A09CB4">
            <w:pPr>
              <w:pStyle w:val="12"/>
              <w:autoSpaceDE w:val="0"/>
              <w:autoSpaceDN w:val="0"/>
            </w:pPr>
            <w:r>
              <w:rPr>
                <w:rFonts w:hint="eastAsia"/>
              </w:rPr>
              <w:t>610L</w:t>
            </w:r>
          </w:p>
        </w:tc>
        <w:tc>
          <w:tcPr>
            <w:tcW w:w="1191" w:type="dxa"/>
            <w:shd w:val="clear" w:color="auto" w:fill="auto"/>
            <w:noWrap w:val="0"/>
            <w:vAlign w:val="center"/>
          </w:tcPr>
          <w:p w14:paraId="68705061">
            <w:pPr>
              <w:pStyle w:val="12"/>
              <w:autoSpaceDE w:val="0"/>
              <w:autoSpaceDN w:val="0"/>
            </w:pPr>
            <w:r>
              <w:rPr>
                <w:rFonts w:hint="eastAsia"/>
              </w:rPr>
              <w:t>研华</w:t>
            </w:r>
          </w:p>
        </w:tc>
        <w:tc>
          <w:tcPr>
            <w:tcW w:w="1361" w:type="dxa"/>
            <w:shd w:val="clear" w:color="auto" w:fill="auto"/>
            <w:noWrap w:val="0"/>
            <w:vAlign w:val="center"/>
          </w:tcPr>
          <w:p w14:paraId="1DF1D267">
            <w:pPr>
              <w:pStyle w:val="7"/>
              <w:autoSpaceDE w:val="0"/>
              <w:autoSpaceDN w:val="0"/>
              <w:jc w:val="center"/>
              <w:rPr>
                <w:rFonts w:ascii="宋体" w:hAnsi="宋体" w:eastAsia="仿宋" w:cs="仿宋"/>
                <w:sz w:val="24"/>
                <w:shd w:val="clear" w:color="auto" w:fill="FFFFFF"/>
              </w:rPr>
            </w:pPr>
            <w:r>
              <w:rPr>
                <w:rFonts w:hint="eastAsia" w:ascii="宋体" w:hAnsi="宋体" w:eastAsia="仿宋" w:cs="仿宋"/>
                <w:sz w:val="24"/>
                <w:shd w:val="clear" w:color="auto" w:fill="FFFFFF"/>
              </w:rPr>
              <w:t>2021年10月</w:t>
            </w:r>
          </w:p>
        </w:tc>
        <w:tc>
          <w:tcPr>
            <w:tcW w:w="1588" w:type="dxa"/>
            <w:vMerge w:val="continue"/>
            <w:shd w:val="clear" w:color="auto" w:fill="auto"/>
            <w:noWrap w:val="0"/>
            <w:vAlign w:val="center"/>
          </w:tcPr>
          <w:p w14:paraId="22A6A968">
            <w:pPr>
              <w:pStyle w:val="5"/>
              <w:autoSpaceDE w:val="0"/>
              <w:autoSpaceDN w:val="0"/>
              <w:snapToGrid w:val="0"/>
              <w:jc w:val="center"/>
              <w:rPr>
                <w:rFonts w:ascii="宋体" w:hAnsi="宋体" w:eastAsia="仿宋"/>
                <w:sz w:val="24"/>
                <w:szCs w:val="24"/>
              </w:rPr>
            </w:pPr>
          </w:p>
        </w:tc>
      </w:tr>
    </w:tbl>
    <w:p w14:paraId="00E20A3C">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r>
        <w:rPr>
          <w:rFonts w:hint="eastAsia"/>
          <w:color w:val="auto"/>
        </w:rPr>
        <w:t>1.2招标项目运维服务的起止时限</w:t>
      </w:r>
    </w:p>
    <w:p w14:paraId="73059994">
      <w:pPr>
        <w:pStyle w:val="8"/>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本次招标采购运维服务期为1年整（202</w:t>
      </w:r>
      <w:r>
        <w:rPr>
          <w:rFonts w:hint="eastAsia" w:ascii="仿宋" w:hAnsi="仿宋" w:eastAsia="仿宋" w:cs="仿宋"/>
          <w:sz w:val="28"/>
          <w:szCs w:val="28"/>
          <w:shd w:val="clear" w:color="auto" w:fill="FFFFFF"/>
          <w:lang w:val="en-US" w:eastAsia="zh-CN"/>
        </w:rPr>
        <w:t>6</w:t>
      </w:r>
      <w:r>
        <w:rPr>
          <w:rFonts w:hint="eastAsia" w:ascii="仿宋" w:hAnsi="仿宋" w:eastAsia="仿宋" w:cs="仿宋"/>
          <w:sz w:val="28"/>
          <w:szCs w:val="28"/>
          <w:shd w:val="clear" w:color="auto" w:fill="FFFFFF"/>
        </w:rPr>
        <w:t>年4月1日至202</w:t>
      </w:r>
      <w:r>
        <w:rPr>
          <w:rFonts w:hint="eastAsia" w:ascii="仿宋" w:hAnsi="仿宋" w:eastAsia="仿宋" w:cs="仿宋"/>
          <w:sz w:val="28"/>
          <w:szCs w:val="28"/>
          <w:shd w:val="clear" w:color="auto" w:fill="FFFFFF"/>
          <w:lang w:val="en-US" w:eastAsia="zh-CN"/>
        </w:rPr>
        <w:t>7</w:t>
      </w:r>
      <w:r>
        <w:rPr>
          <w:rFonts w:hint="eastAsia" w:ascii="仿宋" w:hAnsi="仿宋" w:eastAsia="仿宋" w:cs="仿宋"/>
          <w:sz w:val="28"/>
          <w:szCs w:val="28"/>
          <w:shd w:val="clear" w:color="auto" w:fill="FFFFFF"/>
        </w:rPr>
        <w:t>年3月31日）。若上级环保部门将该站点运维工作统一上收管理，站点的运维期限至站点上收之日终止。</w:t>
      </w:r>
    </w:p>
    <w:p w14:paraId="006A1AB1">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r>
        <w:rPr>
          <w:rFonts w:hint="eastAsia"/>
          <w:color w:val="auto"/>
        </w:rPr>
        <w:t>1.3运维服务工作的执行标准依据</w:t>
      </w:r>
    </w:p>
    <w:p w14:paraId="0BCC37AF">
      <w:pPr>
        <w:pStyle w:val="8"/>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szCs w:val="28"/>
        </w:rPr>
      </w:pPr>
      <w:r>
        <w:rPr>
          <w:rFonts w:hint="eastAsia" w:ascii="仿宋" w:hAnsi="仿宋" w:eastAsia="仿宋" w:cs="仿宋"/>
          <w:kern w:val="2"/>
          <w:sz w:val="28"/>
          <w:szCs w:val="28"/>
        </w:rPr>
        <w:t>在委托运行管理及维护期间，中标方</w:t>
      </w:r>
      <w:r>
        <w:rPr>
          <w:rFonts w:hint="eastAsia" w:ascii="仿宋" w:hAnsi="仿宋" w:eastAsia="仿宋" w:cs="仿宋"/>
          <w:sz w:val="28"/>
          <w:szCs w:val="28"/>
        </w:rPr>
        <w:t>必须遵守</w:t>
      </w:r>
      <w:r>
        <w:rPr>
          <w:rFonts w:hint="eastAsia" w:ascii="仿宋" w:hAnsi="仿宋" w:eastAsia="仿宋" w:cs="仿宋"/>
          <w:kern w:val="2"/>
          <w:sz w:val="28"/>
          <w:szCs w:val="28"/>
        </w:rPr>
        <w:t>国家有关法律、法规，按照</w:t>
      </w:r>
      <w:r>
        <w:rPr>
          <w:rFonts w:hint="eastAsia" w:ascii="仿宋" w:hAnsi="仿宋" w:eastAsia="仿宋" w:cs="仿宋"/>
          <w:sz w:val="28"/>
          <w:szCs w:val="28"/>
          <w:shd w:val="clear" w:color="auto" w:fill="FFFFFF"/>
        </w:rPr>
        <w:t>《国家环境空气质量监测网城市站运行管理实施细则（试行）》（国家环保部2017年）</w:t>
      </w:r>
      <w:r>
        <w:rPr>
          <w:rFonts w:hint="eastAsia" w:ascii="仿宋" w:hAnsi="仿宋" w:eastAsia="仿宋" w:cs="仿宋"/>
          <w:kern w:val="2"/>
          <w:sz w:val="28"/>
          <w:szCs w:val="28"/>
        </w:rPr>
        <w:t>、</w:t>
      </w:r>
      <w:r>
        <w:rPr>
          <w:rFonts w:hint="eastAsia" w:ascii="仿宋" w:hAnsi="仿宋" w:eastAsia="仿宋" w:cs="仿宋"/>
          <w:sz w:val="28"/>
          <w:szCs w:val="28"/>
          <w:shd w:val="clear" w:color="auto" w:fill="FFFFFF"/>
        </w:rPr>
        <w:t>《环境空气颗粒物（PM10和PM2.5）连续自动监测系统运行和质控技术规范 HJ817-2018》等</w:t>
      </w:r>
      <w:r>
        <w:rPr>
          <w:rFonts w:hint="eastAsia" w:ascii="仿宋" w:hAnsi="仿宋" w:eastAsia="仿宋" w:cs="仿宋"/>
          <w:kern w:val="2"/>
          <w:sz w:val="28"/>
          <w:szCs w:val="28"/>
        </w:rPr>
        <w:t>规定，以及</w:t>
      </w:r>
      <w:r>
        <w:rPr>
          <w:rFonts w:hint="eastAsia" w:ascii="仿宋" w:hAnsi="仿宋" w:eastAsia="仿宋" w:cs="仿宋"/>
          <w:sz w:val="28"/>
          <w:szCs w:val="28"/>
          <w:shd w:val="clear" w:color="auto" w:fill="FFFFFF"/>
        </w:rPr>
        <w:t>福建省生态环境厅、福建省环境监测中心站的相关要求，</w:t>
      </w:r>
      <w:r>
        <w:rPr>
          <w:rFonts w:hint="eastAsia" w:ascii="仿宋" w:hAnsi="仿宋" w:eastAsia="仿宋" w:cs="仿宋"/>
          <w:kern w:val="2"/>
          <w:sz w:val="28"/>
          <w:szCs w:val="28"/>
        </w:rPr>
        <w:t>配备具备省级以上《环境空气自动监测运维技术与质控要求培训合格证》运维人员，规范</w:t>
      </w:r>
      <w:r>
        <w:rPr>
          <w:rFonts w:hint="eastAsia" w:ascii="仿宋" w:hAnsi="仿宋" w:eastAsia="仿宋" w:cs="仿宋"/>
          <w:sz w:val="28"/>
          <w:szCs w:val="28"/>
          <w:shd w:val="clear" w:color="auto" w:fill="FFFFFF"/>
        </w:rPr>
        <w:t>开展运维工作，</w:t>
      </w:r>
      <w:r>
        <w:rPr>
          <w:rFonts w:hint="eastAsia" w:ascii="仿宋" w:hAnsi="仿宋" w:eastAsia="仿宋" w:cs="仿宋"/>
          <w:kern w:val="2"/>
          <w:sz w:val="28"/>
          <w:szCs w:val="28"/>
        </w:rPr>
        <w:t>使空气站系统及仪表运行达到国家及行业颁布的技术标准和考核指标要求。委托运行管理及维护期间，如环境空气自动站运行与质控相关技术规范发生变化，需按最新的规范要求开展运维与质控管理工作。</w:t>
      </w:r>
    </w:p>
    <w:p w14:paraId="4EBA6B9B">
      <w:pPr>
        <w:pStyle w:val="8"/>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szCs w:val="28"/>
        </w:rPr>
      </w:pPr>
      <w:r>
        <w:rPr>
          <w:rFonts w:hint="eastAsia" w:ascii="仿宋" w:hAnsi="仿宋" w:eastAsia="仿宋" w:cs="仿宋"/>
          <w:kern w:val="2"/>
          <w:sz w:val="28"/>
        </w:rPr>
        <w:t>本服务项目的运维工作开展具体要求均以最新的国家相关空气连续自动监测系统运行和质控技术规范为准则，当国家规范严于本服务条款时，以国家规范为准。</w:t>
      </w:r>
    </w:p>
    <w:p w14:paraId="55F159BE">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r>
        <w:rPr>
          <w:rFonts w:hint="eastAsia"/>
          <w:color w:val="auto"/>
        </w:rPr>
        <w:t>1.4对运维服务工作总体要求</w:t>
      </w:r>
    </w:p>
    <w:p w14:paraId="749E96C0">
      <w:pPr>
        <w:pageBreakBefore w:val="0"/>
        <w:kinsoku/>
        <w:wordWrap/>
        <w:overflowPunct/>
        <w:topLinePunct w:val="0"/>
        <w:autoSpaceDE/>
        <w:autoSpaceDN/>
        <w:bidi w:val="0"/>
        <w:snapToGrid/>
        <w:spacing w:beforeAutospacing="0" w:afterAutospacing="0" w:line="440" w:lineRule="exact"/>
        <w:ind w:left="0" w:firstLine="560" w:firstLineChars="200"/>
        <w:jc w:val="both"/>
        <w:textAlignment w:val="auto"/>
        <w:rPr>
          <w:rFonts w:ascii="仿宋" w:hAnsi="仿宋" w:eastAsia="仿宋" w:cs="仿宋"/>
          <w:sz w:val="28"/>
          <w:szCs w:val="28"/>
        </w:rPr>
      </w:pPr>
      <w:r>
        <w:rPr>
          <w:rFonts w:hint="eastAsia" w:ascii="仿宋" w:hAnsi="仿宋" w:eastAsia="仿宋" w:cs="仿宋"/>
          <w:sz w:val="28"/>
          <w:szCs w:val="28"/>
        </w:rPr>
        <w:t>中标方</w:t>
      </w:r>
      <w:r>
        <w:rPr>
          <w:rFonts w:hint="eastAsia" w:ascii="仿宋" w:hAnsi="仿宋" w:eastAsia="仿宋" w:cs="仿宋"/>
          <w:sz w:val="28"/>
          <w:szCs w:val="28"/>
          <w:shd w:val="clear" w:color="auto" w:fill="FFFFFF"/>
        </w:rPr>
        <w:t>必须建立完善的运行维护工作规范与质量管理体系，所获取的有效监测数据必须满足国家《环境空气质量标准》（GB 3095-2012）中规定的污染物浓度数据有效性最低要求。空气自动站每天各监测项目有不少于20个有效小时平均值。</w:t>
      </w:r>
      <w:r>
        <w:rPr>
          <w:rFonts w:hint="eastAsia" w:ascii="仿宋" w:hAnsi="仿宋" w:eastAsia="仿宋" w:cs="仿宋"/>
          <w:sz w:val="28"/>
          <w:szCs w:val="28"/>
          <w:shd w:val="clear" w:color="auto" w:fill="FFFFFF"/>
          <w:lang w:eastAsia="zh-CN"/>
        </w:rPr>
        <w:t>每</w:t>
      </w:r>
      <w:r>
        <w:rPr>
          <w:rFonts w:hint="eastAsia" w:ascii="仿宋" w:hAnsi="仿宋" w:eastAsia="仿宋" w:cs="仿宋"/>
          <w:sz w:val="28"/>
          <w:szCs w:val="28"/>
          <w:shd w:val="clear" w:color="auto" w:fill="FFFFFF"/>
        </w:rPr>
        <w:t>月每个污染物有不少于27个(2月份25个)有效日均值，每年有不少于12个有效月均值。</w:t>
      </w:r>
      <w:r>
        <w:rPr>
          <w:rFonts w:hint="eastAsia" w:ascii="仿宋" w:hAnsi="仿宋" w:eastAsia="仿宋" w:cs="仿宋"/>
          <w:sz w:val="28"/>
          <w:szCs w:val="28"/>
        </w:rPr>
        <w:t>站点的设备数据获取率高于90%，数据质控合格率必须高于80%。</w:t>
      </w:r>
    </w:p>
    <w:p w14:paraId="6E0D8B70">
      <w:pPr>
        <w:pStyle w:val="8"/>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szCs w:val="28"/>
        </w:rPr>
      </w:pPr>
      <w:r>
        <w:rPr>
          <w:rFonts w:hint="eastAsia" w:ascii="仿宋" w:hAnsi="仿宋" w:eastAsia="仿宋" w:cs="仿宋"/>
          <w:kern w:val="2"/>
          <w:sz w:val="28"/>
          <w:szCs w:val="28"/>
        </w:rPr>
        <w:t>中标方需确保数据真实，监测仪器主要技术参数（包括斜率/K 值、K0值、截距、灵敏度等）应与仪器说明书要求和系统安装验收时的设置值保持一致，不得弄虚作假。</w:t>
      </w:r>
    </w:p>
    <w:p w14:paraId="0217EE2B">
      <w:pPr>
        <w:pageBreakBefore w:val="0"/>
        <w:kinsoku/>
        <w:wordWrap/>
        <w:overflowPunct/>
        <w:topLinePunct w:val="0"/>
        <w:autoSpaceDE/>
        <w:autoSpaceDN/>
        <w:bidi w:val="0"/>
        <w:snapToGrid/>
        <w:spacing w:beforeAutospacing="0" w:afterAutospacing="0" w:line="440" w:lineRule="exact"/>
        <w:ind w:left="0" w:firstLine="560" w:firstLineChars="200"/>
        <w:jc w:val="both"/>
        <w:textAlignment w:val="auto"/>
        <w:rPr>
          <w:rFonts w:ascii="仿宋" w:hAnsi="仿宋" w:eastAsia="仿宋" w:cs="仿宋"/>
          <w:sz w:val="28"/>
          <w:szCs w:val="28"/>
          <w:shd w:val="clear" w:color="auto" w:fill="FFFFFF"/>
        </w:rPr>
      </w:pPr>
      <w:r>
        <w:rPr>
          <w:rFonts w:hint="eastAsia" w:ascii="仿宋" w:hAnsi="仿宋" w:eastAsia="仿宋" w:cs="仿宋"/>
          <w:sz w:val="28"/>
          <w:szCs w:val="28"/>
        </w:rPr>
        <w:t>中标方需</w:t>
      </w:r>
      <w:r>
        <w:rPr>
          <w:rFonts w:hint="eastAsia" w:ascii="仿宋" w:hAnsi="仿宋" w:eastAsia="仿宋" w:cs="仿宋"/>
          <w:sz w:val="28"/>
          <w:szCs w:val="28"/>
          <w:shd w:val="clear" w:color="auto" w:fill="FFFFFF"/>
        </w:rPr>
        <w:t>按《福建省环境空气自动监测质量现场》（2018年版）表进行自行检查，配合上级部门开展的各类环境空气质量飞行检查。</w:t>
      </w:r>
    </w:p>
    <w:p w14:paraId="46EA6AF8">
      <w:pPr>
        <w:pStyle w:val="8"/>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szCs w:val="28"/>
        </w:rPr>
      </w:pPr>
      <w:r>
        <w:rPr>
          <w:rFonts w:hint="eastAsia" w:ascii="仿宋" w:hAnsi="仿宋" w:eastAsia="仿宋" w:cs="仿宋"/>
          <w:kern w:val="2"/>
          <w:sz w:val="28"/>
          <w:szCs w:val="28"/>
        </w:rPr>
        <w:t>委托运行管理及维护的全部资产(包括全部产权和建筑物、设备及配套设施)属采购人所有。未经采购人同意，运维方不得以任何方式对各类财产进行出售、抵押或转移；同时，在委托运行管理及维护期间，运维方有责任保证上述全部资产的完整、安全并处于良好状态。</w:t>
      </w:r>
    </w:p>
    <w:p w14:paraId="2B794C87">
      <w:pPr>
        <w:pStyle w:val="8"/>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szCs w:val="28"/>
        </w:rPr>
      </w:pPr>
      <w:r>
        <w:rPr>
          <w:rFonts w:hint="eastAsia" w:ascii="仿宋" w:hAnsi="仿宋" w:eastAsia="仿宋" w:cs="仿宋"/>
          <w:kern w:val="2"/>
          <w:sz w:val="28"/>
          <w:szCs w:val="28"/>
        </w:rPr>
        <w:t>中标方对监测数据负有保密责任，未经采购人同意，不得将所运营的空气站数据提供给任何第三方，不得利用空气站数据、档案或有关材料对外开展技术交流、科学研究、业务联系、数据交换等。违反保密规定的，采购人有权终止合同，依法追究运维机构相关人员责任、并向社会公布。</w:t>
      </w:r>
    </w:p>
    <w:p w14:paraId="4F4EB8D7">
      <w:pPr>
        <w:pStyle w:val="8"/>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szCs w:val="28"/>
        </w:rPr>
      </w:pPr>
      <w:r>
        <w:rPr>
          <w:rFonts w:hint="eastAsia" w:ascii="仿宋" w:hAnsi="仿宋" w:eastAsia="仿宋" w:cs="仿宋"/>
          <w:kern w:val="2"/>
          <w:sz w:val="28"/>
          <w:szCs w:val="28"/>
        </w:rPr>
        <w:t>在委托管理期间，中标方拥有管理自主权，但没有对外经营权，也不得委托给第三方运营管理。若因省、市上收统一运维或其他原因使站点无法运维，则未付款的季度，按当季度实际有效运维天数结算当季度费用。</w:t>
      </w:r>
    </w:p>
    <w:p w14:paraId="41826AC6">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r>
        <w:rPr>
          <w:rFonts w:hint="eastAsia"/>
          <w:color w:val="auto"/>
        </w:rPr>
        <w:t>1.5运维服务费所包含的项目内容</w:t>
      </w:r>
    </w:p>
    <w:p w14:paraId="115CAA5A">
      <w:pPr>
        <w:pStyle w:val="8"/>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szCs w:val="28"/>
        </w:rPr>
      </w:pPr>
      <w:bookmarkStart w:id="0" w:name="_Toc424139962"/>
      <w:r>
        <w:rPr>
          <w:rFonts w:hint="eastAsia" w:ascii="仿宋" w:hAnsi="仿宋" w:eastAsia="仿宋" w:cs="仿宋"/>
          <w:kern w:val="2"/>
          <w:sz w:val="28"/>
          <w:szCs w:val="28"/>
        </w:rPr>
        <w:t>中标方承担的有关费用</w:t>
      </w:r>
      <w:bookmarkEnd w:id="0"/>
      <w:r>
        <w:rPr>
          <w:rFonts w:hint="eastAsia" w:ascii="仿宋" w:hAnsi="仿宋" w:eastAsia="仿宋" w:cs="仿宋"/>
          <w:kern w:val="2"/>
          <w:sz w:val="28"/>
          <w:szCs w:val="28"/>
        </w:rPr>
        <w:t>：中标方所提供的运营服务费用应包括日常运营工作所需要的全部费用，包括且不限于耗材、易耗件、备品备件、交通费、维修费、保险费、人工费等（不含水电费、宽带费），以及接入省云平台的年费用。</w:t>
      </w:r>
    </w:p>
    <w:p w14:paraId="120799EF">
      <w:pPr>
        <w:pageBreakBefore w:val="0"/>
        <w:kinsoku/>
        <w:wordWrap/>
        <w:overflowPunct/>
        <w:topLinePunct w:val="0"/>
        <w:autoSpaceDE/>
        <w:autoSpaceDN/>
        <w:bidi w:val="0"/>
        <w:snapToGrid/>
        <w:spacing w:beforeAutospacing="0" w:afterAutospacing="0" w:line="440" w:lineRule="exact"/>
        <w:ind w:left="0" w:firstLine="560" w:firstLineChars="200"/>
        <w:jc w:val="both"/>
        <w:textAlignment w:val="auto"/>
        <w:rPr>
          <w:rFonts w:ascii="仿宋" w:hAnsi="仿宋" w:eastAsia="仿宋" w:cs="仿宋"/>
          <w:sz w:val="28"/>
          <w:szCs w:val="28"/>
          <w:u w:val="single"/>
        </w:rPr>
      </w:pPr>
      <w:r>
        <w:rPr>
          <w:rFonts w:hint="eastAsia" w:ascii="仿宋" w:hAnsi="仿宋" w:eastAsia="仿宋" w:cs="仿宋"/>
          <w:sz w:val="28"/>
          <w:szCs w:val="28"/>
        </w:rPr>
        <w:t>运营期间所有仪器设备、站房损坏（自然损坏除外）均由中标方负责更换或维修。运维工作开展所需的车辆由运维方提供，所产生的费用已包含在运维费中。</w:t>
      </w:r>
    </w:p>
    <w:p w14:paraId="715E1B2C">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r>
        <w:rPr>
          <w:rFonts w:hint="eastAsia"/>
          <w:color w:val="auto"/>
        </w:rPr>
        <w:t>1.6运维工作移交的时限、移交方式要求</w:t>
      </w:r>
    </w:p>
    <w:p w14:paraId="6D9DFEEE">
      <w:pPr>
        <w:pStyle w:val="8"/>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szCs w:val="28"/>
        </w:rPr>
      </w:pPr>
      <w:r>
        <w:rPr>
          <w:rFonts w:hint="eastAsia" w:ascii="仿宋" w:hAnsi="仿宋" w:eastAsia="仿宋" w:cs="仿宋"/>
          <w:kern w:val="2"/>
          <w:sz w:val="28"/>
          <w:szCs w:val="28"/>
        </w:rPr>
        <w:t>(1)委托合同生效后10天内，中标方向采购方提交运行工作计划；委托合同生效10天后，采购方向中标方办理财产移交手续，并同前一期运维中标方进行现场仪器设备与运维资料的交接，无特殊情况交接工作应在十个工作日内完成。</w:t>
      </w:r>
    </w:p>
    <w:p w14:paraId="609BA9A1">
      <w:pPr>
        <w:pStyle w:val="8"/>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szCs w:val="28"/>
        </w:rPr>
      </w:pPr>
      <w:r>
        <w:rPr>
          <w:rFonts w:hint="eastAsia" w:ascii="仿宋" w:hAnsi="仿宋" w:eastAsia="仿宋" w:cs="仿宋"/>
          <w:kern w:val="2"/>
          <w:sz w:val="28"/>
          <w:szCs w:val="28"/>
        </w:rPr>
        <w:t>(2)合同运维期限满时，中标方应同后一期运维中标方进行现场仪器设备与运维资料的交接，无特殊情况交接工作应在十个工作日内完成。</w:t>
      </w:r>
    </w:p>
    <w:p w14:paraId="66551D70">
      <w:pPr>
        <w:pStyle w:val="8"/>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szCs w:val="28"/>
        </w:rPr>
      </w:pPr>
      <w:r>
        <w:rPr>
          <w:rFonts w:hint="eastAsia" w:ascii="仿宋" w:hAnsi="仿宋" w:eastAsia="仿宋" w:cs="仿宋"/>
          <w:kern w:val="2"/>
          <w:sz w:val="28"/>
          <w:szCs w:val="28"/>
        </w:rPr>
        <w:t>(3)若上级环保部门将该站点的运维工作统一上收管理，则需在上级要求的时间范围内，与上级的运维中标方按上级要求进行现场仪器设备与运维资料的交接。</w:t>
      </w:r>
    </w:p>
    <w:p w14:paraId="504FDC25">
      <w:pPr>
        <w:pStyle w:val="8"/>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szCs w:val="28"/>
        </w:rPr>
      </w:pPr>
      <w:r>
        <w:rPr>
          <w:rFonts w:hint="eastAsia" w:ascii="仿宋" w:hAnsi="仿宋" w:eastAsia="仿宋" w:cs="仿宋"/>
          <w:kern w:val="2"/>
          <w:sz w:val="28"/>
          <w:szCs w:val="28"/>
        </w:rPr>
        <w:t>(4)运维交接不仅限于上述仪器设备，还包括电表位置、网络资源、站点所处单位(公司)等其它需注意的事项。</w:t>
      </w:r>
    </w:p>
    <w:p w14:paraId="62F23805">
      <w:pPr>
        <w:pStyle w:val="2"/>
        <w:pageBreakBefore w:val="0"/>
        <w:kinsoku/>
        <w:wordWrap/>
        <w:overflowPunct/>
        <w:topLinePunct w:val="0"/>
        <w:autoSpaceDE/>
        <w:autoSpaceDN/>
        <w:bidi w:val="0"/>
        <w:snapToGrid/>
        <w:spacing w:before="0" w:beforeAutospacing="0" w:after="0" w:afterAutospacing="0" w:line="440" w:lineRule="exact"/>
        <w:ind w:left="0" w:firstLine="643" w:firstLineChars="200"/>
        <w:jc w:val="both"/>
        <w:textAlignment w:val="auto"/>
        <w:rPr>
          <w:color w:val="auto"/>
        </w:rPr>
      </w:pPr>
      <w:r>
        <w:rPr>
          <w:rFonts w:hint="eastAsia"/>
          <w:color w:val="auto"/>
        </w:rPr>
        <w:t>2.运维工作开展具体要求</w:t>
      </w:r>
    </w:p>
    <w:p w14:paraId="06D7A4E2">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1" w:name="_Toc119346209"/>
      <w:r>
        <w:rPr>
          <w:rFonts w:hint="eastAsia"/>
          <w:color w:val="auto"/>
        </w:rPr>
        <w:t>2.1 每日运维工作要求【考核项目1】</w:t>
      </w:r>
      <w:bookmarkEnd w:id="1"/>
    </w:p>
    <w:p w14:paraId="444CBEA0">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每日不定时远程、及随时通过福建省环境空气质量智慧综合平台，查看与分析监测数据及仪器工作状态，判断仪器运行情况与系统数据、采集传输情况，发现异常时应及时报告（报告方式：电话、微信、电子文件等）并对仪器相关部件进行维护或更换；</w:t>
      </w:r>
    </w:p>
    <w:p w14:paraId="72AF4C91">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每日审核前1日监测点位原始小时值。</w:t>
      </w:r>
    </w:p>
    <w:p w14:paraId="7B4B0711">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2" w:name="_Toc119346210"/>
      <w:r>
        <w:rPr>
          <w:rFonts w:hint="eastAsia"/>
          <w:color w:val="auto"/>
        </w:rPr>
        <w:t>2.2 每周运维工作要求【考核项目2】</w:t>
      </w:r>
      <w:bookmarkEnd w:id="2"/>
    </w:p>
    <w:p w14:paraId="10AFF74D">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每周至少巡视站点１次，并做好巡查记录，巡检时需要检查与完成的工作包括：</w:t>
      </w:r>
    </w:p>
    <w:p w14:paraId="572710DE">
      <w:pPr>
        <w:pStyle w:val="4"/>
        <w:keepNext w:val="0"/>
        <w:keepLines w:val="0"/>
        <w:pageBreakBefore w:val="0"/>
        <w:kinsoku/>
        <w:wordWrap/>
        <w:overflowPunct/>
        <w:topLinePunct w:val="0"/>
        <w:autoSpaceDE/>
        <w:autoSpaceDN/>
        <w:bidi w:val="0"/>
        <w:snapToGrid/>
        <w:spacing w:before="0" w:beforeAutospacing="0" w:after="0" w:afterAutospacing="0" w:line="440" w:lineRule="exact"/>
        <w:ind w:left="0" w:firstLine="562" w:firstLineChars="200"/>
        <w:jc w:val="both"/>
        <w:textAlignment w:val="auto"/>
        <w:rPr>
          <w:rFonts w:ascii="宋体" w:hAnsi="宋体" w:eastAsia="宋体"/>
          <w:bCs w:val="0"/>
        </w:rPr>
      </w:pPr>
      <w:bookmarkStart w:id="3" w:name="_Toc119346211"/>
      <w:r>
        <w:rPr>
          <w:rFonts w:hint="eastAsia" w:ascii="宋体" w:hAnsi="宋体" w:eastAsia="宋体"/>
          <w:bCs w:val="0"/>
        </w:rPr>
        <w:t>2.2.1 站房总体检查与运维</w:t>
      </w:r>
      <w:bookmarkEnd w:id="3"/>
    </w:p>
    <w:p w14:paraId="39811FCA">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每周对站房进行如下的总体检查：</w:t>
      </w:r>
    </w:p>
    <w:p w14:paraId="242C286F">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站房温度保持在25℃±5℃范围内，相对湿度保持在80%以下，并防止采样装置出现冷凝水；在冬、夏季节应注意站房内外温差，应及时调整站房温度或对采样管采取适当的温控措施，防止因温差造成采样装置出现冷凝水的现象；</w:t>
      </w:r>
    </w:p>
    <w:p w14:paraId="3E7B5347">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站房排风排气装置工作是否正常；</w:t>
      </w:r>
    </w:p>
    <w:p w14:paraId="51301001">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数据采集、传输与网络通讯是否正常；</w:t>
      </w:r>
    </w:p>
    <w:p w14:paraId="140B6F72">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各种仪器设备、运维工具、仪器耗材、备件是否完好齐全；</w:t>
      </w:r>
    </w:p>
    <w:p w14:paraId="2BF7BB8A">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空调、电源等辅助设备的运行状况是否正常；站房空调机的过滤网是否清洁，必要时进行清洗；</w:t>
      </w:r>
    </w:p>
    <w:p w14:paraId="42DEC6C9">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各种消防、安全设施是否完好齐全；</w:t>
      </w:r>
    </w:p>
    <w:p w14:paraId="17F364EB">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清除站房周围的杂草和积水；</w:t>
      </w:r>
    </w:p>
    <w:p w14:paraId="0D8173B9">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避雷设施是否正常，子站房屋是否漏雨，气象杆是否损坏；站房外围的其他设施是否损坏或被水淹，如遇到以上问题应及时处理，保证系统安全运行。结合气象预报，在大风、强降水天气来临前，进行站房安全预防性检查，保证站房安全；</w:t>
      </w:r>
    </w:p>
    <w:p w14:paraId="63D0232C">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对气象仪器运行情况进行检查；</w:t>
      </w:r>
    </w:p>
    <w:p w14:paraId="6E40AB63">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巡查情况记录是否完整；</w:t>
      </w:r>
    </w:p>
    <w:p w14:paraId="396BFFE6">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检查过程中发现不符合要求或异常情况应及时开展维护、维修并作好记录。</w:t>
      </w:r>
    </w:p>
    <w:p w14:paraId="20D45016">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重污染天气过程结束后及时清洗采样系统管路。</w:t>
      </w:r>
    </w:p>
    <w:p w14:paraId="32AB7452">
      <w:pPr>
        <w:pStyle w:val="4"/>
        <w:keepNext w:val="0"/>
        <w:keepLines w:val="0"/>
        <w:pageBreakBefore w:val="0"/>
        <w:kinsoku/>
        <w:wordWrap/>
        <w:overflowPunct/>
        <w:topLinePunct w:val="0"/>
        <w:autoSpaceDE/>
        <w:autoSpaceDN/>
        <w:bidi w:val="0"/>
        <w:snapToGrid/>
        <w:spacing w:before="0" w:beforeAutospacing="0" w:after="0" w:afterAutospacing="0" w:line="440" w:lineRule="exact"/>
        <w:ind w:left="0" w:firstLine="562" w:firstLineChars="200"/>
        <w:jc w:val="both"/>
        <w:textAlignment w:val="auto"/>
        <w:rPr>
          <w:rFonts w:ascii="宋体" w:hAnsi="宋体" w:eastAsia="宋体"/>
          <w:bCs w:val="0"/>
        </w:rPr>
      </w:pPr>
      <w:bookmarkStart w:id="4" w:name="_Toc119346212"/>
      <w:r>
        <w:rPr>
          <w:rFonts w:hint="eastAsia" w:ascii="宋体" w:hAnsi="宋体" w:eastAsia="宋体"/>
          <w:bCs w:val="0"/>
        </w:rPr>
        <w:t>2.2.2 颗粒物监测仪器检查与运维</w:t>
      </w:r>
      <w:bookmarkEnd w:id="4"/>
    </w:p>
    <w:p w14:paraId="38F33CC2">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颗粒物监测仪器应检查工作参数和运行状态是否正常，采样头、采样管是否完好，及时对缓冲瓶内积水进行清理。</w:t>
      </w:r>
    </w:p>
    <w:p w14:paraId="02D2A816">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β射线法仪器每周检查纸带，判断纸带位置是否正常，采样斑点是否圆滑、均匀、完整；检查纸带剩余长度，如长度不足时应提前更换。在污染较重的季节或连续污染天气后β射线仪器的压头及纸带下的垫块应增加清洁频次；应使用棉签棒蘸无水乙醇进行清洁。</w:t>
      </w:r>
    </w:p>
    <w:p w14:paraId="02A6AF3C">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β射线法仪器每周检查颗粒物监测仪器的加热装置与加热温度是否正常；每周对仪器时钟进行检查并及时调准时钟，即仪器时钟、工控机时钟应同步并与标准时间一致，以确保福建省环境空气质量智慧综合平台数据采集不错位。</w:t>
      </w:r>
    </w:p>
    <w:p w14:paraId="410AEE84">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检查过程中发现不符合要求或异常情况应及时开展维护维修并作好记录。</w:t>
      </w:r>
    </w:p>
    <w:p w14:paraId="07B7284C">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5" w:name="_Toc119346214"/>
      <w:r>
        <w:rPr>
          <w:rFonts w:hint="eastAsia"/>
          <w:color w:val="auto"/>
        </w:rPr>
        <w:t>2.3 每两周运维工作要求【考核项目3】</w:t>
      </w:r>
      <w:bookmarkEnd w:id="5"/>
    </w:p>
    <w:p w14:paraId="2F126380">
      <w:pPr>
        <w:pStyle w:val="4"/>
        <w:keepNext w:val="0"/>
        <w:keepLines w:val="0"/>
        <w:pageBreakBefore w:val="0"/>
        <w:kinsoku/>
        <w:wordWrap/>
        <w:overflowPunct/>
        <w:topLinePunct w:val="0"/>
        <w:autoSpaceDE/>
        <w:autoSpaceDN/>
        <w:bidi w:val="0"/>
        <w:snapToGrid/>
        <w:spacing w:before="0" w:beforeAutospacing="0" w:after="0" w:afterAutospacing="0" w:line="440" w:lineRule="exact"/>
        <w:ind w:left="0" w:firstLine="562" w:firstLineChars="200"/>
        <w:jc w:val="both"/>
        <w:textAlignment w:val="auto"/>
        <w:rPr>
          <w:rFonts w:ascii="宋体" w:hAnsi="宋体" w:eastAsia="宋体"/>
          <w:bCs w:val="0"/>
        </w:rPr>
      </w:pPr>
      <w:bookmarkStart w:id="6" w:name="_Toc119346215"/>
      <w:r>
        <w:rPr>
          <w:rFonts w:hint="eastAsia" w:ascii="宋体" w:hAnsi="宋体" w:eastAsia="宋体"/>
          <w:bCs w:val="0"/>
        </w:rPr>
        <w:t>2.3.1 气态污染物监测仪器检查与运维</w:t>
      </w:r>
      <w:bookmarkEnd w:id="6"/>
    </w:p>
    <w:p w14:paraId="2917804C">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更换和清洁仪器设备中的过滤装置，采样支管与监测仪器连接处的颗粒物过滤膜一般情况下每 2 周更换 1 次，颗粒物浓度较高地区或浓度较高季节，应视颗粒物过滤膜实际污染情况加大更换频次。</w:t>
      </w:r>
    </w:p>
    <w:p w14:paraId="0634FF69">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7" w:name="_Toc119346216"/>
      <w:r>
        <w:rPr>
          <w:rFonts w:hint="eastAsia"/>
          <w:color w:val="auto"/>
        </w:rPr>
        <w:t>2.4每月运维工作要求【考核项目4】</w:t>
      </w:r>
      <w:bookmarkEnd w:id="7"/>
    </w:p>
    <w:p w14:paraId="7D197F01">
      <w:pPr>
        <w:pStyle w:val="4"/>
        <w:keepNext w:val="0"/>
        <w:keepLines w:val="0"/>
        <w:pageBreakBefore w:val="0"/>
        <w:kinsoku/>
        <w:wordWrap/>
        <w:overflowPunct/>
        <w:topLinePunct w:val="0"/>
        <w:autoSpaceDE/>
        <w:autoSpaceDN/>
        <w:bidi w:val="0"/>
        <w:snapToGrid/>
        <w:spacing w:before="0" w:beforeAutospacing="0" w:after="0" w:afterAutospacing="0" w:line="440" w:lineRule="exact"/>
        <w:ind w:left="0" w:firstLine="562" w:firstLineChars="200"/>
        <w:jc w:val="both"/>
        <w:textAlignment w:val="auto"/>
        <w:rPr>
          <w:rFonts w:ascii="宋体" w:hAnsi="宋体" w:eastAsia="宋体"/>
          <w:bCs w:val="0"/>
        </w:rPr>
      </w:pPr>
      <w:bookmarkStart w:id="8" w:name="_Toc119346217"/>
      <w:r>
        <w:rPr>
          <w:rFonts w:hint="eastAsia" w:ascii="宋体" w:hAnsi="宋体" w:eastAsia="宋体"/>
          <w:bCs w:val="0"/>
        </w:rPr>
        <w:t>2.4.1 颗粒物监测仪器检查与运维</w:t>
      </w:r>
      <w:bookmarkEnd w:id="8"/>
    </w:p>
    <w:p w14:paraId="3C3E06DA">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每月清洗一次采样头；若遇到重污染过程或沙尘天气，还应在污染过程结束后及时清洁采样头；在受到植物飞絮、飞虫影响的季节，应增加采样头的检查和清洁频次；清洁时，应完全拆开采样头和 PM2.5切割器，用蒸馏水或者无水乙醇清洁，完全晾干或用风机吹干后重新组装，组装时应检查密封圈的密封情况；</w:t>
      </w:r>
    </w:p>
    <w:p w14:paraId="2F6AC668">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β射线法仪器每周检查颗粒物监测仪器的加热装置与加热温度是否正常；每周对仪器时钟进行检查并及时调准时钟，以确保省云平台数据采集不错位；如仪器与数据采集仪连接，应同时检查数据采集仪的时钟；每月开展气路检漏，更换纸带或者清洁垫块也应检漏；检漏时仪器示值流量≤1.0 L/min则通过检查；当示值流量＞1.0 L/min 时，表明存在泄漏，需排查并解决泄漏问题，直至通过检查。每月开展流量检查，实测流量与设定流量的误差应在±5%范 围内，且示值流量与实测流量的误差应在±2%范围内；当实测流量与设定流量的误差超过±5%，或示值流量与实测流量的误差超过±2%时，须对流量进行校准，校准后流量误差不超过设定流量的±2%。</w:t>
      </w:r>
    </w:p>
    <w:p w14:paraId="01297198">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9" w:name="_Toc119346219"/>
      <w:r>
        <w:rPr>
          <w:rFonts w:hint="eastAsia"/>
          <w:color w:val="auto"/>
        </w:rPr>
        <w:t>2.5 每季度运维工作要求【考核项目5】</w:t>
      </w:r>
      <w:bookmarkEnd w:id="9"/>
    </w:p>
    <w:p w14:paraId="39FD719A">
      <w:pPr>
        <w:pStyle w:val="4"/>
        <w:keepNext w:val="0"/>
        <w:keepLines w:val="0"/>
        <w:pageBreakBefore w:val="0"/>
        <w:kinsoku/>
        <w:wordWrap/>
        <w:overflowPunct/>
        <w:topLinePunct w:val="0"/>
        <w:autoSpaceDE/>
        <w:autoSpaceDN/>
        <w:bidi w:val="0"/>
        <w:snapToGrid/>
        <w:spacing w:before="0" w:beforeAutospacing="0" w:after="0" w:afterAutospacing="0" w:line="440" w:lineRule="exact"/>
        <w:ind w:left="0" w:firstLine="562" w:firstLineChars="200"/>
        <w:jc w:val="both"/>
        <w:textAlignment w:val="auto"/>
        <w:rPr>
          <w:rFonts w:ascii="宋体" w:hAnsi="宋体" w:eastAsia="宋体"/>
          <w:bCs w:val="0"/>
        </w:rPr>
      </w:pPr>
      <w:bookmarkStart w:id="10" w:name="_Toc119346220"/>
      <w:r>
        <w:rPr>
          <w:rFonts w:hint="eastAsia" w:ascii="宋体" w:hAnsi="宋体" w:eastAsia="宋体"/>
          <w:bCs w:val="0"/>
        </w:rPr>
        <w:t>2.5.1 站房总体检查与运维</w:t>
      </w:r>
      <w:bookmarkEnd w:id="10"/>
    </w:p>
    <w:p w14:paraId="60AB7AFD">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每季度对监测数据进行备份。</w:t>
      </w:r>
    </w:p>
    <w:p w14:paraId="65ABE5A1">
      <w:pPr>
        <w:pStyle w:val="4"/>
        <w:keepNext w:val="0"/>
        <w:keepLines w:val="0"/>
        <w:pageBreakBefore w:val="0"/>
        <w:kinsoku/>
        <w:wordWrap/>
        <w:overflowPunct/>
        <w:topLinePunct w:val="0"/>
        <w:autoSpaceDE/>
        <w:autoSpaceDN/>
        <w:bidi w:val="0"/>
        <w:snapToGrid/>
        <w:spacing w:before="0" w:beforeAutospacing="0" w:after="0" w:afterAutospacing="0" w:line="440" w:lineRule="exact"/>
        <w:ind w:left="0" w:firstLine="562" w:firstLineChars="200"/>
        <w:jc w:val="both"/>
        <w:textAlignment w:val="auto"/>
        <w:rPr>
          <w:rFonts w:ascii="宋体" w:hAnsi="宋体" w:eastAsia="宋体"/>
          <w:bCs w:val="0"/>
        </w:rPr>
      </w:pPr>
      <w:bookmarkStart w:id="11" w:name="_Toc119346221"/>
      <w:r>
        <w:rPr>
          <w:rFonts w:hint="eastAsia" w:ascii="宋体" w:hAnsi="宋体" w:eastAsia="宋体"/>
          <w:bCs w:val="0"/>
        </w:rPr>
        <w:t>2.5.2 颗粒物监测仪器检查与运维</w:t>
      </w:r>
      <w:bookmarkEnd w:id="11"/>
    </w:p>
    <w:p w14:paraId="495DD4D4">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β射线法仪器每季度进行气温测量结果检查，仪器显示温度与实测温度的误差应在±2℃范围内，当仪器显示温度与实测温度的误差超过±2℃时，应对温度进行校准；每季度进行气压测量结果检查，仪器显示气压与实测气压的误差应在±1 kPa 范围内，当仪器显示气压与实测气压的误差超过±1 kPa 时，应对气压进行校准。</w:t>
      </w:r>
    </w:p>
    <w:p w14:paraId="655C6EB6">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12" w:name="_Toc119346223"/>
      <w:r>
        <w:rPr>
          <w:rFonts w:hint="eastAsia"/>
          <w:color w:val="auto"/>
        </w:rPr>
        <w:t>2.6 ▲每半年运维工作要求【考核项目6】</w:t>
      </w:r>
      <w:bookmarkEnd w:id="12"/>
    </w:p>
    <w:p w14:paraId="09343F10">
      <w:pPr>
        <w:pStyle w:val="4"/>
        <w:keepNext w:val="0"/>
        <w:keepLines w:val="0"/>
        <w:pageBreakBefore w:val="0"/>
        <w:kinsoku/>
        <w:wordWrap/>
        <w:overflowPunct/>
        <w:topLinePunct w:val="0"/>
        <w:autoSpaceDE/>
        <w:autoSpaceDN/>
        <w:bidi w:val="0"/>
        <w:snapToGrid/>
        <w:spacing w:before="0" w:beforeAutospacing="0" w:after="0" w:afterAutospacing="0" w:line="440" w:lineRule="exact"/>
        <w:ind w:left="0" w:firstLine="562" w:firstLineChars="200"/>
        <w:jc w:val="both"/>
        <w:textAlignment w:val="auto"/>
        <w:rPr>
          <w:rFonts w:ascii="宋体" w:hAnsi="宋体" w:eastAsia="宋体"/>
          <w:bCs w:val="0"/>
        </w:rPr>
      </w:pPr>
      <w:bookmarkStart w:id="13" w:name="_Toc119346224"/>
      <w:r>
        <w:rPr>
          <w:rFonts w:hint="eastAsia" w:ascii="宋体" w:hAnsi="宋体" w:eastAsia="宋体"/>
          <w:bCs w:val="0"/>
        </w:rPr>
        <w:t>2.6.1 颗粒物监测仪器检查与运维</w:t>
      </w:r>
      <w:bookmarkEnd w:id="13"/>
    </w:p>
    <w:p w14:paraId="3002BAD9">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β射线法仪器每半年进行1次标准膜检查（配备外置校准膜的β射线法仪器），检查结果与标准膜的标称值误差应在±2%范围内；每半年进行1次仪器内部的气体湿度传感器检查；仪器读数与标准湿度计读数的误差应在±4%范 围内，超过±4%时应进行校准；每半年进行1次数据一致性检查，数据采集仪记录数据和仪器显示或存储监测结果一致性检查，当存在明显差别时，应检查仪器和数据采集仪参数设置是否正常，若使用模拟信号输出，两者相差应在±1 μg/m3范围内。模拟输出数据应与时间、量程范围相匹配；每次更换仪器后均应进行数据一致性检查。</w:t>
      </w:r>
    </w:p>
    <w:p w14:paraId="1B8335B8">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14" w:name="_Toc119346226"/>
      <w:r>
        <w:rPr>
          <w:rFonts w:hint="eastAsia"/>
          <w:color w:val="auto"/>
        </w:rPr>
        <w:t>2.7 每年运维工作要求【考核项目7】</w:t>
      </w:r>
      <w:bookmarkEnd w:id="14"/>
    </w:p>
    <w:p w14:paraId="59B01685">
      <w:pPr>
        <w:pStyle w:val="4"/>
        <w:keepNext w:val="0"/>
        <w:keepLines w:val="0"/>
        <w:pageBreakBefore w:val="0"/>
        <w:kinsoku/>
        <w:wordWrap/>
        <w:overflowPunct/>
        <w:topLinePunct w:val="0"/>
        <w:autoSpaceDE/>
        <w:autoSpaceDN/>
        <w:bidi w:val="0"/>
        <w:snapToGrid/>
        <w:spacing w:before="0" w:beforeAutospacing="0" w:after="0" w:afterAutospacing="0" w:line="440" w:lineRule="exact"/>
        <w:ind w:left="0" w:firstLine="562" w:firstLineChars="200"/>
        <w:jc w:val="both"/>
        <w:textAlignment w:val="auto"/>
        <w:rPr>
          <w:rFonts w:ascii="宋体" w:hAnsi="宋体" w:eastAsia="宋体"/>
          <w:bCs w:val="0"/>
        </w:rPr>
      </w:pPr>
      <w:bookmarkStart w:id="15" w:name="_Toc119346227"/>
      <w:r>
        <w:rPr>
          <w:rFonts w:hint="eastAsia" w:ascii="宋体" w:hAnsi="宋体" w:eastAsia="宋体"/>
          <w:bCs w:val="0"/>
        </w:rPr>
        <w:t>2.7.1、颗粒物监测仪器检查与运维</w:t>
      </w:r>
      <w:bookmarkEnd w:id="15"/>
    </w:p>
    <w:p w14:paraId="7DE236A7">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 xml:space="preserve">每年对采样管路至少进行一次清洁。污染较重地区采样管路可增加清洁频次。采样管清洁后必须进行气密性检查，并进行采样流量校准。每年至少进行1次的准确度审核，对环境空气连续自动监测系统进行外部质量控制，审核人员不从事所审核仪器的日 常操作和维护。用于准确度审核的流量计、温度计、气压计等不得用于日常的质量控制，准确度审核工作内容与要求如下： </w:t>
      </w:r>
    </w:p>
    <w:p w14:paraId="537839E7">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流量审核：实测流量与设定流量的误差应在±5%范围内，与示值流量误差在±2%范围内；</w:t>
      </w:r>
    </w:p>
    <w:p w14:paraId="7CC46D05">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气温审核：仪器显示温度与实测温度的误差应在±2℃范围内。每年进行一次。</w:t>
      </w:r>
    </w:p>
    <w:p w14:paraId="71197256">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气压审核：仪器显示气压与实测气压的误差应在±1 kPa 范围内。每年进行一次。</w:t>
      </w:r>
    </w:p>
    <w:p w14:paraId="00FBA3F7">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湿度审核：仪器显示湿度与实测湿度的误差应在±4%范围内。每年进行一次。</w:t>
      </w:r>
    </w:p>
    <w:p w14:paraId="7AB55D93">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 xml:space="preserve">环境空气颗粒物自动监测仪器准确度审核，以 HJ 618 为参比方法，采用审核采样器进行准确度审核。每年至少进行一次准确度审核，每次有效数据不少于 5 个日均值（每日有效采样时间不少于 20 小时），以数据质量目标作为评价依据，每日自动监测数据与手工监测数据的相对偏差均应达到数据质量目标。偏离要求时，应对颗粒物连续自动监测系统进行检查与维修，重新与参比方法比对，直到满足准确度审核指标。 </w:t>
      </w:r>
    </w:p>
    <w:p w14:paraId="55636965">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16" w:name="_Toc119346229"/>
      <w:r>
        <w:rPr>
          <w:rFonts w:hint="eastAsia"/>
          <w:color w:val="auto"/>
        </w:rPr>
        <w:t>2.8 特定频次的运维工作要求【考核项目8】</w:t>
      </w:r>
      <w:bookmarkEnd w:id="16"/>
    </w:p>
    <w:p w14:paraId="18A58466">
      <w:pPr>
        <w:pStyle w:val="4"/>
        <w:keepNext w:val="0"/>
        <w:keepLines w:val="0"/>
        <w:pageBreakBefore w:val="0"/>
        <w:kinsoku/>
        <w:wordWrap/>
        <w:overflowPunct/>
        <w:topLinePunct w:val="0"/>
        <w:autoSpaceDE/>
        <w:autoSpaceDN/>
        <w:bidi w:val="0"/>
        <w:snapToGrid/>
        <w:spacing w:before="0" w:beforeAutospacing="0" w:after="0" w:afterAutospacing="0" w:line="440" w:lineRule="exact"/>
        <w:ind w:left="0" w:firstLine="562" w:firstLineChars="200"/>
        <w:jc w:val="both"/>
        <w:textAlignment w:val="auto"/>
        <w:rPr>
          <w:rFonts w:ascii="宋体" w:hAnsi="宋体" w:eastAsia="宋体"/>
          <w:bCs w:val="0"/>
        </w:rPr>
      </w:pPr>
      <w:bookmarkStart w:id="17" w:name="_Toc119346230"/>
      <w:r>
        <w:rPr>
          <w:rFonts w:hint="eastAsia" w:ascii="宋体" w:hAnsi="宋体" w:eastAsia="宋体"/>
          <w:bCs w:val="0"/>
        </w:rPr>
        <w:t>2.8.1 颗粒物监测仪器检查与运维</w:t>
      </w:r>
      <w:bookmarkEnd w:id="17"/>
    </w:p>
    <w:p w14:paraId="577FE518">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按仪器说明书规定的其它维护与质控内容；如发生故障，根据仪器厂商提供的维修手册要求，开展故障判断和检修；对于在现场能够诊断明确，并且可以通过简单更换备件解决的仪器故障，应及时检修并尽快恢复正常运行；对于不能在现场完成故障检修的仪器，应送至系统支持实验室进行检查和维修，并及时采用备用仪器开展监测。每次故障检修完成后，应对仪器进行校准；每次故障检修完成后，应对检修、校准和测试情况进行记录并存档。</w:t>
      </w:r>
    </w:p>
    <w:p w14:paraId="3C747234">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18" w:name="_Toc119346232"/>
      <w:r>
        <w:rPr>
          <w:rFonts w:hint="eastAsia"/>
          <w:color w:val="auto"/>
        </w:rPr>
        <w:t>2.9 ▲量值溯源与量值传递器具配备要求【考核项目9】</w:t>
      </w:r>
      <w:bookmarkEnd w:id="18"/>
    </w:p>
    <w:p w14:paraId="5BD8D8BE">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中标方需应按《环境空气颗粒物（PM10和PM2.5）连续自动监测系统运行和质控技术规范 HJ817-2018》等规定配备用于量值传递的计量器具，包括但不限于流量计、气压表、压力计、真空表、温度计等计量器具并按规定频次开展检定与校准。</w:t>
      </w:r>
    </w:p>
    <w:p w14:paraId="082B057C">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 xml:space="preserve">中标方需提供所有站房仪器量值溯源证书，证书或报告应有效期应覆盖运维工作全时段。 </w:t>
      </w:r>
    </w:p>
    <w:p w14:paraId="08864A63">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中标人负责各项标准物质、器具的管理，用于量值传递的计量器具检定、校准等证书应集中归档。颗粒物量值传递与溯源装置标准膜的校准采用百万分之一天平校准，标准滤膜应存放在干燥处。</w:t>
      </w:r>
    </w:p>
    <w:p w14:paraId="1991E0F1">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19" w:name="_Toc119346233"/>
      <w:r>
        <w:rPr>
          <w:rFonts w:hint="eastAsia"/>
          <w:color w:val="auto"/>
        </w:rPr>
        <w:t>2.10 运维工作所需配件与耗材的管理要求【考核项目10】</w:t>
      </w:r>
      <w:bookmarkEnd w:id="19"/>
    </w:p>
    <w:p w14:paraId="610052C9">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所有涉及运维中使用的耗材、配件的原件和使用件均需妥善保存，并登记造册，做到帐、物一致、可核查。</w:t>
      </w:r>
    </w:p>
    <w:p w14:paraId="715BA0D5">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20" w:name="_Toc119346234"/>
      <w:r>
        <w:rPr>
          <w:rFonts w:hint="eastAsia"/>
          <w:color w:val="auto"/>
        </w:rPr>
        <w:t>2.11 运维使用备机的性能要求【考核项目11】</w:t>
      </w:r>
      <w:bookmarkEnd w:id="20"/>
    </w:p>
    <w:p w14:paraId="31532752">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如仪器故障，能提供与原仪器原理一致的备机，供采购人应急使用，并且所提供的备机型号须列入国家环境监测总站环境空气自动监测系统适用性检测合格名录。</w:t>
      </w:r>
    </w:p>
    <w:p w14:paraId="101C7022">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21" w:name="_Toc119346235"/>
      <w:r>
        <w:rPr>
          <w:rFonts w:hint="eastAsia"/>
          <w:color w:val="auto"/>
        </w:rPr>
        <w:t>2.12 站房防雷检测工作要求【考核项目12】</w:t>
      </w:r>
      <w:bookmarkEnd w:id="21"/>
    </w:p>
    <w:p w14:paraId="443A470C">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在站点运维周期前1/3左右的时间点，做站房好防雷检测，发现问题及时修理，并上报采购人。</w:t>
      </w:r>
    </w:p>
    <w:p w14:paraId="3051ACC3">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22" w:name="_Toc119346236"/>
      <w:r>
        <w:rPr>
          <w:rFonts w:hint="eastAsia"/>
          <w:color w:val="auto"/>
        </w:rPr>
        <w:t>2.13 站房安全检查要求【考核项目13】</w:t>
      </w:r>
      <w:bookmarkEnd w:id="22"/>
    </w:p>
    <w:p w14:paraId="69A90843">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经常检查站房防雷设施，确保保持完好，对未达到防雷或消防站房安全防护设施的要求进行改造升级。如果运营期间未保证防雷设施完好造成雷击，站房所有仪器设备损坏均由中标人负责更换或维修。需配备适用于精密仪器使用的灭火器材，负责定期更换，保持在有效期内。灭火器未定期更换，如未保持在有效期内的，对未达到消防站房安全防护设施的要求需配备站房安全防护设施。</w:t>
      </w:r>
    </w:p>
    <w:p w14:paraId="4FBB7499">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按《环境空气自动监测质量现场（自查）检查评分表》进行自行检查，配合上级部门开展的各类环境空气质量飞行检查。配合上级部门开展颗粒物手工比对和挥发性有机污染物的采样工作</w:t>
      </w:r>
    </w:p>
    <w:p w14:paraId="3AA36D2D">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23" w:name="_Toc119346237"/>
      <w:r>
        <w:rPr>
          <w:rFonts w:hint="eastAsia"/>
          <w:color w:val="auto"/>
        </w:rPr>
        <w:t>2.14 站房维护与升级工作开展要求【考核项目14】</w:t>
      </w:r>
      <w:bookmarkEnd w:id="23"/>
    </w:p>
    <w:p w14:paraId="44415DC0">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土建部分（包括站房、电、防雷设施等）的所有物品或部件未及时更换或修复影响系统运行或造成不良影响，采购人可自行更换或修复，所发生的费用从运行管理及维护费中扣除。采购人可委托其它单位或人员修理，所发生的费用从中标人维护费内扣除。运营管理期间，如果采购人要改造或升级监测站的，中标人有义务配合工作。</w:t>
      </w:r>
    </w:p>
    <w:p w14:paraId="5F88239B">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24" w:name="_Toc119346238"/>
      <w:r>
        <w:rPr>
          <w:rFonts w:hint="eastAsia"/>
          <w:color w:val="auto"/>
        </w:rPr>
        <w:t>2.15 站房故障处置工作要求【考核项目15】</w:t>
      </w:r>
      <w:bookmarkEnd w:id="24"/>
    </w:p>
    <w:p w14:paraId="48A67080">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自动监测子站相关设备出现故障，电话响应时间为1小时；一般故障现场维修响应时间为3小时之内，要求及时调查并找出故障原因；24小时内修复或更换有故障的设备，恢复正常运行状态，能够连通并正常上传数据。如通信中断，数据传不到环境自动监测中心的点位，要赴点位现场维护，并及时联系通信公司协助解决通信故障。采购人可委托其它单位或人员修理，所发生的费用从中标人维护费内扣除。</w:t>
      </w:r>
    </w:p>
    <w:p w14:paraId="2AD9D089">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25" w:name="_Toc119346239"/>
      <w:r>
        <w:rPr>
          <w:rFonts w:hint="eastAsia"/>
          <w:color w:val="auto"/>
        </w:rPr>
        <w:t>2.16 数据传输保障与数据审核工作【考核项目16】</w:t>
      </w:r>
      <w:bookmarkEnd w:id="25"/>
    </w:p>
    <w:p w14:paraId="125BFD5D">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负责每日的数据审核报送、异常情况报备等上报数据的相关工作，中标人应在出现异常的第二天上午将相关情况说明及自动监测数据导出后传输给采购人。对传输中断等原因导致无数据或数据异常的，中标人应在出现异常的第二天早上10点前将相关情况书面说明的电子版传输给采购人。</w:t>
      </w:r>
    </w:p>
    <w:p w14:paraId="51D0B35B">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站房检测数据传输异常，运维方应做好站房内数据传输设备的维修或积极协助开展数据传输设备的维修工作。</w:t>
      </w:r>
    </w:p>
    <w:p w14:paraId="58EED544">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26" w:name="_Toc119346240"/>
      <w:r>
        <w:rPr>
          <w:rFonts w:hint="eastAsia"/>
          <w:color w:val="auto"/>
        </w:rPr>
        <w:t>2.17 缺失数据补录要求【考核项目17】</w:t>
      </w:r>
      <w:bookmarkEnd w:id="26"/>
    </w:p>
    <w:p w14:paraId="3DE3D078">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每天的12:00之前必须对因通讯或数采仪故障造成的前日数据缺失，进行人工补登，超过10站次未补录即中止与运行管理公司的合同。</w:t>
      </w:r>
    </w:p>
    <w:p w14:paraId="4C61CBC5">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27" w:name="_Toc119346241"/>
      <w:r>
        <w:rPr>
          <w:rFonts w:hint="eastAsia"/>
          <w:color w:val="auto"/>
        </w:rPr>
        <w:t>2.18 巡视中发现问题的处置与报送要求【考核项目18】</w:t>
      </w:r>
      <w:bookmarkEnd w:id="27"/>
    </w:p>
    <w:p w14:paraId="29E41AA4">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中标人应按要求做好相关的巡检记录。对于巡视中发现的问题，中标人应立即解决，并做好相应巡检和处理记录等；不能立即解决的问题，向采购人负责人汇报，并以书面形式说明故障原因及确定最佳的解决方案。</w:t>
      </w:r>
    </w:p>
    <w:p w14:paraId="16574B8F">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28" w:name="_Toc119346242"/>
      <w:r>
        <w:rPr>
          <w:rFonts w:hint="eastAsia"/>
          <w:color w:val="auto"/>
        </w:rPr>
        <w:t>2.19 特殊天气应对工作要求【考核项目19】</w:t>
      </w:r>
      <w:bookmarkEnd w:id="28"/>
    </w:p>
    <w:p w14:paraId="3B53872A">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遇到可能影响空气站运行的特殊天气情况如台风、雷电、暴雨等时，中标人应提前派人巡查做好防范工作，降低自然灾害对空气自动站的影响。并特殊天气结束后及时到达现场，对站房及所有仪器进行常规检查，确保正常运行。</w:t>
      </w:r>
    </w:p>
    <w:p w14:paraId="7A918F92">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29" w:name="_Toc119346243"/>
      <w:r>
        <w:rPr>
          <w:rFonts w:hint="eastAsia"/>
          <w:color w:val="auto"/>
        </w:rPr>
        <w:t>2.20 站房迎检工作要求【考核项目20】</w:t>
      </w:r>
      <w:bookmarkEnd w:id="29"/>
    </w:p>
    <w:p w14:paraId="3DB2D195">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按《环境空气自动监测质量现场（自查）检查评分表》进行自行检查，配合上级部门开展的各类环境空气质量飞行检查。配合上级部门开展运维质量监督检查、颗粒物手工比对的采样工作。</w:t>
      </w:r>
    </w:p>
    <w:p w14:paraId="53644FDF">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30" w:name="_Toc119346244"/>
      <w:r>
        <w:rPr>
          <w:rFonts w:hint="eastAsia"/>
          <w:color w:val="auto"/>
        </w:rPr>
        <w:t>2.21空气站仪器性能考核工作开展要求【考核项目21】</w:t>
      </w:r>
      <w:bookmarkEnd w:id="30"/>
    </w:p>
    <w:p w14:paraId="097AF431">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中标人每年应接受采购人对空气站进行仪器性能考核与质量审核工作，根据《环境空气颗粒物（PM10和PM2.5）连续自动监测系统运行和质控技术规范 HJ817-2018》等要求配合开展工作。性能考核与质量审核工作频次为每年2次，工作内容视采购人方要求而定。</w:t>
      </w:r>
    </w:p>
    <w:p w14:paraId="68E0A32E">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31" w:name="_Toc119346245"/>
      <w:r>
        <w:rPr>
          <w:rFonts w:hint="eastAsia"/>
          <w:color w:val="auto"/>
        </w:rPr>
        <w:t>2.22 ▲仪器停运、停机、替换备机管理要求【考核项目22】</w:t>
      </w:r>
      <w:bookmarkEnd w:id="31"/>
    </w:p>
    <w:p w14:paraId="3130CFAE">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全年365天（闰年366天）应连续运行，若停运超过 3 天以上，须上报备案，并采取有效措施及时恢复运行。需要主动停运的，须上报并获批准。</w:t>
      </w:r>
    </w:p>
    <w:p w14:paraId="78D54D06">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在日常运行中因仪器故障需要临时使用备用监测仪器开展监测，或因设备报废需要更新监测仪器的，须上报备案。</w:t>
      </w:r>
    </w:p>
    <w:p w14:paraId="57D0C8E6">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监测仪器应全力连续开机，在监测仪器设备校准、停电和设备故障，以及不可抗拒的因素导致的不能连续获得监测数据时，应采取有效的措施及时恢复。应避免为降低监测维护费用的目的，而出现人为停机的现象，除外部停电或遭雷击等其他不可抗拒的原因外，每半年出现 4 小时以上的停机次数应少于 2 次。</w:t>
      </w:r>
    </w:p>
    <w:p w14:paraId="7367026E">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32" w:name="_Toc119346246"/>
      <w:r>
        <w:rPr>
          <w:rFonts w:hint="eastAsia"/>
          <w:color w:val="auto"/>
        </w:rPr>
        <w:t>2.23 ★站房有效运行时间要求【考核项目23】</w:t>
      </w:r>
      <w:bookmarkEnd w:id="32"/>
    </w:p>
    <w:p w14:paraId="249355D5">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空气自动站每天各监测项目有不少于20个有效小时平均值。每站每月每个污染物有不少于27个（2月份25个）有效日评价值，每年有不少于12个有效月均值。以单站单项目考核，以半年度计算，若任一单项目的每半年多于18天无效（即平均每个月多于3天无效），即中止与中标人的合同。</w:t>
      </w:r>
    </w:p>
    <w:p w14:paraId="2F55C291">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33" w:name="_Toc119346247"/>
      <w:r>
        <w:rPr>
          <w:rFonts w:hint="eastAsia"/>
          <w:color w:val="auto"/>
        </w:rPr>
        <w:t>2.24 站房设备的交接与移交要求【考核项目24】</w:t>
      </w:r>
      <w:bookmarkEnd w:id="33"/>
    </w:p>
    <w:p w14:paraId="379A884C">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运营期开始前做好与前任运营商的交接，检查站房、所有仪器设备均能正常使用，方可交接。</w:t>
      </w:r>
    </w:p>
    <w:p w14:paraId="1EA84488">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合同结束前20日内，中标人须提交站</w:t>
      </w:r>
      <w:r>
        <w:rPr>
          <w:rFonts w:hint="eastAsia" w:ascii="仿宋" w:hAnsi="仿宋" w:eastAsia="仿宋" w:cs="仿宋"/>
          <w:kern w:val="2"/>
          <w:sz w:val="28"/>
          <w:lang w:eastAsia="zh-CN"/>
        </w:rPr>
        <w:t>点</w:t>
      </w:r>
      <w:r>
        <w:rPr>
          <w:rFonts w:hint="eastAsia" w:ascii="仿宋" w:hAnsi="仿宋" w:eastAsia="仿宋" w:cs="仿宋"/>
          <w:kern w:val="2"/>
          <w:sz w:val="28"/>
        </w:rPr>
        <w:t>运营状况总结报告，对于未修复的仪器，中标人须于计划结束后15日内完成修复，双方对站房设备和仪器性能进行验收，并经采购人确认后结案。报告内容包含下列各项：站</w:t>
      </w:r>
      <w:r>
        <w:rPr>
          <w:rFonts w:hint="eastAsia" w:ascii="仿宋" w:hAnsi="仿宋" w:eastAsia="仿宋" w:cs="仿宋"/>
          <w:kern w:val="2"/>
          <w:sz w:val="28"/>
          <w:lang w:eastAsia="zh-CN"/>
        </w:rPr>
        <w:t>点</w:t>
      </w:r>
      <w:r>
        <w:rPr>
          <w:rFonts w:hint="eastAsia" w:ascii="仿宋" w:hAnsi="仿宋" w:eastAsia="仿宋" w:cs="仿宋"/>
          <w:kern w:val="2"/>
          <w:sz w:val="28"/>
        </w:rPr>
        <w:t>仪器运行情况总结、各监测仪器可能潜在的问题及建议应在运维期结束前书面报告至采购人、气体使用状况、仪器故障未修复状况、采样滤膜或纸带使用估算、灭火器有效期限、站房安全危害与改善状况。</w:t>
      </w:r>
    </w:p>
    <w:p w14:paraId="5434A309">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34" w:name="_Toc119346248"/>
      <w:r>
        <w:rPr>
          <w:rFonts w:hint="eastAsia"/>
          <w:color w:val="auto"/>
        </w:rPr>
        <w:t>2.25 运维工作报告提交要求【考核项目25】</w:t>
      </w:r>
      <w:bookmarkEnd w:id="34"/>
    </w:p>
    <w:p w14:paraId="5194260D">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中标人需并定期向采购人提交监测站的运营报告，内容包含：综述、监测站参数达标结果总结、监测站质控任务总结表(数据获取率，校准执行等)、监测站站点突发事件说明、监测站校准结果和工作记录、监测站精密度和准确度校准结果表、监测站附录维护工作表及测试报告、结论与建议、采购人所规定其他条目。</w:t>
      </w:r>
    </w:p>
    <w:p w14:paraId="4474F161">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每月维护结束后10日内提交维护状况汇总统计表报告；</w:t>
      </w:r>
    </w:p>
    <w:p w14:paraId="08A2FD29">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每季维护结束后15日内提交季度维护报告（含各监测仪器可能潜在的问题及建议）；</w:t>
      </w:r>
    </w:p>
    <w:p w14:paraId="3882EDBC">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半年维护结束后15日内提交半年维护报告（含各监测仪器可能潜在的问题及建议）；</w:t>
      </w:r>
    </w:p>
    <w:p w14:paraId="08FD772C">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年维护结束后15日内提交年度维护报告（具体时间按合同执行，含各监测仪器可能潜在的问题及建议</w:t>
      </w:r>
      <w:r>
        <w:rPr>
          <w:rFonts w:ascii="仿宋" w:hAnsi="仿宋" w:eastAsia="仿宋" w:cs="仿宋"/>
          <w:kern w:val="2"/>
          <w:sz w:val="28"/>
        </w:rPr>
        <w:t>）</w:t>
      </w:r>
      <w:r>
        <w:rPr>
          <w:rFonts w:hint="eastAsia" w:ascii="仿宋" w:hAnsi="仿宋" w:eastAsia="仿宋" w:cs="仿宋"/>
          <w:kern w:val="2"/>
          <w:sz w:val="28"/>
        </w:rPr>
        <w:t>。</w:t>
      </w:r>
    </w:p>
    <w:p w14:paraId="1BFC1FB6">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35" w:name="_Toc119346249"/>
      <w:r>
        <w:rPr>
          <w:rFonts w:hint="eastAsia"/>
          <w:color w:val="auto"/>
        </w:rPr>
        <w:t>2.26 运维质量管理体系建设要求【考核项目26】</w:t>
      </w:r>
      <w:bookmarkEnd w:id="35"/>
    </w:p>
    <w:p w14:paraId="482981E7">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中标人应建立运维工作质量管理体系，建立本项目运维工作方案，明确运维工作人员配备，场所配置，设备设施管理要求、运维工作质量审核制度。</w:t>
      </w:r>
    </w:p>
    <w:p w14:paraId="056655B4">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shd w:val="clear" w:color="auto" w:fill="FFFFFF"/>
        </w:rPr>
      </w:pPr>
      <w:bookmarkStart w:id="36" w:name="_Toc119346250"/>
      <w:r>
        <w:rPr>
          <w:rFonts w:hint="eastAsia"/>
          <w:color w:val="auto"/>
          <w:shd w:val="clear" w:color="auto" w:fill="FFFFFF"/>
        </w:rPr>
        <w:t>2.27 对中标人运维工作安全、消防管理工作开展要求</w:t>
      </w:r>
      <w:r>
        <w:rPr>
          <w:color w:val="auto"/>
          <w:shd w:val="clear" w:color="auto" w:fill="FFFFFF"/>
        </w:rPr>
        <w:br w:type="textWrapping"/>
      </w:r>
      <w:r>
        <w:rPr>
          <w:rFonts w:hint="eastAsia"/>
          <w:color w:val="auto"/>
          <w:shd w:val="clear" w:color="auto" w:fill="FFFFFF"/>
        </w:rPr>
        <w:t>【考核项目27】</w:t>
      </w:r>
      <w:bookmarkEnd w:id="36"/>
    </w:p>
    <w:p w14:paraId="67664E3D">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 xml:space="preserve">在委托管理期间，中标人接受招标人代表的检查和考核。 </w:t>
      </w:r>
    </w:p>
    <w:p w14:paraId="4280D4C6">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在委托管理期间，中标人应承担仪器设备的保管责任。中标人必须遵守安全保卫制度，配备专职看守人员，配齐专用安全、消防等器材，保证仪器设备的安全。因为公司的保管责任导致仪器设备的丢失，公司应按照设备原价值赔偿或恢复原状。</w:t>
      </w:r>
    </w:p>
    <w:p w14:paraId="578DCCC5">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在委托管理期间，中标人应承担安全、消防等所有生产责任(不可抗力因素除外)。中标人应按安全生产有关规定，建立安全生产制度，切实消除安全隐患。</w:t>
      </w:r>
    </w:p>
    <w:p w14:paraId="4292C1DC">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37" w:name="_Toc119346251"/>
      <w:r>
        <w:rPr>
          <w:rFonts w:hint="eastAsia"/>
          <w:color w:val="auto"/>
        </w:rPr>
        <w:t>2.28 对中标方项目运维人员的管理要求【考核项目28】</w:t>
      </w:r>
      <w:bookmarkEnd w:id="37"/>
    </w:p>
    <w:p w14:paraId="2EDC3348">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本项目所需管理、技术人员及其他员工均由中标人负责派出。其中，项目经理和技术负责人及主要技术人员应符合各项要求。在委托管理期间，中标人拥有用人自主权，有权在计划数内招聘、辞退和奖罚员工。在委托管理期间，中标人应按照国家有关用人用工制度和劳动管理等法律法规进行人事管理；采购人对中标人员工人身安全、劳资纠纷概不负责。</w:t>
      </w:r>
    </w:p>
    <w:p w14:paraId="240FEAA6">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bookmarkStart w:id="38" w:name="_Toc119346252"/>
      <w:r>
        <w:rPr>
          <w:rFonts w:hint="eastAsia"/>
          <w:color w:val="auto"/>
        </w:rPr>
        <w:t>2.29 对中标方运维工作相关财务的管理要求【考核项目29】</w:t>
      </w:r>
      <w:bookmarkEnd w:id="38"/>
    </w:p>
    <w:p w14:paraId="5624950D">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中标人的财务管理范围是对本项目委托管理过程所发生的管理费用的财务管理。在委托管理期间，中标人应遵守国家有关财务会计法规对本项目财务管理进行单独列账核算，采购人有权对中标人本项目财务管理进行监督。</w:t>
      </w:r>
    </w:p>
    <w:p w14:paraId="3BFA1E5F">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本项目委托管理过程中需经采购人审核同意事项：派出的项目经理和技术负责人需中途更换；项目运行管理操作规范和规章制度；固定资产的增添、外购及维修费用支出等；项目人员数量的增减；监测参数的增减和监测分析方法的变更。</w:t>
      </w:r>
    </w:p>
    <w:p w14:paraId="3C16CB26">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r>
        <w:rPr>
          <w:rFonts w:hint="eastAsia"/>
          <w:color w:val="auto"/>
        </w:rPr>
        <w:t>2.30 ★同后一期运维交接等【考核项目30】</w:t>
      </w:r>
    </w:p>
    <w:p w14:paraId="0510BB50">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合同运维期限满时，中标方应同后一期运维中标方进行现场仪器设备与运维资料的交接，无特殊情况交接工作应在十个工作日内完成。</w:t>
      </w:r>
    </w:p>
    <w:p w14:paraId="4D755495">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若上级环保部门将该站点运维工作统一上收管理，则需在上级要求的时间范围内，与上级的运维中标方按要求</w:t>
      </w:r>
      <w:bookmarkStart w:id="40" w:name="_GoBack"/>
      <w:bookmarkEnd w:id="40"/>
      <w:r>
        <w:rPr>
          <w:rFonts w:hint="eastAsia" w:ascii="仿宋" w:hAnsi="仿宋" w:eastAsia="仿宋" w:cs="仿宋"/>
          <w:kern w:val="2"/>
          <w:sz w:val="28"/>
        </w:rPr>
        <w:t>进行现场仪器设备与运维资料的交接。</w:t>
      </w:r>
    </w:p>
    <w:p w14:paraId="07D35130">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运维交接不仅限于上述仪器设备，还包括电表位置、网络资源、站点所处单位(公司)资源等其它需注意的事项。</w:t>
      </w:r>
    </w:p>
    <w:p w14:paraId="7C56E754">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r>
        <w:rPr>
          <w:rFonts w:hint="eastAsia"/>
          <w:color w:val="auto"/>
        </w:rPr>
        <w:t>2.31 ★手工监测项目【考核项目31】</w:t>
      </w:r>
    </w:p>
    <w:p w14:paraId="12A623AA">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对站房所在楼顶的四个点位，进行手工降尘监测。如需委托，必须为有资质的第三方监测技术公司。按自然月完成，每个月10日之前提交上个月降尘监测报告，首月需提供第三方监测技术公司的CMA资质证明，后续若有变更第三方监测公司，也需提供CMA资质证明。</w:t>
      </w:r>
    </w:p>
    <w:p w14:paraId="013EDFAB">
      <w:pPr>
        <w:pStyle w:val="3"/>
        <w:pageBreakBefore w:val="0"/>
        <w:kinsoku/>
        <w:wordWrap/>
        <w:overflowPunct/>
        <w:topLinePunct w:val="0"/>
        <w:autoSpaceDE/>
        <w:autoSpaceDN/>
        <w:bidi w:val="0"/>
        <w:snapToGrid/>
        <w:spacing w:before="0" w:beforeAutospacing="0" w:after="0" w:afterAutospacing="0" w:line="440" w:lineRule="exact"/>
        <w:ind w:left="0" w:firstLine="542" w:firstLineChars="200"/>
        <w:jc w:val="both"/>
        <w:textAlignment w:val="auto"/>
        <w:rPr>
          <w:color w:val="auto"/>
        </w:rPr>
      </w:pPr>
      <w:r>
        <w:rPr>
          <w:rFonts w:hint="eastAsia"/>
          <w:color w:val="auto"/>
        </w:rPr>
        <w:t>2.32 站点其余日常事项【考核项目32】</w:t>
      </w:r>
    </w:p>
    <w:p w14:paraId="438AF5B5">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Z形梯及站房屋面防锈措施：每年需对站点的非不锈钢材料部分（含屋顶作业的承重栅格）的</w:t>
      </w:r>
      <w:r>
        <w:rPr>
          <w:rFonts w:hint="eastAsia" w:ascii="仿宋" w:hAnsi="仿宋" w:eastAsia="仿宋" w:cs="仿宋"/>
          <w:kern w:val="2"/>
          <w:sz w:val="28"/>
          <w:lang w:eastAsia="zh-CN"/>
        </w:rPr>
        <w:t>重新涂抹</w:t>
      </w:r>
      <w:r>
        <w:rPr>
          <w:rFonts w:hint="eastAsia" w:ascii="仿宋" w:hAnsi="仿宋" w:eastAsia="仿宋" w:cs="仿宋"/>
          <w:kern w:val="2"/>
          <w:sz w:val="28"/>
        </w:rPr>
        <w:t>“防锈防腐蚀漆”，频次为上下半年各一次，以防因长期腐蚀对站房造成安全隐患。</w:t>
      </w:r>
    </w:p>
    <w:p w14:paraId="2E4BE208">
      <w:pPr>
        <w:pStyle w:val="2"/>
        <w:pageBreakBefore w:val="0"/>
        <w:kinsoku/>
        <w:wordWrap/>
        <w:overflowPunct/>
        <w:topLinePunct w:val="0"/>
        <w:autoSpaceDE/>
        <w:autoSpaceDN/>
        <w:bidi w:val="0"/>
        <w:snapToGrid/>
        <w:spacing w:before="0" w:beforeAutospacing="0" w:after="0" w:afterAutospacing="0" w:line="440" w:lineRule="exact"/>
        <w:ind w:left="0" w:firstLine="643" w:firstLineChars="200"/>
        <w:jc w:val="both"/>
        <w:textAlignment w:val="auto"/>
        <w:rPr>
          <w:color w:val="auto"/>
        </w:rPr>
      </w:pPr>
      <w:bookmarkStart w:id="39" w:name="_Toc119346253"/>
      <w:r>
        <w:rPr>
          <w:rFonts w:hint="eastAsia"/>
          <w:color w:val="auto"/>
        </w:rPr>
        <w:t>3.考核、扣款事项</w:t>
      </w:r>
      <w:bookmarkEnd w:id="39"/>
    </w:p>
    <w:p w14:paraId="17D92BA9">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考核项目中：</w:t>
      </w:r>
    </w:p>
    <w:p w14:paraId="750077BC">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考核项目1未按要求完成，每站点每项每次扣100元；</w:t>
      </w:r>
    </w:p>
    <w:p w14:paraId="5EEEE80A">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考核项目2未按要求完成，每站点每项每次扣200元；</w:t>
      </w:r>
    </w:p>
    <w:p w14:paraId="7ADCC46B">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考核项目3未按要求完成，每站点每项每次扣300元；</w:t>
      </w:r>
    </w:p>
    <w:p w14:paraId="2E86104A">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考核项目4未按要求完成，每站点每项每次扣500元；</w:t>
      </w:r>
    </w:p>
    <w:p w14:paraId="5C43EDC9">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考核项目5未按要求完成，每站点每项每次扣1000元；</w:t>
      </w:r>
    </w:p>
    <w:p w14:paraId="037C08E9">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考核项目6未按要求完成，每站点每项每次扣2000元；</w:t>
      </w:r>
    </w:p>
    <w:p w14:paraId="6535928F">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考核项目7未按要求完成，每站点每项每次扣3000元；</w:t>
      </w:r>
    </w:p>
    <w:p w14:paraId="143857A7">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考核项目8未按要求完成，每站点每项每次扣3000元；</w:t>
      </w:r>
    </w:p>
    <w:p w14:paraId="1825EC91">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考核项目9未按要求完成，每站点每项每次扣2000元；</w:t>
      </w:r>
    </w:p>
    <w:p w14:paraId="5199ABED">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考核项目10未按要求完成，每站点每次扣500元；</w:t>
      </w:r>
    </w:p>
    <w:p w14:paraId="78D5BD00">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考核项目11未按要求完成，每站点每项每次扣2000元；</w:t>
      </w:r>
    </w:p>
    <w:p w14:paraId="00969827">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考核项目12未按要求完成，每站点每次扣2000元；</w:t>
      </w:r>
    </w:p>
    <w:p w14:paraId="2DB2995A">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考核项目13未按要求完成，除按要求完成损坏设备的更换与维修外，每站点每项每次扣1000元；</w:t>
      </w:r>
    </w:p>
    <w:p w14:paraId="3AB8F544">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考核项目14未按要求完成，每站点每项每次扣2000元；</w:t>
      </w:r>
    </w:p>
    <w:p w14:paraId="14A042F4">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考核项目15未按要求完成，每站点每次扣500元；</w:t>
      </w:r>
    </w:p>
    <w:p w14:paraId="6053D5F7">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考核项目16未按要求完成，每站点每次扣200元；</w:t>
      </w:r>
    </w:p>
    <w:p w14:paraId="614B50A5">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考核项目17未按要求完成，每站点每次扣2000元；</w:t>
      </w:r>
    </w:p>
    <w:p w14:paraId="02CF39F6">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考核项目18未按要求完成，每站点每项每次扣500元；</w:t>
      </w:r>
    </w:p>
    <w:p w14:paraId="56BE9FC1">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考核项目19未按要求完成，每站点每次扣500元；</w:t>
      </w:r>
    </w:p>
    <w:p w14:paraId="1741E64B">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考核项目20未按要求完成，每站点每项每次扣2000元；</w:t>
      </w:r>
    </w:p>
    <w:p w14:paraId="1F652647">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考核项目21未按要求完成，每站点每项每次扣2000元；</w:t>
      </w:r>
    </w:p>
    <w:p w14:paraId="5855535C">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考核项目22未按要求完成，每站点每次扣2000元；</w:t>
      </w:r>
    </w:p>
    <w:p w14:paraId="534C1BBB">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考核项目23未按要求完成，即中止与中标人的合同；</w:t>
      </w:r>
    </w:p>
    <w:p w14:paraId="0CF9BCAB">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考核项目24未按要求完成，每站点每项每次扣2000元；</w:t>
      </w:r>
    </w:p>
    <w:p w14:paraId="2194ED39">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考核项目25未按要求完成，每站点每项每次扣2000元；</w:t>
      </w:r>
    </w:p>
    <w:p w14:paraId="0762278D">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考核项目26未按要求完成，每站点扣2000元；</w:t>
      </w:r>
    </w:p>
    <w:p w14:paraId="33BE4047">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考核项目27未按要求完成，每站点每项扣500元；</w:t>
      </w:r>
    </w:p>
    <w:p w14:paraId="3D6509E4">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考核项目28未按要求完成，每站点每项每次扣2000元；</w:t>
      </w:r>
    </w:p>
    <w:p w14:paraId="1C55016B">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考核项目29未按要求配合的，每站点每次扣2000元；</w:t>
      </w:r>
    </w:p>
    <w:p w14:paraId="45B0A946">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考核项目30，做为末次付款要求，未完成的不进行付款；</w:t>
      </w:r>
    </w:p>
    <w:p w14:paraId="7FB4BC78">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考核项目31未按要求配合的，每站点每次扣2000元；；</w:t>
      </w:r>
    </w:p>
    <w:p w14:paraId="7BBF34EF">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考核项目32未按要求完成的，每发现一次500元。</w:t>
      </w:r>
    </w:p>
    <w:p w14:paraId="024FB8A1">
      <w:pPr>
        <w:pStyle w:val="2"/>
        <w:pageBreakBefore w:val="0"/>
        <w:kinsoku/>
        <w:wordWrap/>
        <w:overflowPunct/>
        <w:topLinePunct w:val="0"/>
        <w:autoSpaceDE/>
        <w:autoSpaceDN/>
        <w:bidi w:val="0"/>
        <w:snapToGrid/>
        <w:spacing w:before="0" w:beforeAutospacing="0" w:after="0" w:afterAutospacing="0" w:line="440" w:lineRule="exact"/>
        <w:ind w:left="0" w:firstLine="643" w:firstLineChars="200"/>
        <w:jc w:val="both"/>
        <w:textAlignment w:val="auto"/>
        <w:rPr>
          <w:color w:val="auto"/>
        </w:rPr>
      </w:pPr>
      <w:r>
        <w:rPr>
          <w:rFonts w:hint="eastAsia"/>
          <w:color w:val="auto"/>
        </w:rPr>
        <w:t>4.付费方式</w:t>
      </w:r>
    </w:p>
    <w:p w14:paraId="381E1317">
      <w:pPr>
        <w:pStyle w:val="13"/>
        <w:pageBreakBefore w:val="0"/>
        <w:kinsoku/>
        <w:wordWrap/>
        <w:overflowPunct/>
        <w:topLinePunct w:val="0"/>
        <w:autoSpaceDE/>
        <w:autoSpaceDN/>
        <w:bidi w:val="0"/>
        <w:adjustRightInd w:val="0"/>
        <w:snapToGrid/>
        <w:spacing w:beforeAutospacing="0" w:afterAutospacing="0" w:line="440" w:lineRule="exact"/>
        <w:ind w:left="0" w:firstLine="560" w:firstLineChars="200"/>
        <w:jc w:val="both"/>
        <w:textAlignment w:val="auto"/>
        <w:rPr>
          <w:rFonts w:ascii="仿宋" w:hAnsi="仿宋" w:eastAsia="仿宋" w:cs="仿宋"/>
          <w:kern w:val="2"/>
          <w:sz w:val="28"/>
        </w:rPr>
      </w:pPr>
      <w:r>
        <w:rPr>
          <w:rFonts w:hint="eastAsia" w:ascii="仿宋" w:hAnsi="仿宋" w:eastAsia="仿宋" w:cs="仿宋"/>
          <w:kern w:val="2"/>
          <w:sz w:val="28"/>
        </w:rPr>
        <w:t>按照空气站点月考核扣款汇总情况，于运维期结束后，支付金额为合同款减扣款额后的金额。</w:t>
      </w:r>
    </w:p>
    <w:p w14:paraId="3507343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BF21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5819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75819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6BF0D8"/>
    <w:rsid w:val="585718B1"/>
    <w:rsid w:val="E76BF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99"/>
    <w:rPr>
      <w:rFonts w:ascii="Times New Roman" w:hAnsi="Times New Roman" w:cs="Times New Roman"/>
      <w:sz w:val="18"/>
      <w:szCs w:val="24"/>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ascii="Times New Roman" w:hAnsi="Times New Roman" w:cs="Times New Roman"/>
      <w:kern w:val="0"/>
      <w:sz w:val="24"/>
      <w:szCs w:val="24"/>
    </w:rPr>
  </w:style>
  <w:style w:type="paragraph" w:customStyle="1" w:styleId="11">
    <w:name w:val="表格(标题行)"/>
    <w:basedOn w:val="1"/>
    <w:qFormat/>
    <w:uiPriority w:val="0"/>
    <w:pPr>
      <w:snapToGrid w:val="0"/>
      <w:jc w:val="center"/>
    </w:pPr>
    <w:rPr>
      <w:rFonts w:ascii="宋体" w:hAnsi="宋体" w:cs="Times New Roman"/>
      <w:b/>
      <w:sz w:val="24"/>
      <w:szCs w:val="20"/>
    </w:rPr>
  </w:style>
  <w:style w:type="paragraph" w:customStyle="1" w:styleId="12">
    <w:name w:val="表格文本"/>
    <w:basedOn w:val="1"/>
    <w:qFormat/>
    <w:uiPriority w:val="0"/>
    <w:pPr>
      <w:snapToGrid w:val="0"/>
      <w:jc w:val="center"/>
    </w:pPr>
    <w:rPr>
      <w:rFonts w:ascii="宋体" w:hAnsi="宋体" w:eastAsia="仿宋_GB2312" w:cs="Times New Roman"/>
      <w:sz w:val="24"/>
      <w:szCs w:val="20"/>
    </w:rPr>
  </w:style>
  <w:style w:type="paragraph" w:customStyle="1" w:styleId="13">
    <w:name w:val="普通(网站)1"/>
    <w:basedOn w:val="1"/>
    <w:qFormat/>
    <w:uiPriority w:val="0"/>
    <w:pPr>
      <w:jc w:val="left"/>
    </w:pPr>
    <w:rPr>
      <w:rFonts w:ascii="宋体" w:hAnsi="宋体" w:eastAsia="仿宋_GB2312" w:cs="Times New Roman"/>
      <w:kern w:val="0"/>
      <w:sz w:val="24"/>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9411</Words>
  <Characters>9933</Characters>
  <Lines>0</Lines>
  <Paragraphs>0</Paragraphs>
  <TotalTime>0</TotalTime>
  <ScaleCrop>false</ScaleCrop>
  <LinksUpToDate>false</LinksUpToDate>
  <CharactersWithSpaces>10012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2026-03-05T10:31:00Z</dcterms:created>
  <dc:creator>一巧</dc:creator>
  <cp:lastModifiedBy>JiaYua</cp:lastModifiedBy>
  <dcterms:modified xsi:type="dcterms:W3CDTF">2026-03-12T06:46:42Z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2FEE5224E2BBFF8BEEEAA8691FFF5CE9_41</vt:lpwstr>
  </property>
  <property fmtid="{D5CDD505-2E9C-101B-9397-08002B2CF9AE}" pid="4" name="KSOTemplateDocerSaveRecord">
    <vt:lpwstr>eyJoZGlkIjoiNjE1ZWVjZWY3MzhjYjBjZDRiOTE2NjY4NDIxNDNkMTIiLCJ1c2VySWQiOiIxMTIzMTc3OTg1In0=</vt:lpwstr>
  </property>
</Properties>
</file>