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6A2B5">
      <w:pPr>
        <w:pStyle w:val="16"/>
        <w:rPr>
          <w:rFonts w:hint="eastAsia" w:ascii="方正小标宋简体" w:hAnsi="方正小标宋简体" w:eastAsia="方正小标宋简体" w:cs="方正小标宋简体"/>
          <w:b w:val="0"/>
          <w:bCs/>
          <w:sz w:val="44"/>
          <w:szCs w:val="44"/>
        </w:rPr>
      </w:pPr>
    </w:p>
    <w:p w14:paraId="1D4EFA16">
      <w:pPr>
        <w:pStyle w:val="16"/>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福州市长乐区噪声敏感建筑物集中区域</w:t>
      </w:r>
    </w:p>
    <w:p w14:paraId="79DCEEE9">
      <w:pPr>
        <w:pStyle w:val="16"/>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sz w:val="44"/>
          <w:szCs w:val="44"/>
        </w:rPr>
        <w:t>划定方案</w:t>
      </w:r>
    </w:p>
    <w:p w14:paraId="2BC66771">
      <w:pPr>
        <w:ind w:firstLine="0" w:firstLineChars="0"/>
        <w:jc w:val="center"/>
        <w:rPr>
          <w:sz w:val="28"/>
          <w:szCs w:val="24"/>
        </w:rPr>
      </w:pPr>
    </w:p>
    <w:p w14:paraId="757B2B32">
      <w:pPr>
        <w:ind w:firstLine="0" w:firstLineChars="0"/>
        <w:jc w:val="center"/>
        <w:rPr>
          <w:sz w:val="28"/>
          <w:szCs w:val="24"/>
        </w:rPr>
      </w:pPr>
    </w:p>
    <w:p w14:paraId="11351281">
      <w:pPr>
        <w:ind w:firstLine="0" w:firstLineChars="0"/>
        <w:jc w:val="center"/>
        <w:rPr>
          <w:rFonts w:hint="eastAsia" w:ascii="方正小标宋简体" w:hAnsi="方正小标宋简体" w:eastAsia="方正小标宋简体" w:cs="方正小标宋简体"/>
          <w:b w:val="0"/>
          <w:bCs/>
          <w:kern w:val="0"/>
          <w:sz w:val="44"/>
          <w:szCs w:val="44"/>
        </w:rPr>
      </w:pPr>
      <w:r>
        <w:rPr>
          <w:rFonts w:hint="eastAsia" w:ascii="方正小标宋简体" w:hAnsi="方正小标宋简体" w:eastAsia="方正小标宋简体" w:cs="方正小标宋简体"/>
          <w:b w:val="0"/>
          <w:bCs/>
          <w:kern w:val="0"/>
          <w:sz w:val="44"/>
          <w:szCs w:val="44"/>
        </w:rPr>
        <w:t>（征求意见稿）</w:t>
      </w:r>
    </w:p>
    <w:p w14:paraId="3C13A3B9">
      <w:pPr>
        <w:ind w:firstLine="560"/>
        <w:rPr>
          <w:sz w:val="28"/>
          <w:szCs w:val="24"/>
        </w:rPr>
      </w:pPr>
    </w:p>
    <w:p w14:paraId="587CC746">
      <w:pPr>
        <w:ind w:firstLine="560"/>
        <w:rPr>
          <w:sz w:val="28"/>
          <w:szCs w:val="24"/>
        </w:rPr>
      </w:pPr>
    </w:p>
    <w:p w14:paraId="45F5A4D1">
      <w:pPr>
        <w:ind w:firstLine="560"/>
        <w:rPr>
          <w:sz w:val="28"/>
          <w:szCs w:val="24"/>
        </w:rPr>
      </w:pPr>
    </w:p>
    <w:p w14:paraId="7BC0BE56">
      <w:pPr>
        <w:ind w:firstLine="560"/>
        <w:rPr>
          <w:sz w:val="28"/>
          <w:szCs w:val="24"/>
        </w:rPr>
      </w:pPr>
    </w:p>
    <w:p w14:paraId="2C52F655">
      <w:pPr>
        <w:ind w:firstLine="560"/>
        <w:rPr>
          <w:sz w:val="28"/>
          <w:szCs w:val="24"/>
        </w:rPr>
      </w:pPr>
    </w:p>
    <w:p w14:paraId="05C0F5EC">
      <w:pPr>
        <w:ind w:firstLine="560"/>
        <w:rPr>
          <w:sz w:val="28"/>
          <w:szCs w:val="24"/>
        </w:rPr>
      </w:pPr>
    </w:p>
    <w:p w14:paraId="56A70672">
      <w:pPr>
        <w:ind w:firstLine="560"/>
        <w:rPr>
          <w:sz w:val="28"/>
          <w:szCs w:val="24"/>
        </w:rPr>
      </w:pPr>
    </w:p>
    <w:p w14:paraId="60AF2797">
      <w:pPr>
        <w:ind w:firstLine="560"/>
        <w:rPr>
          <w:sz w:val="28"/>
          <w:szCs w:val="24"/>
        </w:rPr>
      </w:pPr>
    </w:p>
    <w:p w14:paraId="125F96D3">
      <w:pPr>
        <w:ind w:left="0" w:leftChars="0" w:firstLine="0" w:firstLineChars="0"/>
        <w:rPr>
          <w:sz w:val="28"/>
          <w:szCs w:val="24"/>
        </w:rPr>
      </w:pPr>
    </w:p>
    <w:p w14:paraId="7829D1D9">
      <w:pPr>
        <w:ind w:firstLine="560"/>
        <w:rPr>
          <w:sz w:val="28"/>
          <w:szCs w:val="24"/>
        </w:rPr>
      </w:pPr>
    </w:p>
    <w:p w14:paraId="6343D758">
      <w:pPr>
        <w:ind w:firstLine="0" w:firstLineChars="0"/>
        <w:jc w:val="center"/>
        <w:rPr>
          <w:rFonts w:hint="eastAsia" w:ascii="黑体" w:hAnsi="黑体" w:eastAsia="黑体" w:cs="黑体"/>
          <w:b w:val="0"/>
          <w:bCs w:val="0"/>
          <w:sz w:val="32"/>
          <w:szCs w:val="32"/>
        </w:rPr>
        <w:sectPr>
          <w:footerReference r:id="rId7" w:type="first"/>
          <w:footerReference r:id="rId5" w:type="default"/>
          <w:footerReference r:id="rId6" w:type="even"/>
          <w:pgSz w:w="11906" w:h="16838"/>
          <w:pgMar w:top="2098" w:right="1474" w:bottom="1984" w:left="1587" w:header="851" w:footer="992" w:gutter="0"/>
          <w:pgNumType w:fmt="decimal" w:start="1" w:chapStyle="1"/>
          <w:cols w:space="425" w:num="1"/>
          <w:docGrid w:type="lines" w:linePitch="312" w:charSpace="0"/>
        </w:sectPr>
      </w:pPr>
      <w:bookmarkStart w:id="3" w:name="_GoBack"/>
      <w:bookmarkEnd w:id="3"/>
      <w:r>
        <w:rPr>
          <w:rFonts w:hint="eastAsia" w:ascii="黑体" w:hAnsi="黑体" w:eastAsia="黑体" w:cs="黑体"/>
          <w:b w:val="0"/>
          <w:bCs w:val="0"/>
          <w:sz w:val="32"/>
          <w:szCs w:val="32"/>
        </w:rPr>
        <w:t xml:space="preserve">2025年3月  </w:t>
      </w:r>
    </w:p>
    <w:p w14:paraId="3CA928DB">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b w:val="0"/>
          <w:bCs w:val="0"/>
          <w:sz w:val="32"/>
          <w:szCs w:val="32"/>
        </w:rPr>
      </w:pPr>
      <w:r>
        <w:rPr>
          <w:rFonts w:hint="eastAsia"/>
          <w:b w:val="0"/>
          <w:bCs w:val="0"/>
          <w:sz w:val="32"/>
          <w:szCs w:val="32"/>
          <w:lang w:val="en-US" w:eastAsia="zh-CN"/>
        </w:rPr>
        <w:t>一、</w:t>
      </w:r>
      <w:r>
        <w:rPr>
          <w:rFonts w:hint="eastAsia"/>
          <w:b w:val="0"/>
          <w:bCs w:val="0"/>
          <w:sz w:val="32"/>
          <w:szCs w:val="32"/>
        </w:rPr>
        <w:t>前言</w:t>
      </w:r>
    </w:p>
    <w:p w14:paraId="409123E3">
      <w:pPr>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为建立健全我区噪声污染防治管理体系，进一步改善和提高声环境质量，依据《中华人民共和国噪声污染防治法》等有关法律、标准和规范要求，结合我区实际，制定本方案。</w:t>
      </w:r>
    </w:p>
    <w:p w14:paraId="1B1A9C80">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b w:val="0"/>
          <w:bCs w:val="0"/>
          <w:sz w:val="32"/>
          <w:szCs w:val="32"/>
        </w:rPr>
      </w:pPr>
      <w:r>
        <w:rPr>
          <w:rFonts w:hint="eastAsia"/>
          <w:b w:val="0"/>
          <w:bCs w:val="0"/>
          <w:sz w:val="32"/>
          <w:szCs w:val="32"/>
          <w:lang w:val="en-US" w:eastAsia="zh-CN"/>
        </w:rPr>
        <w:t>二、</w:t>
      </w:r>
      <w:r>
        <w:rPr>
          <w:rFonts w:hint="eastAsia"/>
          <w:b w:val="0"/>
          <w:bCs w:val="0"/>
          <w:sz w:val="32"/>
          <w:szCs w:val="32"/>
        </w:rPr>
        <w:t>适用范围</w:t>
      </w:r>
    </w:p>
    <w:p w14:paraId="66F29697">
      <w:pPr>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本方案适用于长乐区属于福州市《国土空间总体规划（2021-2035年）》中明确的中心城区范围的区域，即为整个长乐区行政区域，具体为：</w:t>
      </w:r>
    </w:p>
    <w:p w14:paraId="038812A0">
      <w:pPr>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长乐区下辖5个街道（吴航街道、航城街道、营前街道、漳港街道、文武砂街道），11个镇（首占镇、玉田镇、松下镇、江田镇、古槐镇、鹤上镇、湖南镇、金峰镇、文岭镇、梅花镇、潭头镇），2个乡（罗联乡、猴屿乡），总面积745.77平方公里。</w:t>
      </w:r>
    </w:p>
    <w:p w14:paraId="163F2998">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eastAsia"/>
          <w:b w:val="0"/>
          <w:bCs w:val="0"/>
          <w:sz w:val="32"/>
          <w:szCs w:val="32"/>
        </w:rPr>
      </w:pPr>
      <w:r>
        <w:rPr>
          <w:rFonts w:hint="eastAsia"/>
          <w:b w:val="0"/>
          <w:bCs w:val="0"/>
          <w:sz w:val="32"/>
          <w:szCs w:val="32"/>
          <w:lang w:val="en-US" w:eastAsia="zh-CN"/>
        </w:rPr>
        <w:t>三、</w:t>
      </w:r>
      <w:r>
        <w:rPr>
          <w:rFonts w:hint="eastAsia"/>
          <w:b w:val="0"/>
          <w:bCs w:val="0"/>
          <w:sz w:val="32"/>
          <w:szCs w:val="32"/>
        </w:rPr>
        <w:t>划分依据</w:t>
      </w:r>
    </w:p>
    <w:p w14:paraId="102B58CE">
      <w:pPr>
        <w:pStyle w:val="23"/>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《中华人民共和国噪声污染防治法》</w:t>
      </w:r>
    </w:p>
    <w:p w14:paraId="69FA8D3B">
      <w:pPr>
        <w:pStyle w:val="23"/>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《“十四五”噪声污染防治行动计划》（环大气〔2023〕1号）</w:t>
      </w:r>
    </w:p>
    <w:p w14:paraId="4C090BB1">
      <w:pPr>
        <w:pStyle w:val="23"/>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rPr>
        <w:t>《声环境质量标准》（GB 3096-2008）</w:t>
      </w:r>
    </w:p>
    <w:p w14:paraId="1212576D">
      <w:pPr>
        <w:pStyle w:val="23"/>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sz w:val="32"/>
          <w:szCs w:val="32"/>
        </w:rPr>
        <w:t>《声环境功能区划分技术规范》（GB/T 15190-2014）</w:t>
      </w:r>
    </w:p>
    <w:p w14:paraId="64B0A712">
      <w:pPr>
        <w:pStyle w:val="23"/>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sz w:val="32"/>
          <w:szCs w:val="32"/>
        </w:rPr>
        <w:t>《第三次全国国土调查技术规程》（TD/T 1055-2019）</w:t>
      </w:r>
    </w:p>
    <w:p w14:paraId="68063966">
      <w:pPr>
        <w:pStyle w:val="23"/>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sz w:val="32"/>
          <w:szCs w:val="32"/>
        </w:rPr>
        <w:t>《土地利用现状分类》（GB/T 21010-2017）</w:t>
      </w:r>
    </w:p>
    <w:p w14:paraId="51D4F26B">
      <w:pPr>
        <w:pStyle w:val="23"/>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7.</w:t>
      </w:r>
      <w:r>
        <w:rPr>
          <w:rFonts w:hint="eastAsia" w:ascii="仿宋_GB2312" w:hAnsi="仿宋_GB2312" w:eastAsia="仿宋_GB2312" w:cs="仿宋_GB2312"/>
          <w:sz w:val="32"/>
          <w:szCs w:val="32"/>
        </w:rPr>
        <w:t>《福州市噪声敏感建筑物集中区域划定工作指南（试行）》</w:t>
      </w:r>
    </w:p>
    <w:p w14:paraId="7164D014">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eastAsia"/>
          <w:b w:val="0"/>
          <w:bCs w:val="0"/>
          <w:sz w:val="32"/>
          <w:szCs w:val="32"/>
        </w:rPr>
      </w:pPr>
      <w:r>
        <w:rPr>
          <w:rFonts w:hint="eastAsia"/>
          <w:b w:val="0"/>
          <w:bCs w:val="0"/>
          <w:sz w:val="32"/>
          <w:szCs w:val="32"/>
          <w:lang w:val="en-US" w:eastAsia="zh-CN"/>
        </w:rPr>
        <w:t>四、</w:t>
      </w:r>
      <w:r>
        <w:rPr>
          <w:rFonts w:hint="eastAsia"/>
          <w:b w:val="0"/>
          <w:bCs w:val="0"/>
          <w:sz w:val="32"/>
          <w:szCs w:val="32"/>
        </w:rPr>
        <w:t>划分原则</w:t>
      </w:r>
    </w:p>
    <w:p w14:paraId="438F8DF8">
      <w:pPr>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按照《中华人民共和国噪声污染防治法》第十四条的规定，噪声敏感区域是指用于居住、科学研究、医疗卫生、文化教育、机关团体办公、社会福利等建筑物为主的区域。本报告划分原则如下：</w:t>
      </w:r>
    </w:p>
    <w:p w14:paraId="754642E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现状优先。</w:t>
      </w:r>
      <w:r>
        <w:rPr>
          <w:rFonts w:hint="eastAsia" w:ascii="仿宋_GB2312" w:hAnsi="仿宋_GB2312" w:eastAsia="仿宋_GB2312" w:cs="仿宋_GB2312"/>
          <w:sz w:val="32"/>
          <w:szCs w:val="32"/>
        </w:rPr>
        <w:t>以用地、建筑物分类和分布现状为优先依据，结合国土空间规划和年度国土调查成果等确定噪声敏感建筑物集中区域。</w:t>
      </w:r>
    </w:p>
    <w:p w14:paraId="23826427">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边界清晰。</w:t>
      </w:r>
      <w:r>
        <w:rPr>
          <w:rFonts w:hint="eastAsia" w:ascii="仿宋_GB2312" w:hAnsi="仿宋_GB2312" w:eastAsia="仿宋_GB2312" w:cs="仿宋_GB2312"/>
          <w:sz w:val="32"/>
          <w:szCs w:val="32"/>
        </w:rPr>
        <w:t>充分利用行政区边界、交通线路、地形边界等划分噪声敏感建筑物集中区域边界。</w:t>
      </w:r>
    </w:p>
    <w:p w14:paraId="5C48EEE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便于管理。</w:t>
      </w:r>
      <w:r>
        <w:rPr>
          <w:rFonts w:hint="eastAsia" w:ascii="仿宋_GB2312" w:hAnsi="仿宋_GB2312" w:eastAsia="仿宋_GB2312" w:cs="仿宋_GB2312"/>
          <w:sz w:val="32"/>
          <w:szCs w:val="32"/>
        </w:rPr>
        <w:t>噪声敏感建筑物集中区域划定应</w:t>
      </w:r>
      <w:bookmarkStart w:id="0" w:name="_Hlk188433321"/>
      <w:bookmarkStart w:id="1" w:name="_Hlk188435079"/>
      <w:r>
        <w:rPr>
          <w:rFonts w:hint="eastAsia" w:ascii="仿宋_GB2312" w:hAnsi="仿宋_GB2312" w:eastAsia="仿宋_GB2312" w:cs="仿宋_GB2312"/>
          <w:sz w:val="32"/>
          <w:szCs w:val="32"/>
        </w:rPr>
        <w:t>便于城市噪声污染防治管理</w:t>
      </w:r>
      <w:bookmarkEnd w:id="0"/>
      <w:r>
        <w:rPr>
          <w:rFonts w:hint="eastAsia" w:ascii="仿宋_GB2312" w:hAnsi="仿宋_GB2312" w:eastAsia="仿宋_GB2312" w:cs="仿宋_GB2312"/>
          <w:sz w:val="32"/>
          <w:szCs w:val="32"/>
        </w:rPr>
        <w:t>。</w:t>
      </w:r>
    </w:p>
    <w:bookmarkEnd w:id="1"/>
    <w:p w14:paraId="7502F43A">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适时调整。</w:t>
      </w:r>
      <w:r>
        <w:rPr>
          <w:rFonts w:hint="eastAsia" w:ascii="仿宋_GB2312" w:hAnsi="仿宋_GB2312" w:eastAsia="仿宋_GB2312" w:cs="仿宋_GB2312"/>
          <w:sz w:val="32"/>
          <w:szCs w:val="32"/>
        </w:rPr>
        <w:t>根据区域城建开发、建筑物实际使用功能调整等情况，适时进行噪声敏感建筑物集中区域调整。</w:t>
      </w:r>
    </w:p>
    <w:p w14:paraId="0D605820">
      <w:pPr>
        <w:pStyle w:val="2"/>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eastAsia"/>
          <w:b w:val="0"/>
          <w:bCs w:val="0"/>
          <w:sz w:val="32"/>
          <w:szCs w:val="32"/>
        </w:rPr>
      </w:pPr>
      <w:r>
        <w:rPr>
          <w:rFonts w:hint="eastAsia"/>
          <w:b w:val="0"/>
          <w:bCs w:val="0"/>
          <w:sz w:val="32"/>
          <w:szCs w:val="32"/>
          <w:lang w:val="en-US" w:eastAsia="zh-CN"/>
        </w:rPr>
        <w:t>五、</w:t>
      </w:r>
      <w:r>
        <w:rPr>
          <w:rFonts w:hint="eastAsia"/>
          <w:b w:val="0"/>
          <w:bCs w:val="0"/>
          <w:sz w:val="32"/>
          <w:szCs w:val="32"/>
        </w:rPr>
        <w:t>划分结果</w:t>
      </w:r>
    </w:p>
    <w:p w14:paraId="44216B43">
      <w:pPr>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按照《福州市噪声敏感建筑物集中区域划</w:t>
      </w:r>
      <w:bookmarkStart w:id="2" w:name="OLE_LINK1"/>
      <w:r>
        <w:rPr>
          <w:rFonts w:hint="eastAsia" w:ascii="仿宋_GB2312" w:hAnsi="仿宋_GB2312" w:eastAsia="仿宋_GB2312" w:cs="仿宋_GB2312"/>
          <w:color w:val="auto"/>
          <w:sz w:val="32"/>
          <w:szCs w:val="32"/>
        </w:rPr>
        <w:t>定工作指南</w:t>
      </w:r>
      <w:bookmarkEnd w:id="2"/>
      <w:r>
        <w:rPr>
          <w:rFonts w:hint="eastAsia" w:ascii="仿宋_GB2312" w:hAnsi="仿宋_GB2312" w:eastAsia="仿宋_GB2312" w:cs="仿宋_GB2312"/>
          <w:color w:val="auto"/>
          <w:sz w:val="32"/>
          <w:szCs w:val="32"/>
        </w:rPr>
        <w:t>（试行）》，福州市长乐区共划定噪声敏感建筑物集中区域16个，划定总面积合计约2.</w:t>
      </w:r>
      <w:r>
        <w:rPr>
          <w:rFonts w:hint="eastAsia" w:ascii="仿宋_GB2312" w:hAnsi="仿宋_GB2312" w:eastAsia="仿宋_GB2312" w:cs="仿宋_GB2312"/>
          <w:color w:val="auto"/>
          <w:sz w:val="32"/>
          <w:szCs w:val="32"/>
          <w:lang w:val="en-US" w:eastAsia="zh-CN"/>
        </w:rPr>
        <w:t>42</w:t>
      </w:r>
      <w:r>
        <w:rPr>
          <w:rFonts w:hint="eastAsia" w:ascii="仿宋_GB2312" w:hAnsi="仿宋_GB2312" w:eastAsia="仿宋_GB2312" w:cs="仿宋_GB2312"/>
          <w:color w:val="auto"/>
          <w:sz w:val="32"/>
          <w:szCs w:val="32"/>
        </w:rPr>
        <w:t>km</w:t>
      </w:r>
      <w:r>
        <w:rPr>
          <w:rFonts w:hint="eastAsia" w:ascii="仿宋_GB2312" w:hAnsi="仿宋_GB2312" w:eastAsia="仿宋_GB2312" w:cs="仿宋_GB2312"/>
          <w:color w:val="auto"/>
          <w:sz w:val="32"/>
          <w:szCs w:val="32"/>
          <w:vertAlign w:val="superscript"/>
        </w:rPr>
        <w:t>2</w:t>
      </w:r>
      <w:r>
        <w:rPr>
          <w:rFonts w:hint="eastAsia" w:ascii="仿宋_GB2312" w:hAnsi="仿宋_GB2312" w:eastAsia="仿宋_GB2312" w:cs="仿宋_GB2312"/>
          <w:color w:val="auto"/>
          <w:sz w:val="32"/>
          <w:szCs w:val="32"/>
        </w:rPr>
        <w:t>，噪声敏感建筑物集中区域划定结果见附表、附图。</w:t>
      </w:r>
    </w:p>
    <w:p w14:paraId="511CC68D">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eastAsia"/>
          <w:b w:val="0"/>
          <w:bCs w:val="0"/>
          <w:sz w:val="32"/>
          <w:szCs w:val="32"/>
        </w:rPr>
      </w:pPr>
      <w:r>
        <w:rPr>
          <w:rFonts w:hint="eastAsia"/>
          <w:b w:val="0"/>
          <w:bCs w:val="0"/>
          <w:sz w:val="32"/>
          <w:szCs w:val="32"/>
          <w:lang w:val="en-US" w:eastAsia="zh-CN"/>
        </w:rPr>
        <w:t>六、</w:t>
      </w:r>
      <w:r>
        <w:rPr>
          <w:rFonts w:hint="eastAsia"/>
          <w:b w:val="0"/>
          <w:bCs w:val="0"/>
          <w:sz w:val="32"/>
          <w:szCs w:val="32"/>
        </w:rPr>
        <w:t>划分说明</w:t>
      </w:r>
    </w:p>
    <w:p w14:paraId="57F9E790">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根据《福州市噪声敏感建筑物集中区域划定工作指南（试行）》，以下对划定方案中的特殊情况进行说明。</w:t>
      </w:r>
    </w:p>
    <w:p w14:paraId="29355F13">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一</w:t>
      </w:r>
      <w:r>
        <w:rPr>
          <w:rFonts w:hint="eastAsia" w:ascii="楷体_GB2312" w:hAnsi="楷体_GB2312" w:eastAsia="楷体_GB2312" w:cs="楷体_GB2312"/>
          <w:b/>
          <w:bCs/>
          <w:color w:val="auto"/>
          <w:sz w:val="32"/>
          <w:szCs w:val="32"/>
        </w:rPr>
        <w:t>）以现状为准确定噪声敏感建筑物集中区域</w:t>
      </w:r>
    </w:p>
    <w:p w14:paraId="79EB9E4C">
      <w:pPr>
        <w:keepNext w:val="0"/>
        <w:keepLines w:val="0"/>
        <w:pageBreakBefore w:val="0"/>
        <w:widowControl w:val="0"/>
        <w:kinsoku/>
        <w:wordWrap/>
        <w:overflowPunct/>
        <w:topLinePunct w:val="0"/>
        <w:autoSpaceDE/>
        <w:autoSpaceDN/>
        <w:bidi w:val="0"/>
        <w:adjustRightInd/>
        <w:snapToGrid/>
        <w:spacing w:line="550" w:lineRule="exact"/>
        <w:ind w:left="0" w:left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部分区域用地性质与现状实际建筑物性质不符，经调查确定为噪声敏感建筑物的，划分为噪声敏感建筑物集中区域。如JZQ002</w:t>
      </w:r>
      <w:r>
        <w:rPr>
          <w:rFonts w:hint="eastAsia" w:ascii="仿宋_GB2312" w:hAnsi="仿宋_GB2312" w:eastAsia="仿宋_GB2312" w:cs="仿宋_GB2312"/>
          <w:color w:val="auto"/>
          <w:sz w:val="32"/>
          <w:szCs w:val="32"/>
          <w:lang w:val="en-US" w:eastAsia="zh-CN"/>
        </w:rPr>
        <w:t>的</w:t>
      </w:r>
      <w:r>
        <w:rPr>
          <w:rFonts w:hint="eastAsia" w:ascii="仿宋_GB2312" w:hAnsi="仿宋_GB2312" w:eastAsia="仿宋_GB2312" w:cs="仿宋_GB2312"/>
          <w:color w:val="auto"/>
          <w:sz w:val="32"/>
          <w:szCs w:val="32"/>
        </w:rPr>
        <w:t>国家</w:t>
      </w:r>
      <w:r>
        <w:rPr>
          <w:rFonts w:hint="eastAsia" w:ascii="仿宋_GB2312" w:hAnsi="仿宋_GB2312" w:eastAsia="仿宋_GB2312" w:cs="仿宋_GB2312"/>
          <w:color w:val="auto"/>
          <w:sz w:val="32"/>
          <w:szCs w:val="32"/>
          <w:lang w:val="en-US" w:eastAsia="zh-CN"/>
        </w:rPr>
        <w:t>外汇管理局</w:t>
      </w:r>
      <w:r>
        <w:rPr>
          <w:rFonts w:hint="eastAsia" w:ascii="仿宋_GB2312" w:hAnsi="仿宋_GB2312" w:eastAsia="仿宋_GB2312" w:cs="仿宋_GB2312"/>
          <w:color w:val="auto"/>
          <w:sz w:val="32"/>
          <w:szCs w:val="32"/>
        </w:rPr>
        <w:t>长乐支局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JZQ0</w:t>
      </w:r>
      <w:r>
        <w:rPr>
          <w:rFonts w:hint="eastAsia" w:ascii="仿宋_GB2312" w:hAnsi="仿宋_GB2312" w:eastAsia="仿宋_GB2312" w:cs="仿宋_GB2312"/>
          <w:color w:val="auto"/>
          <w:sz w:val="32"/>
          <w:szCs w:val="32"/>
          <w:lang w:val="en-US" w:eastAsia="zh-CN"/>
        </w:rPr>
        <w:t>13的长乐区总工会以办公为主，且其周边建筑物以居住为主，因此</w:t>
      </w:r>
      <w:r>
        <w:rPr>
          <w:rFonts w:hint="eastAsia" w:ascii="仿宋_GB2312" w:hAnsi="仿宋_GB2312" w:eastAsia="仿宋_GB2312" w:cs="仿宋_GB2312"/>
          <w:color w:val="auto"/>
          <w:sz w:val="32"/>
          <w:szCs w:val="32"/>
        </w:rPr>
        <w:t>将其</w:t>
      </w:r>
      <w:r>
        <w:rPr>
          <w:rFonts w:hint="eastAsia" w:ascii="仿宋_GB2312" w:hAnsi="仿宋_GB2312" w:eastAsia="仿宋_GB2312" w:cs="仿宋_GB2312"/>
          <w:color w:val="auto"/>
          <w:sz w:val="32"/>
          <w:szCs w:val="32"/>
          <w:lang w:val="en-US" w:eastAsia="zh-CN"/>
        </w:rPr>
        <w:t>一并</w:t>
      </w:r>
      <w:r>
        <w:rPr>
          <w:rFonts w:hint="eastAsia" w:ascii="仿宋_GB2312" w:hAnsi="仿宋_GB2312" w:eastAsia="仿宋_GB2312" w:cs="仿宋_GB2312"/>
          <w:color w:val="auto"/>
          <w:sz w:val="32"/>
          <w:szCs w:val="32"/>
        </w:rPr>
        <w:t>划分为噪声敏感建筑物集中区域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如JZQ00</w:t>
      </w:r>
      <w:r>
        <w:rPr>
          <w:rFonts w:hint="eastAsia" w:ascii="仿宋_GB2312" w:hAnsi="仿宋_GB2312" w:eastAsia="仿宋_GB2312" w:cs="仿宋_GB2312"/>
          <w:color w:val="auto"/>
          <w:sz w:val="32"/>
          <w:szCs w:val="32"/>
          <w:lang w:val="en-US" w:eastAsia="zh-CN"/>
        </w:rPr>
        <w:t>6的中央公馆、</w:t>
      </w:r>
      <w:r>
        <w:rPr>
          <w:rFonts w:hint="eastAsia" w:ascii="仿宋_GB2312" w:hAnsi="仿宋_GB2312" w:eastAsia="仿宋_GB2312" w:cs="仿宋_GB2312"/>
          <w:color w:val="auto"/>
          <w:sz w:val="32"/>
          <w:szCs w:val="32"/>
        </w:rPr>
        <w:t>JZQ0</w:t>
      </w:r>
      <w:r>
        <w:rPr>
          <w:rFonts w:hint="eastAsia" w:ascii="仿宋_GB2312" w:hAnsi="仿宋_GB2312" w:eastAsia="仿宋_GB2312" w:cs="仿宋_GB2312"/>
          <w:color w:val="auto"/>
          <w:sz w:val="32"/>
          <w:szCs w:val="32"/>
          <w:lang w:val="en-US" w:eastAsia="zh-CN"/>
        </w:rPr>
        <w:t>13的兰园公馆、经纬苑、锦江西苑现状为住宅楼，</w:t>
      </w:r>
      <w:r>
        <w:rPr>
          <w:rFonts w:hint="eastAsia" w:ascii="仿宋_GB2312" w:hAnsi="仿宋_GB2312" w:eastAsia="仿宋_GB2312" w:cs="仿宋_GB2312"/>
          <w:color w:val="auto"/>
          <w:sz w:val="32"/>
          <w:szCs w:val="32"/>
        </w:rPr>
        <w:t>将其划入噪声敏感建筑物集中区域内</w:t>
      </w:r>
      <w:r>
        <w:rPr>
          <w:rFonts w:hint="eastAsia" w:ascii="仿宋_GB2312" w:hAnsi="仿宋_GB2312" w:eastAsia="仿宋_GB2312" w:cs="仿宋_GB2312"/>
          <w:color w:val="auto"/>
          <w:sz w:val="32"/>
          <w:szCs w:val="32"/>
          <w:lang w:eastAsia="zh-CN"/>
        </w:rPr>
        <w:t>。</w:t>
      </w:r>
    </w:p>
    <w:tbl>
      <w:tblPr>
        <w:tblStyle w:val="18"/>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5"/>
        <w:gridCol w:w="4156"/>
      </w:tblGrid>
      <w:tr w14:paraId="5C6B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5" w:type="dxa"/>
            <w:tcMar>
              <w:left w:w="0" w:type="dxa"/>
              <w:right w:w="0" w:type="dxa"/>
            </w:tcMar>
            <w:vAlign w:val="center"/>
          </w:tcPr>
          <w:p w14:paraId="2E777992">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yellow"/>
                <w:lang w:eastAsia="zh-CN"/>
              </w:rPr>
            </w:pPr>
            <w:r>
              <w:rPr>
                <w:color w:val="auto"/>
              </w:rPr>
              <w:drawing>
                <wp:inline distT="0" distB="0" distL="114300" distR="114300">
                  <wp:extent cx="2545715" cy="2581275"/>
                  <wp:effectExtent l="0" t="0" r="698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2545715" cy="2581275"/>
                          </a:xfrm>
                          <a:prstGeom prst="rect">
                            <a:avLst/>
                          </a:prstGeom>
                          <a:noFill/>
                          <a:ln>
                            <a:noFill/>
                          </a:ln>
                        </pic:spPr>
                      </pic:pic>
                    </a:graphicData>
                  </a:graphic>
                </wp:inline>
              </w:drawing>
            </w:r>
          </w:p>
        </w:tc>
        <w:tc>
          <w:tcPr>
            <w:tcW w:w="4156" w:type="dxa"/>
            <w:tcMar>
              <w:left w:w="0" w:type="dxa"/>
              <w:right w:w="0" w:type="dxa"/>
            </w:tcMar>
            <w:vAlign w:val="center"/>
          </w:tcPr>
          <w:p w14:paraId="12ED3471">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cs="Times New Roman"/>
                <w:color w:val="auto"/>
                <w:sz w:val="21"/>
                <w:szCs w:val="21"/>
                <w:highlight w:val="yellow"/>
              </w:rPr>
            </w:pPr>
            <w:r>
              <w:rPr>
                <w:color w:val="auto"/>
              </w:rPr>
              <w:drawing>
                <wp:inline distT="0" distB="0" distL="114300" distR="114300">
                  <wp:extent cx="2550160" cy="2553970"/>
                  <wp:effectExtent l="0" t="0" r="2540" b="177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2550160" cy="2553970"/>
                          </a:xfrm>
                          <a:prstGeom prst="rect">
                            <a:avLst/>
                          </a:prstGeom>
                          <a:noFill/>
                          <a:ln>
                            <a:noFill/>
                          </a:ln>
                        </pic:spPr>
                      </pic:pic>
                    </a:graphicData>
                  </a:graphic>
                </wp:inline>
              </w:drawing>
            </w:r>
          </w:p>
        </w:tc>
      </w:tr>
      <w:tr w14:paraId="0113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155" w:type="dxa"/>
            <w:tcMar>
              <w:left w:w="0" w:type="dxa"/>
              <w:right w:w="0" w:type="dxa"/>
            </w:tcMar>
            <w:vAlign w:val="center"/>
          </w:tcPr>
          <w:p w14:paraId="2D0EB76A">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cs="Times New Roman"/>
                <w:color w:val="auto"/>
                <w:sz w:val="21"/>
                <w:szCs w:val="21"/>
              </w:rPr>
            </w:pPr>
            <w:r>
              <w:rPr>
                <w:rFonts w:hint="eastAsia" w:cs="Times New Roman"/>
                <w:color w:val="auto"/>
                <w:sz w:val="21"/>
                <w:szCs w:val="21"/>
                <w:lang w:val="en-US" w:eastAsia="zh-CN"/>
              </w:rPr>
              <w:t>JZQ013兰园公馆</w:t>
            </w:r>
            <w:r>
              <w:rPr>
                <w:rFonts w:hint="eastAsia" w:cs="Times New Roman"/>
                <w:color w:val="auto"/>
                <w:sz w:val="21"/>
                <w:szCs w:val="21"/>
                <w:lang w:eastAsia="zh-CN"/>
              </w:rPr>
              <w:t>、经纬苑、锦江西苑</w:t>
            </w:r>
            <w:r>
              <w:rPr>
                <w:rFonts w:hint="eastAsia" w:cs="Times New Roman"/>
                <w:color w:val="auto"/>
                <w:sz w:val="21"/>
                <w:szCs w:val="21"/>
                <w:lang w:val="en-US" w:eastAsia="zh-CN"/>
              </w:rPr>
              <w:t>地块</w:t>
            </w:r>
            <w:r>
              <w:rPr>
                <w:rFonts w:hint="eastAsia" w:cs="Times New Roman"/>
                <w:color w:val="auto"/>
                <w:sz w:val="21"/>
                <w:szCs w:val="21"/>
              </w:rPr>
              <w:t>现状为住宅楼，</w:t>
            </w:r>
            <w:r>
              <w:rPr>
                <w:rFonts w:hint="eastAsia" w:cs="Times New Roman"/>
                <w:color w:val="auto"/>
                <w:sz w:val="21"/>
                <w:szCs w:val="21"/>
                <w:lang w:val="en-US" w:eastAsia="zh-CN"/>
              </w:rPr>
              <w:t>长乐区总工会以办公为主，</w:t>
            </w:r>
            <w:r>
              <w:rPr>
                <w:rFonts w:hint="eastAsia" w:cs="Times New Roman"/>
                <w:color w:val="auto"/>
                <w:sz w:val="21"/>
                <w:szCs w:val="21"/>
              </w:rPr>
              <w:t>将其划入噪声敏感建筑物集中区域。</w:t>
            </w:r>
          </w:p>
        </w:tc>
        <w:tc>
          <w:tcPr>
            <w:tcW w:w="4156" w:type="dxa"/>
            <w:tcMar>
              <w:left w:w="0" w:type="dxa"/>
              <w:right w:w="0" w:type="dxa"/>
            </w:tcMar>
            <w:vAlign w:val="center"/>
          </w:tcPr>
          <w:p w14:paraId="5AD249E4">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cs="Times New Roman"/>
                <w:color w:val="auto"/>
                <w:sz w:val="21"/>
                <w:szCs w:val="21"/>
              </w:rPr>
            </w:pPr>
            <w:r>
              <w:rPr>
                <w:rFonts w:hint="eastAsia" w:cs="Times New Roman"/>
                <w:color w:val="auto"/>
                <w:sz w:val="21"/>
                <w:szCs w:val="21"/>
              </w:rPr>
              <w:t>JZQ0</w:t>
            </w:r>
            <w:r>
              <w:rPr>
                <w:rFonts w:hint="eastAsia" w:cs="Times New Roman"/>
                <w:color w:val="auto"/>
                <w:sz w:val="21"/>
                <w:szCs w:val="21"/>
                <w:lang w:val="en-US" w:eastAsia="zh-CN"/>
              </w:rPr>
              <w:t>02</w:t>
            </w:r>
            <w:r>
              <w:rPr>
                <w:rFonts w:hint="eastAsia" w:cs="Times New Roman"/>
                <w:color w:val="auto"/>
                <w:sz w:val="21"/>
                <w:szCs w:val="21"/>
              </w:rPr>
              <w:t>国家外汇管理局长乐支局</w:t>
            </w:r>
            <w:r>
              <w:rPr>
                <w:rFonts w:hint="eastAsia" w:cs="Times New Roman"/>
                <w:color w:val="auto"/>
                <w:sz w:val="21"/>
                <w:szCs w:val="21"/>
                <w:lang w:val="en-US" w:eastAsia="zh-CN"/>
              </w:rPr>
              <w:t>以办公为主且周边以住宅为主，将其一并</w:t>
            </w:r>
            <w:r>
              <w:rPr>
                <w:rFonts w:hint="eastAsia" w:cs="Times New Roman"/>
                <w:color w:val="auto"/>
                <w:sz w:val="21"/>
                <w:szCs w:val="21"/>
              </w:rPr>
              <w:t>划分为噪声敏感建筑物集中区域。</w:t>
            </w:r>
          </w:p>
        </w:tc>
      </w:tr>
    </w:tbl>
    <w:p w14:paraId="2DB02FED">
      <w:pPr>
        <w:pageBreakBefore w:val="0"/>
        <w:widowControl w:val="0"/>
        <w:kinsoku/>
        <w:wordWrap/>
        <w:overflowPunct/>
        <w:topLinePunct w:val="0"/>
        <w:autoSpaceDE/>
        <w:autoSpaceDN/>
        <w:bidi w:val="0"/>
        <w:adjustRightInd/>
        <w:snapToGrid/>
        <w:spacing w:line="560" w:lineRule="exact"/>
        <w:ind w:left="0" w:leftChars="0" w:firstLine="482"/>
        <w:textAlignment w:val="auto"/>
        <w:rPr>
          <w:rFonts w:hint="eastAsia" w:ascii="楷体_GB2312" w:hAnsi="楷体_GB2312" w:eastAsia="楷体_GB2312" w:cs="楷体_GB2312"/>
          <w:b/>
          <w:bCs/>
          <w:color w:val="auto"/>
          <w:sz w:val="32"/>
          <w:szCs w:val="32"/>
          <w:highlight w:val="yellow"/>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二</w:t>
      </w: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划分面积小于0.1平方千米的噪声敏感建筑物集中区域</w:t>
      </w:r>
    </w:p>
    <w:p w14:paraId="1EF62B00">
      <w:pPr>
        <w:pageBreakBefore w:val="0"/>
        <w:widowControl w:val="0"/>
        <w:kinsoku/>
        <w:wordWrap/>
        <w:overflowPunct/>
        <w:topLinePunct w:val="0"/>
        <w:autoSpaceDE/>
        <w:autoSpaceDN/>
        <w:bidi w:val="0"/>
        <w:adjustRightInd/>
        <w:snapToGrid/>
        <w:spacing w:line="560" w:lineRule="exact"/>
        <w:ind w:left="0" w:leftChars="0" w:firstLine="482"/>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rPr>
        <w:t>本次长乐区噪声敏感建筑物集中区域划分，有</w:t>
      </w: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个集中区域面积小于0.1平方千米，</w:t>
      </w:r>
      <w:r>
        <w:rPr>
          <w:rFonts w:hint="eastAsia" w:ascii="仿宋_GB2312" w:hAnsi="仿宋_GB2312" w:eastAsia="仿宋_GB2312" w:cs="仿宋_GB2312"/>
          <w:b w:val="0"/>
          <w:bCs w:val="0"/>
          <w:color w:val="auto"/>
          <w:sz w:val="32"/>
          <w:szCs w:val="32"/>
          <w:lang w:val="en-US" w:eastAsia="zh-CN"/>
        </w:rPr>
        <w:t>经现场踏勘确认，JZQ008、JZQ010以居住为主，JZQ015以办公为主，将其</w:t>
      </w:r>
      <w:r>
        <w:rPr>
          <w:rFonts w:hint="eastAsia" w:ascii="仿宋_GB2312" w:hAnsi="仿宋_GB2312" w:eastAsia="仿宋_GB2312" w:cs="仿宋_GB2312"/>
          <w:b w:val="0"/>
          <w:bCs w:val="0"/>
          <w:color w:val="auto"/>
          <w:sz w:val="32"/>
          <w:szCs w:val="32"/>
        </w:rPr>
        <w:t>划分为噪声敏感建筑物集中区域。</w:t>
      </w:r>
    </w:p>
    <w:p w14:paraId="3E6BC235">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eastAsia"/>
          <w:b w:val="0"/>
          <w:bCs w:val="0"/>
          <w:sz w:val="32"/>
          <w:szCs w:val="32"/>
        </w:rPr>
      </w:pPr>
      <w:r>
        <w:rPr>
          <w:rFonts w:hint="eastAsia"/>
          <w:b w:val="0"/>
          <w:bCs w:val="0"/>
          <w:sz w:val="32"/>
          <w:szCs w:val="32"/>
          <w:lang w:val="en-US" w:eastAsia="zh-CN"/>
        </w:rPr>
        <w:t>七、</w:t>
      </w:r>
      <w:r>
        <w:rPr>
          <w:rFonts w:hint="eastAsia"/>
          <w:b w:val="0"/>
          <w:bCs w:val="0"/>
          <w:sz w:val="32"/>
          <w:szCs w:val="32"/>
        </w:rPr>
        <w:t>管理规定</w:t>
      </w:r>
    </w:p>
    <w:p w14:paraId="47065354">
      <w:pPr>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rPr>
        <w:t>）</w:t>
      </w:r>
      <w:r>
        <w:rPr>
          <w:rFonts w:hint="eastAsia" w:ascii="仿宋_GB2312" w:hAnsi="仿宋_GB2312" w:eastAsia="仿宋_GB2312" w:cs="仿宋_GB2312"/>
          <w:sz w:val="32"/>
          <w:szCs w:val="32"/>
        </w:rPr>
        <w:t>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第八十八条的规定执行。</w:t>
      </w:r>
    </w:p>
    <w:p w14:paraId="58B7A2D1">
      <w:pPr>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w:t>
      </w: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sz w:val="32"/>
          <w:szCs w:val="32"/>
        </w:rPr>
        <w:t>）</w:t>
      </w:r>
      <w:r>
        <w:rPr>
          <w:rFonts w:hint="eastAsia" w:ascii="仿宋_GB2312" w:hAnsi="仿宋_GB2312" w:eastAsia="仿宋_GB2312" w:cs="仿宋_GB2312"/>
          <w:sz w:val="32"/>
          <w:szCs w:val="32"/>
        </w:rPr>
        <w:t>噪声敏感建筑物集中区域的噪声污染防治职责分工按照《福州市人民政府办公厅关于进一步明确〈中华人民共和国噪声污染防治法〉部分条款部门职责分工的通知》执行。</w:t>
      </w:r>
    </w:p>
    <w:p w14:paraId="17EE1BF2">
      <w:pPr>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rPr>
        <w:t>）</w:t>
      </w:r>
      <w:r>
        <w:rPr>
          <w:rFonts w:hint="eastAsia" w:ascii="仿宋_GB2312" w:hAnsi="仿宋_GB2312" w:eastAsia="仿宋_GB2312" w:cs="仿宋_GB2312"/>
          <w:sz w:val="32"/>
          <w:szCs w:val="32"/>
        </w:rPr>
        <w:t>若因建筑物属性、用地性质或规划发生根本变化，可实施动态修编，原则上不超过5年调整一次，调整程序参照划分方法执行。</w:t>
      </w:r>
    </w:p>
    <w:p w14:paraId="24B2DB99">
      <w:pPr>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rPr>
        <w:t>）</w:t>
      </w:r>
      <w:r>
        <w:rPr>
          <w:rFonts w:hint="eastAsia" w:ascii="仿宋_GB2312" w:hAnsi="仿宋_GB2312" w:eastAsia="仿宋_GB2312" w:cs="仿宋_GB2312"/>
          <w:sz w:val="32"/>
          <w:szCs w:val="32"/>
        </w:rPr>
        <w:t>本方案未尽事宜，根据有关法律法规和规章等相关规定执行。</w:t>
      </w:r>
    </w:p>
    <w:p w14:paraId="7C9F3766">
      <w:pPr>
        <w:pageBreakBefore w:val="0"/>
        <w:widowControl w:val="0"/>
        <w:kinsoku/>
        <w:wordWrap/>
        <w:overflowPunct/>
        <w:topLinePunct w:val="0"/>
        <w:autoSpaceDE/>
        <w:autoSpaceDN/>
        <w:bidi w:val="0"/>
        <w:adjustRightInd/>
        <w:snapToGrid/>
        <w:spacing w:line="560" w:lineRule="exact"/>
        <w:textAlignment w:val="auto"/>
      </w:pPr>
    </w:p>
    <w:p w14:paraId="031D3473">
      <w:pPr>
        <w:pageBreakBefore w:val="0"/>
        <w:widowControl w:val="0"/>
        <w:kinsoku/>
        <w:wordWrap/>
        <w:overflowPunct/>
        <w:topLinePunct w:val="0"/>
        <w:autoSpaceDE/>
        <w:autoSpaceDN/>
        <w:bidi w:val="0"/>
        <w:adjustRightInd/>
        <w:snapToGrid/>
        <w:spacing w:line="560" w:lineRule="exact"/>
        <w:ind w:firstLine="0" w:firstLineChars="0"/>
        <w:textAlignment w:val="auto"/>
        <w:sectPr>
          <w:footerReference r:id="rId8" w:type="default"/>
          <w:pgSz w:w="11906" w:h="16838"/>
          <w:pgMar w:top="2098" w:right="1474" w:bottom="1984" w:left="1587" w:header="851" w:footer="992" w:gutter="0"/>
          <w:pgNumType w:fmt="decimal" w:start="1"/>
          <w:cols w:space="425" w:num="1"/>
          <w:docGrid w:type="lines" w:linePitch="312" w:charSpace="0"/>
        </w:sectPr>
      </w:pPr>
    </w:p>
    <w:p w14:paraId="1271E4F0">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textAlignment w:val="auto"/>
        <w:rPr>
          <w:rFonts w:hint="eastAsia"/>
          <w:b w:val="0"/>
          <w:bCs w:val="0"/>
          <w:sz w:val="32"/>
          <w:szCs w:val="32"/>
        </w:rPr>
      </w:pPr>
      <w:r>
        <w:rPr>
          <w:rFonts w:hint="eastAsia"/>
          <w:b w:val="0"/>
          <w:bCs w:val="0"/>
          <w:sz w:val="32"/>
          <w:szCs w:val="32"/>
          <w:lang w:val="en-US" w:eastAsia="zh-CN"/>
        </w:rPr>
        <w:t>八、</w:t>
      </w:r>
      <w:r>
        <w:rPr>
          <w:rFonts w:hint="eastAsia"/>
          <w:b w:val="0"/>
          <w:bCs w:val="0"/>
          <w:sz w:val="32"/>
          <w:szCs w:val="32"/>
        </w:rPr>
        <w:t>附表</w:t>
      </w:r>
    </w:p>
    <w:p w14:paraId="366897C4">
      <w:pPr>
        <w:ind w:firstLine="0" w:firstLineChars="0"/>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附表1  福州市长乐区噪声敏感建筑物集中区域划定成果统计表</w:t>
      </w:r>
    </w:p>
    <w:tbl>
      <w:tblPr>
        <w:tblStyle w:val="17"/>
        <w:tblW w:w="14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121"/>
        <w:gridCol w:w="8512"/>
        <w:gridCol w:w="1512"/>
      </w:tblGrid>
      <w:tr w14:paraId="6B5D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tcMar>
              <w:left w:w="51" w:type="dxa"/>
              <w:right w:w="51" w:type="dxa"/>
            </w:tcMar>
            <w:vAlign w:val="center"/>
          </w:tcPr>
          <w:p w14:paraId="65931D1B">
            <w:pPr>
              <w:spacing w:line="240" w:lineRule="auto"/>
              <w:ind w:firstLine="0" w:firstLineChars="0"/>
              <w:jc w:val="center"/>
              <w:rPr>
                <w:rFonts w:cs="Times New Roman"/>
                <w:b/>
                <w:sz w:val="21"/>
                <w:szCs w:val="21"/>
              </w:rPr>
            </w:pPr>
            <w:r>
              <w:rPr>
                <w:rFonts w:hint="eastAsia" w:cs="Times New Roman"/>
                <w:b/>
                <w:sz w:val="21"/>
                <w:szCs w:val="21"/>
              </w:rPr>
              <w:t>集中区域编号</w:t>
            </w:r>
          </w:p>
        </w:tc>
        <w:tc>
          <w:tcPr>
            <w:tcW w:w="3121" w:type="dxa"/>
            <w:shd w:val="clear" w:color="auto" w:fill="auto"/>
            <w:tcMar>
              <w:left w:w="51" w:type="dxa"/>
              <w:right w:w="51" w:type="dxa"/>
            </w:tcMar>
            <w:vAlign w:val="center"/>
          </w:tcPr>
          <w:p w14:paraId="57D08C05">
            <w:pPr>
              <w:spacing w:line="240" w:lineRule="auto"/>
              <w:ind w:firstLine="0" w:firstLineChars="0"/>
              <w:jc w:val="center"/>
              <w:rPr>
                <w:rFonts w:cs="Times New Roman"/>
                <w:b/>
                <w:sz w:val="21"/>
                <w:szCs w:val="21"/>
              </w:rPr>
            </w:pPr>
            <w:r>
              <w:rPr>
                <w:rFonts w:hint="eastAsia" w:cs="Times New Roman"/>
                <w:b/>
                <w:sz w:val="21"/>
                <w:szCs w:val="21"/>
              </w:rPr>
              <w:t>集中区域名称</w:t>
            </w:r>
          </w:p>
        </w:tc>
        <w:tc>
          <w:tcPr>
            <w:tcW w:w="8512" w:type="dxa"/>
            <w:shd w:val="clear" w:color="auto" w:fill="auto"/>
            <w:tcMar>
              <w:left w:w="51" w:type="dxa"/>
              <w:right w:w="51" w:type="dxa"/>
            </w:tcMar>
            <w:vAlign w:val="center"/>
          </w:tcPr>
          <w:p w14:paraId="76987547">
            <w:pPr>
              <w:spacing w:line="240" w:lineRule="auto"/>
              <w:ind w:firstLine="0" w:firstLineChars="0"/>
              <w:jc w:val="center"/>
              <w:rPr>
                <w:rFonts w:cs="Times New Roman"/>
                <w:b/>
                <w:sz w:val="21"/>
                <w:szCs w:val="21"/>
              </w:rPr>
            </w:pPr>
            <w:r>
              <w:rPr>
                <w:rFonts w:hint="eastAsia" w:cs="Times New Roman"/>
                <w:b/>
                <w:sz w:val="21"/>
                <w:szCs w:val="21"/>
              </w:rPr>
              <w:t>集中区域边界</w:t>
            </w:r>
          </w:p>
        </w:tc>
        <w:tc>
          <w:tcPr>
            <w:tcW w:w="1512" w:type="dxa"/>
            <w:shd w:val="clear" w:color="auto" w:fill="auto"/>
            <w:tcMar>
              <w:left w:w="51" w:type="dxa"/>
              <w:right w:w="51" w:type="dxa"/>
            </w:tcMar>
            <w:vAlign w:val="center"/>
          </w:tcPr>
          <w:p w14:paraId="51D82059">
            <w:pPr>
              <w:spacing w:line="240" w:lineRule="auto"/>
              <w:ind w:firstLine="0" w:firstLineChars="0"/>
              <w:jc w:val="center"/>
              <w:rPr>
                <w:rFonts w:cs="Times New Roman"/>
                <w:b/>
                <w:sz w:val="21"/>
                <w:szCs w:val="21"/>
              </w:rPr>
            </w:pPr>
            <w:r>
              <w:rPr>
                <w:rFonts w:hint="eastAsia" w:cs="Times New Roman"/>
                <w:b/>
                <w:sz w:val="21"/>
                <w:szCs w:val="21"/>
              </w:rPr>
              <w:t>集中区域面积</w:t>
            </w:r>
            <w:r>
              <w:rPr>
                <w:rFonts w:hint="eastAsia" w:cs="Times New Roman"/>
                <w:b/>
                <w:sz w:val="21"/>
                <w:szCs w:val="21"/>
              </w:rPr>
              <w:br w:type="textWrapping"/>
            </w:r>
            <w:r>
              <w:rPr>
                <w:rFonts w:hint="eastAsia" w:cs="Times New Roman"/>
                <w:b/>
                <w:sz w:val="21"/>
                <w:szCs w:val="21"/>
              </w:rPr>
              <w:t>（</w:t>
            </w:r>
            <w:r>
              <w:rPr>
                <w:rFonts w:cs="Times New Roman"/>
                <w:b/>
                <w:sz w:val="21"/>
                <w:szCs w:val="21"/>
              </w:rPr>
              <w:t>km</w:t>
            </w:r>
            <w:r>
              <w:rPr>
                <w:rFonts w:cs="Times New Roman"/>
                <w:b/>
                <w:sz w:val="21"/>
                <w:szCs w:val="21"/>
                <w:vertAlign w:val="superscript"/>
              </w:rPr>
              <w:t>2</w:t>
            </w:r>
            <w:r>
              <w:rPr>
                <w:rFonts w:hint="eastAsia" w:cs="Times New Roman"/>
                <w:b/>
                <w:sz w:val="21"/>
                <w:szCs w:val="21"/>
              </w:rPr>
              <w:t>）</w:t>
            </w:r>
          </w:p>
        </w:tc>
      </w:tr>
      <w:tr w14:paraId="2DD8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0C1016BE">
            <w:pPr>
              <w:spacing w:line="240" w:lineRule="auto"/>
              <w:ind w:firstLine="0" w:firstLineChars="0"/>
              <w:jc w:val="center"/>
              <w:rPr>
                <w:rFonts w:cs="Times New Roman"/>
                <w:sz w:val="21"/>
              </w:rPr>
            </w:pPr>
            <w:r>
              <w:rPr>
                <w:rFonts w:cs="Times New Roman"/>
                <w:sz w:val="21"/>
                <w:lang w:bidi="ar"/>
              </w:rPr>
              <w:t>JZQ001</w:t>
            </w:r>
          </w:p>
        </w:tc>
        <w:tc>
          <w:tcPr>
            <w:tcW w:w="3121" w:type="dxa"/>
            <w:shd w:val="clear" w:color="auto" w:fill="auto"/>
            <w:tcMar>
              <w:left w:w="51" w:type="dxa"/>
              <w:right w:w="51" w:type="dxa"/>
            </w:tcMar>
            <w:vAlign w:val="center"/>
          </w:tcPr>
          <w:p w14:paraId="604529E6">
            <w:pPr>
              <w:spacing w:line="240" w:lineRule="auto"/>
              <w:ind w:firstLine="0" w:firstLineChars="0"/>
              <w:jc w:val="center"/>
              <w:rPr>
                <w:rFonts w:cs="Times New Roman"/>
                <w:sz w:val="21"/>
              </w:rPr>
            </w:pPr>
            <w:r>
              <w:rPr>
                <w:rStyle w:val="46"/>
                <w:rFonts w:hint="default" w:ascii="Times New Roman" w:hAnsi="Times New Roman" w:cs="Times New Roman"/>
                <w:color w:val="auto"/>
                <w:sz w:val="21"/>
                <w:lang w:bidi="ar"/>
              </w:rPr>
              <w:t>日韵东方区域</w:t>
            </w:r>
          </w:p>
        </w:tc>
        <w:tc>
          <w:tcPr>
            <w:tcW w:w="8512" w:type="dxa"/>
            <w:shd w:val="clear" w:color="auto" w:fill="auto"/>
            <w:tcMar>
              <w:left w:w="51" w:type="dxa"/>
              <w:right w:w="51" w:type="dxa"/>
            </w:tcMar>
            <w:vAlign w:val="center"/>
          </w:tcPr>
          <w:p w14:paraId="58654335">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日韵东方西边界</w:t>
            </w:r>
            <w:r>
              <w:rPr>
                <w:rStyle w:val="47"/>
                <w:color w:val="auto"/>
                <w:sz w:val="21"/>
                <w:lang w:bidi="ar"/>
              </w:rPr>
              <w:t>→</w:t>
            </w:r>
            <w:r>
              <w:rPr>
                <w:rStyle w:val="47"/>
                <w:rFonts w:hint="eastAsia"/>
                <w:color w:val="auto"/>
                <w:sz w:val="21"/>
                <w:lang w:val="en-US" w:eastAsia="zh-CN" w:bidi="ar"/>
              </w:rPr>
              <w:t>东方嘉苑西侧边界</w:t>
            </w:r>
            <w:r>
              <w:rPr>
                <w:rStyle w:val="47"/>
                <w:color w:val="auto"/>
                <w:sz w:val="21"/>
                <w:lang w:bidi="ar"/>
              </w:rPr>
              <w:t>→</w:t>
            </w:r>
            <w:r>
              <w:rPr>
                <w:rStyle w:val="47"/>
                <w:rFonts w:hint="eastAsia"/>
                <w:color w:val="auto"/>
                <w:sz w:val="21"/>
                <w:lang w:val="en-US" w:eastAsia="zh-CN" w:bidi="ar"/>
              </w:rPr>
              <w:t>东方嘉苑南侧边界</w:t>
            </w:r>
            <w:r>
              <w:rPr>
                <w:rStyle w:val="47"/>
                <w:color w:val="auto"/>
                <w:sz w:val="21"/>
                <w:lang w:bidi="ar"/>
              </w:rPr>
              <w:t>→</w:t>
            </w:r>
            <w:r>
              <w:rPr>
                <w:rStyle w:val="46"/>
                <w:rFonts w:hint="default" w:ascii="Times New Roman" w:hAnsi="Times New Roman" w:cs="Times New Roman"/>
                <w:color w:val="auto"/>
                <w:sz w:val="21"/>
                <w:lang w:bidi="ar"/>
              </w:rPr>
              <w:t>东鹤路</w:t>
            </w:r>
            <w:r>
              <w:rPr>
                <w:rStyle w:val="47"/>
                <w:color w:val="auto"/>
                <w:sz w:val="21"/>
                <w:lang w:bidi="ar"/>
              </w:rPr>
              <w:t>→</w:t>
            </w:r>
            <w:r>
              <w:rPr>
                <w:rStyle w:val="46"/>
                <w:rFonts w:hint="default" w:ascii="Times New Roman" w:hAnsi="Times New Roman" w:cs="Times New Roman"/>
                <w:color w:val="auto"/>
                <w:sz w:val="21"/>
                <w:lang w:bidi="ar"/>
              </w:rPr>
              <w:t>鳌山路</w:t>
            </w:r>
          </w:p>
        </w:tc>
        <w:tc>
          <w:tcPr>
            <w:tcW w:w="1512" w:type="dxa"/>
            <w:shd w:val="clear" w:color="auto" w:fill="auto"/>
            <w:noWrap/>
            <w:tcMar>
              <w:left w:w="51" w:type="dxa"/>
              <w:right w:w="51" w:type="dxa"/>
            </w:tcMar>
            <w:vAlign w:val="center"/>
          </w:tcPr>
          <w:p w14:paraId="3FD01C40">
            <w:pPr>
              <w:spacing w:line="240" w:lineRule="auto"/>
              <w:ind w:firstLine="0" w:firstLineChars="0"/>
              <w:jc w:val="center"/>
              <w:rPr>
                <w:rFonts w:cs="Times New Roman"/>
                <w:sz w:val="21"/>
              </w:rPr>
            </w:pPr>
            <w:r>
              <w:rPr>
                <w:rFonts w:cs="Times New Roman"/>
                <w:sz w:val="21"/>
                <w:szCs w:val="20"/>
                <w:lang w:bidi="ar"/>
              </w:rPr>
              <w:t>0.22</w:t>
            </w:r>
          </w:p>
        </w:tc>
      </w:tr>
      <w:tr w14:paraId="58FF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67DEC63E">
            <w:pPr>
              <w:spacing w:line="240" w:lineRule="auto"/>
              <w:ind w:firstLine="0" w:firstLineChars="0"/>
              <w:jc w:val="center"/>
              <w:rPr>
                <w:rFonts w:cs="Times New Roman"/>
                <w:sz w:val="21"/>
              </w:rPr>
            </w:pPr>
            <w:r>
              <w:rPr>
                <w:rFonts w:cs="Times New Roman"/>
                <w:sz w:val="21"/>
                <w:lang w:bidi="ar"/>
              </w:rPr>
              <w:t>JZQ002</w:t>
            </w:r>
          </w:p>
        </w:tc>
        <w:tc>
          <w:tcPr>
            <w:tcW w:w="3121" w:type="dxa"/>
            <w:shd w:val="clear" w:color="auto" w:fill="auto"/>
            <w:tcMar>
              <w:left w:w="51" w:type="dxa"/>
              <w:right w:w="51" w:type="dxa"/>
            </w:tcMar>
            <w:vAlign w:val="center"/>
          </w:tcPr>
          <w:p w14:paraId="68683640">
            <w:pPr>
              <w:spacing w:line="240" w:lineRule="auto"/>
              <w:ind w:firstLine="0" w:firstLineChars="0"/>
              <w:jc w:val="center"/>
              <w:rPr>
                <w:rFonts w:cs="Times New Roman"/>
                <w:sz w:val="21"/>
              </w:rPr>
            </w:pPr>
            <w:r>
              <w:rPr>
                <w:rStyle w:val="46"/>
                <w:rFonts w:hint="eastAsia" w:cs="Times New Roman"/>
                <w:color w:val="auto"/>
                <w:sz w:val="21"/>
                <w:lang w:val="en-US" w:eastAsia="zh-CN" w:bidi="ar"/>
              </w:rPr>
              <w:t>景美小区</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00F62D84">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朝阳南路</w:t>
            </w:r>
            <w:r>
              <w:rPr>
                <w:rStyle w:val="47"/>
                <w:color w:val="auto"/>
                <w:sz w:val="21"/>
                <w:lang w:bidi="ar"/>
              </w:rPr>
              <w:t>→</w:t>
            </w:r>
            <w:r>
              <w:rPr>
                <w:rStyle w:val="46"/>
                <w:rFonts w:hint="default" w:ascii="Times New Roman" w:hAnsi="Times New Roman" w:cs="Times New Roman"/>
                <w:color w:val="auto"/>
                <w:sz w:val="21"/>
                <w:lang w:bidi="ar"/>
              </w:rPr>
              <w:t>龙景路</w:t>
            </w:r>
            <w:r>
              <w:rPr>
                <w:rStyle w:val="47"/>
                <w:color w:val="auto"/>
                <w:sz w:val="21"/>
                <w:lang w:bidi="ar"/>
              </w:rPr>
              <w:t>→</w:t>
            </w:r>
            <w:r>
              <w:rPr>
                <w:rStyle w:val="46"/>
                <w:rFonts w:hint="default" w:ascii="Times New Roman" w:hAnsi="Times New Roman" w:cs="Times New Roman"/>
                <w:color w:val="auto"/>
                <w:sz w:val="21"/>
                <w:lang w:bidi="ar"/>
              </w:rPr>
              <w:t>西洋南路</w:t>
            </w:r>
            <w:r>
              <w:rPr>
                <w:rStyle w:val="46"/>
                <w:rFonts w:hint="eastAsia" w:cs="Times New Roman"/>
                <w:color w:val="auto"/>
                <w:sz w:val="21"/>
                <w:lang w:eastAsia="zh-CN" w:bidi="ar"/>
              </w:rPr>
              <w:t>（</w:t>
            </w:r>
            <w:r>
              <w:rPr>
                <w:rStyle w:val="46"/>
                <w:rFonts w:hint="eastAsia" w:cs="Times New Roman"/>
                <w:color w:val="auto"/>
                <w:sz w:val="21"/>
                <w:lang w:val="en-US" w:eastAsia="zh-CN" w:bidi="ar"/>
              </w:rPr>
              <w:t>不含南区农贸市场</w:t>
            </w:r>
            <w:r>
              <w:rPr>
                <w:rStyle w:val="46"/>
                <w:rFonts w:hint="eastAsia" w:cs="Times New Roman"/>
                <w:color w:val="auto"/>
                <w:sz w:val="21"/>
                <w:lang w:eastAsia="zh-CN" w:bidi="ar"/>
              </w:rPr>
              <w:t>）</w:t>
            </w:r>
            <w:r>
              <w:rPr>
                <w:rStyle w:val="47"/>
                <w:color w:val="auto"/>
                <w:sz w:val="21"/>
                <w:lang w:bidi="ar"/>
              </w:rPr>
              <w:t>→</w:t>
            </w:r>
            <w:r>
              <w:rPr>
                <w:rStyle w:val="46"/>
                <w:rFonts w:hint="default" w:ascii="Times New Roman" w:hAnsi="Times New Roman" w:cs="Times New Roman"/>
                <w:color w:val="auto"/>
                <w:sz w:val="21"/>
                <w:lang w:bidi="ar"/>
              </w:rPr>
              <w:t>吴航路</w:t>
            </w:r>
          </w:p>
        </w:tc>
        <w:tc>
          <w:tcPr>
            <w:tcW w:w="1512" w:type="dxa"/>
            <w:shd w:val="clear" w:color="auto" w:fill="auto"/>
            <w:noWrap/>
            <w:tcMar>
              <w:left w:w="51" w:type="dxa"/>
              <w:right w:w="51" w:type="dxa"/>
            </w:tcMar>
            <w:vAlign w:val="center"/>
          </w:tcPr>
          <w:p w14:paraId="7F3CC284">
            <w:pPr>
              <w:spacing w:line="240" w:lineRule="auto"/>
              <w:ind w:firstLine="0" w:firstLineChars="0"/>
              <w:jc w:val="center"/>
              <w:rPr>
                <w:rFonts w:cs="Times New Roman"/>
                <w:sz w:val="21"/>
              </w:rPr>
            </w:pPr>
            <w:r>
              <w:rPr>
                <w:rFonts w:cs="Times New Roman"/>
                <w:sz w:val="21"/>
                <w:szCs w:val="20"/>
                <w:lang w:bidi="ar"/>
              </w:rPr>
              <w:t>0.12</w:t>
            </w:r>
          </w:p>
        </w:tc>
      </w:tr>
      <w:tr w14:paraId="2586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55C1BCFC">
            <w:pPr>
              <w:spacing w:line="240" w:lineRule="auto"/>
              <w:ind w:firstLine="0" w:firstLineChars="0"/>
              <w:jc w:val="center"/>
              <w:rPr>
                <w:rFonts w:cs="Times New Roman"/>
                <w:sz w:val="21"/>
              </w:rPr>
            </w:pPr>
            <w:r>
              <w:rPr>
                <w:rFonts w:cs="Times New Roman"/>
                <w:sz w:val="21"/>
                <w:lang w:bidi="ar"/>
              </w:rPr>
              <w:t>JZQ003</w:t>
            </w:r>
          </w:p>
        </w:tc>
        <w:tc>
          <w:tcPr>
            <w:tcW w:w="3121" w:type="dxa"/>
            <w:shd w:val="clear" w:color="auto" w:fill="auto"/>
            <w:tcMar>
              <w:left w:w="51" w:type="dxa"/>
              <w:right w:w="51" w:type="dxa"/>
            </w:tcMar>
            <w:vAlign w:val="center"/>
          </w:tcPr>
          <w:p w14:paraId="047BFD3F">
            <w:pPr>
              <w:spacing w:line="240" w:lineRule="auto"/>
              <w:ind w:firstLine="0" w:firstLineChars="0"/>
              <w:jc w:val="center"/>
              <w:rPr>
                <w:rFonts w:cs="Times New Roman"/>
                <w:sz w:val="21"/>
              </w:rPr>
            </w:pPr>
            <w:r>
              <w:rPr>
                <w:rStyle w:val="46"/>
                <w:rFonts w:hint="eastAsia" w:cs="Times New Roman"/>
                <w:color w:val="auto"/>
                <w:sz w:val="21"/>
                <w:lang w:val="en-US" w:eastAsia="zh-CN" w:bidi="ar"/>
              </w:rPr>
              <w:t>罗马花园</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23AF0A5E">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会堂路</w:t>
            </w:r>
            <w:r>
              <w:rPr>
                <w:rStyle w:val="47"/>
                <w:color w:val="auto"/>
                <w:sz w:val="21"/>
                <w:lang w:bidi="ar"/>
              </w:rPr>
              <w:t>→</w:t>
            </w:r>
            <w:r>
              <w:rPr>
                <w:rStyle w:val="46"/>
                <w:rFonts w:hint="default" w:ascii="Times New Roman" w:hAnsi="Times New Roman" w:cs="Times New Roman"/>
                <w:color w:val="auto"/>
                <w:sz w:val="21"/>
                <w:lang w:bidi="ar"/>
              </w:rPr>
              <w:t>龙景路</w:t>
            </w:r>
            <w:r>
              <w:rPr>
                <w:rStyle w:val="47"/>
                <w:color w:val="auto"/>
                <w:sz w:val="21"/>
                <w:lang w:bidi="ar"/>
              </w:rPr>
              <w:t>→</w:t>
            </w:r>
            <w:r>
              <w:rPr>
                <w:rStyle w:val="46"/>
                <w:rFonts w:hint="default" w:ascii="Times New Roman" w:hAnsi="Times New Roman" w:cs="Times New Roman"/>
                <w:color w:val="auto"/>
                <w:sz w:val="21"/>
                <w:lang w:bidi="ar"/>
              </w:rPr>
              <w:t>朝阳南路</w:t>
            </w:r>
            <w:r>
              <w:rPr>
                <w:rStyle w:val="47"/>
                <w:color w:val="auto"/>
                <w:sz w:val="21"/>
                <w:lang w:bidi="ar"/>
              </w:rPr>
              <w:t>→</w:t>
            </w:r>
            <w:r>
              <w:rPr>
                <w:rStyle w:val="46"/>
                <w:rFonts w:hint="default" w:ascii="Times New Roman" w:hAnsi="Times New Roman" w:cs="Times New Roman"/>
                <w:color w:val="auto"/>
                <w:sz w:val="21"/>
                <w:lang w:bidi="ar"/>
              </w:rPr>
              <w:t>吴航路</w:t>
            </w:r>
          </w:p>
        </w:tc>
        <w:tc>
          <w:tcPr>
            <w:tcW w:w="1512" w:type="dxa"/>
            <w:shd w:val="clear" w:color="auto" w:fill="auto"/>
            <w:noWrap/>
            <w:tcMar>
              <w:left w:w="51" w:type="dxa"/>
              <w:right w:w="51" w:type="dxa"/>
            </w:tcMar>
            <w:vAlign w:val="center"/>
          </w:tcPr>
          <w:p w14:paraId="0D2D7FA2">
            <w:pPr>
              <w:spacing w:line="240" w:lineRule="auto"/>
              <w:ind w:firstLine="0" w:firstLineChars="0"/>
              <w:jc w:val="center"/>
              <w:rPr>
                <w:rFonts w:cs="Times New Roman"/>
                <w:sz w:val="21"/>
              </w:rPr>
            </w:pPr>
            <w:r>
              <w:rPr>
                <w:rFonts w:cs="Times New Roman"/>
                <w:sz w:val="21"/>
                <w:szCs w:val="20"/>
                <w:lang w:bidi="ar"/>
              </w:rPr>
              <w:t>0.13</w:t>
            </w:r>
          </w:p>
        </w:tc>
      </w:tr>
      <w:tr w14:paraId="2578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26C39E4F">
            <w:pPr>
              <w:spacing w:line="240" w:lineRule="auto"/>
              <w:ind w:firstLine="0" w:firstLineChars="0"/>
              <w:jc w:val="center"/>
              <w:rPr>
                <w:rFonts w:cs="Times New Roman"/>
                <w:sz w:val="21"/>
              </w:rPr>
            </w:pPr>
            <w:r>
              <w:rPr>
                <w:rFonts w:cs="Times New Roman"/>
                <w:sz w:val="21"/>
                <w:lang w:bidi="ar"/>
              </w:rPr>
              <w:t>JZQ004</w:t>
            </w:r>
          </w:p>
        </w:tc>
        <w:tc>
          <w:tcPr>
            <w:tcW w:w="3121" w:type="dxa"/>
            <w:shd w:val="clear" w:color="auto" w:fill="auto"/>
            <w:tcMar>
              <w:left w:w="51" w:type="dxa"/>
              <w:right w:w="51" w:type="dxa"/>
            </w:tcMar>
            <w:vAlign w:val="center"/>
          </w:tcPr>
          <w:p w14:paraId="399CFBDD">
            <w:pPr>
              <w:spacing w:line="240" w:lineRule="auto"/>
              <w:ind w:firstLine="0" w:firstLineChars="0"/>
              <w:jc w:val="center"/>
              <w:rPr>
                <w:rFonts w:cs="Times New Roman"/>
                <w:sz w:val="21"/>
              </w:rPr>
            </w:pPr>
            <w:r>
              <w:rPr>
                <w:rStyle w:val="46"/>
                <w:rFonts w:hint="eastAsia" w:cs="Times New Roman"/>
                <w:color w:val="auto"/>
                <w:sz w:val="21"/>
                <w:lang w:val="en-US" w:eastAsia="zh-CN" w:bidi="ar"/>
              </w:rPr>
              <w:t>阳光花园一区</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56772BD8">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广场路</w:t>
            </w:r>
            <w:r>
              <w:rPr>
                <w:rStyle w:val="47"/>
                <w:color w:val="auto"/>
                <w:sz w:val="21"/>
                <w:lang w:bidi="ar"/>
              </w:rPr>
              <w:t>→</w:t>
            </w:r>
            <w:r>
              <w:rPr>
                <w:rStyle w:val="46"/>
                <w:rFonts w:hint="default" w:ascii="Times New Roman" w:hAnsi="Times New Roman" w:cs="Times New Roman"/>
                <w:color w:val="auto"/>
                <w:sz w:val="21"/>
                <w:lang w:bidi="ar"/>
              </w:rPr>
              <w:t>龙景路</w:t>
            </w:r>
            <w:r>
              <w:rPr>
                <w:rStyle w:val="47"/>
                <w:color w:val="auto"/>
                <w:sz w:val="21"/>
                <w:lang w:bidi="ar"/>
              </w:rPr>
              <w:t>→</w:t>
            </w:r>
            <w:r>
              <w:rPr>
                <w:rStyle w:val="46"/>
                <w:rFonts w:hint="default" w:ascii="Times New Roman" w:hAnsi="Times New Roman" w:cs="Times New Roman"/>
                <w:color w:val="auto"/>
                <w:sz w:val="21"/>
                <w:lang w:bidi="ar"/>
              </w:rPr>
              <w:t>会堂路</w:t>
            </w:r>
            <w:r>
              <w:rPr>
                <w:rStyle w:val="47"/>
                <w:color w:val="auto"/>
                <w:sz w:val="21"/>
                <w:lang w:bidi="ar"/>
              </w:rPr>
              <w:t>→</w:t>
            </w:r>
            <w:r>
              <w:rPr>
                <w:rStyle w:val="46"/>
                <w:rFonts w:hint="default" w:ascii="Times New Roman" w:hAnsi="Times New Roman" w:cs="Times New Roman"/>
                <w:color w:val="auto"/>
                <w:sz w:val="21"/>
                <w:lang w:bidi="ar"/>
              </w:rPr>
              <w:t>吴航路</w:t>
            </w:r>
          </w:p>
        </w:tc>
        <w:tc>
          <w:tcPr>
            <w:tcW w:w="1512" w:type="dxa"/>
            <w:shd w:val="clear" w:color="auto" w:fill="auto"/>
            <w:noWrap/>
            <w:tcMar>
              <w:left w:w="51" w:type="dxa"/>
              <w:right w:w="51" w:type="dxa"/>
            </w:tcMar>
            <w:vAlign w:val="center"/>
          </w:tcPr>
          <w:p w14:paraId="34D9E026">
            <w:pPr>
              <w:spacing w:line="240" w:lineRule="auto"/>
              <w:ind w:firstLine="0" w:firstLineChars="0"/>
              <w:jc w:val="center"/>
              <w:rPr>
                <w:rFonts w:cs="Times New Roman"/>
                <w:sz w:val="21"/>
              </w:rPr>
            </w:pPr>
            <w:r>
              <w:rPr>
                <w:rFonts w:cs="Times New Roman"/>
                <w:sz w:val="21"/>
                <w:szCs w:val="20"/>
                <w:lang w:bidi="ar"/>
              </w:rPr>
              <w:t>0.12</w:t>
            </w:r>
          </w:p>
        </w:tc>
      </w:tr>
      <w:tr w14:paraId="5FA4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jc w:val="center"/>
        </w:trPr>
        <w:tc>
          <w:tcPr>
            <w:tcW w:w="1413" w:type="dxa"/>
            <w:shd w:val="clear" w:color="auto" w:fill="auto"/>
            <w:noWrap/>
            <w:tcMar>
              <w:left w:w="51" w:type="dxa"/>
              <w:right w:w="51" w:type="dxa"/>
            </w:tcMar>
            <w:vAlign w:val="center"/>
          </w:tcPr>
          <w:p w14:paraId="2C39BC00">
            <w:pPr>
              <w:spacing w:line="240" w:lineRule="auto"/>
              <w:ind w:firstLine="0" w:firstLineChars="0"/>
              <w:jc w:val="center"/>
              <w:rPr>
                <w:rFonts w:cs="Times New Roman"/>
                <w:sz w:val="21"/>
              </w:rPr>
            </w:pPr>
            <w:r>
              <w:rPr>
                <w:rFonts w:cs="Times New Roman"/>
                <w:sz w:val="21"/>
                <w:lang w:bidi="ar"/>
              </w:rPr>
              <w:t>JZQ005</w:t>
            </w:r>
          </w:p>
        </w:tc>
        <w:tc>
          <w:tcPr>
            <w:tcW w:w="3121" w:type="dxa"/>
            <w:shd w:val="clear" w:color="auto" w:fill="auto"/>
            <w:tcMar>
              <w:left w:w="51" w:type="dxa"/>
              <w:right w:w="51" w:type="dxa"/>
            </w:tcMar>
            <w:vAlign w:val="center"/>
          </w:tcPr>
          <w:p w14:paraId="3DEE2012">
            <w:pPr>
              <w:spacing w:line="240" w:lineRule="auto"/>
              <w:ind w:firstLine="0" w:firstLineChars="0"/>
              <w:jc w:val="center"/>
              <w:rPr>
                <w:rFonts w:cs="Times New Roman"/>
                <w:sz w:val="21"/>
              </w:rPr>
            </w:pPr>
            <w:r>
              <w:rPr>
                <w:rStyle w:val="46"/>
                <w:rFonts w:hint="eastAsia" w:cs="Times New Roman"/>
                <w:color w:val="auto"/>
                <w:sz w:val="21"/>
                <w:lang w:val="en-US" w:eastAsia="zh-CN" w:bidi="ar"/>
              </w:rPr>
              <w:t>海峡路小学</w:t>
            </w:r>
            <w:r>
              <w:rPr>
                <w:rStyle w:val="46"/>
                <w:rFonts w:hint="default" w:cs="Times New Roman"/>
                <w:color w:val="auto"/>
                <w:sz w:val="21"/>
                <w:lang w:val="en-US" w:eastAsia="zh-CN" w:bidi="ar"/>
              </w:rPr>
              <w:t>区域</w:t>
            </w:r>
          </w:p>
        </w:tc>
        <w:tc>
          <w:tcPr>
            <w:tcW w:w="8512" w:type="dxa"/>
            <w:shd w:val="clear" w:color="auto" w:fill="auto"/>
            <w:tcMar>
              <w:left w:w="51" w:type="dxa"/>
              <w:right w:w="51" w:type="dxa"/>
            </w:tcMar>
            <w:vAlign w:val="center"/>
          </w:tcPr>
          <w:p w14:paraId="735124BC">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海峡路（不含</w:t>
            </w:r>
            <w:r>
              <w:rPr>
                <w:rStyle w:val="46"/>
                <w:rFonts w:hint="eastAsia" w:cs="Times New Roman"/>
                <w:color w:val="auto"/>
                <w:sz w:val="21"/>
                <w:lang w:val="en-US" w:eastAsia="zh-CN" w:bidi="ar"/>
              </w:rPr>
              <w:t>恒申悦城</w:t>
            </w:r>
            <w:r>
              <w:rPr>
                <w:rStyle w:val="46"/>
                <w:rFonts w:hint="default" w:ascii="Times New Roman" w:hAnsi="Times New Roman" w:cs="Times New Roman"/>
                <w:color w:val="auto"/>
                <w:sz w:val="21"/>
                <w:lang w:bidi="ar"/>
              </w:rPr>
              <w:t>）</w:t>
            </w:r>
            <w:r>
              <w:rPr>
                <w:rStyle w:val="47"/>
                <w:color w:val="auto"/>
                <w:sz w:val="21"/>
                <w:lang w:bidi="ar"/>
              </w:rPr>
              <w:t>→</w:t>
            </w:r>
            <w:r>
              <w:rPr>
                <w:rStyle w:val="46"/>
                <w:rFonts w:hint="default" w:ascii="Times New Roman" w:hAnsi="Times New Roman" w:cs="Times New Roman"/>
                <w:color w:val="auto"/>
                <w:sz w:val="21"/>
                <w:lang w:bidi="ar"/>
              </w:rPr>
              <w:t>永硕</w:t>
            </w:r>
            <w:r>
              <w:rPr>
                <w:rStyle w:val="47"/>
                <w:color w:val="auto"/>
                <w:sz w:val="21"/>
                <w:lang w:bidi="ar"/>
              </w:rPr>
              <w:t>·</w:t>
            </w:r>
            <w:r>
              <w:rPr>
                <w:rStyle w:val="46"/>
                <w:rFonts w:hint="default" w:ascii="Times New Roman" w:hAnsi="Times New Roman" w:cs="Times New Roman"/>
                <w:color w:val="auto"/>
                <w:sz w:val="21"/>
                <w:lang w:bidi="ar"/>
              </w:rPr>
              <w:t>龙庭湾</w:t>
            </w:r>
            <w:r>
              <w:rPr>
                <w:rStyle w:val="47"/>
                <w:color w:val="auto"/>
                <w:sz w:val="21"/>
                <w:lang w:bidi="ar"/>
              </w:rPr>
              <w:t>B</w:t>
            </w:r>
            <w:r>
              <w:rPr>
                <w:rStyle w:val="46"/>
                <w:rFonts w:hint="default" w:ascii="Times New Roman" w:hAnsi="Times New Roman" w:cs="Times New Roman"/>
                <w:color w:val="auto"/>
                <w:sz w:val="21"/>
                <w:lang w:bidi="ar"/>
              </w:rPr>
              <w:t>区西南边界</w:t>
            </w:r>
            <w:r>
              <w:rPr>
                <w:rStyle w:val="47"/>
                <w:color w:val="auto"/>
                <w:sz w:val="21"/>
                <w:lang w:bidi="ar"/>
              </w:rPr>
              <w:t>→</w:t>
            </w:r>
            <w:r>
              <w:rPr>
                <w:rStyle w:val="46"/>
                <w:rFonts w:hint="default" w:ascii="Times New Roman" w:hAnsi="Times New Roman" w:cs="Times New Roman"/>
                <w:color w:val="auto"/>
                <w:sz w:val="21"/>
                <w:lang w:bidi="ar"/>
              </w:rPr>
              <w:t>广场路（不含国惠大酒店）</w:t>
            </w:r>
            <w:r>
              <w:rPr>
                <w:rStyle w:val="47"/>
                <w:color w:val="auto"/>
                <w:sz w:val="21"/>
                <w:lang w:bidi="ar"/>
              </w:rPr>
              <w:t>→</w:t>
            </w:r>
            <w:r>
              <w:rPr>
                <w:rStyle w:val="46"/>
                <w:rFonts w:hint="default" w:ascii="Times New Roman" w:hAnsi="Times New Roman" w:cs="Times New Roman"/>
                <w:color w:val="auto"/>
                <w:sz w:val="21"/>
                <w:lang w:bidi="ar"/>
              </w:rPr>
              <w:t>吴航路</w:t>
            </w:r>
          </w:p>
        </w:tc>
        <w:tc>
          <w:tcPr>
            <w:tcW w:w="1512" w:type="dxa"/>
            <w:shd w:val="clear" w:color="auto" w:fill="auto"/>
            <w:noWrap/>
            <w:tcMar>
              <w:left w:w="51" w:type="dxa"/>
              <w:right w:w="51" w:type="dxa"/>
            </w:tcMar>
            <w:vAlign w:val="center"/>
          </w:tcPr>
          <w:p w14:paraId="0AFB241B">
            <w:pPr>
              <w:spacing w:line="240" w:lineRule="auto"/>
              <w:ind w:firstLine="0" w:firstLineChars="0"/>
              <w:jc w:val="center"/>
              <w:rPr>
                <w:rFonts w:cs="Times New Roman"/>
                <w:sz w:val="21"/>
              </w:rPr>
            </w:pPr>
            <w:r>
              <w:rPr>
                <w:rFonts w:cs="Times New Roman"/>
                <w:sz w:val="21"/>
                <w:szCs w:val="20"/>
                <w:lang w:bidi="ar"/>
              </w:rPr>
              <w:t>0.24</w:t>
            </w:r>
          </w:p>
        </w:tc>
      </w:tr>
      <w:tr w14:paraId="2D8B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413" w:type="dxa"/>
            <w:shd w:val="clear" w:color="auto" w:fill="auto"/>
            <w:noWrap/>
            <w:tcMar>
              <w:left w:w="51" w:type="dxa"/>
              <w:right w:w="51" w:type="dxa"/>
            </w:tcMar>
            <w:vAlign w:val="center"/>
          </w:tcPr>
          <w:p w14:paraId="50F9ECD0">
            <w:pPr>
              <w:spacing w:line="240" w:lineRule="auto"/>
              <w:ind w:firstLine="0" w:firstLineChars="0"/>
              <w:jc w:val="center"/>
              <w:rPr>
                <w:rFonts w:cs="Times New Roman"/>
                <w:sz w:val="21"/>
              </w:rPr>
            </w:pPr>
            <w:r>
              <w:rPr>
                <w:rFonts w:cs="Times New Roman"/>
                <w:sz w:val="21"/>
                <w:lang w:bidi="ar"/>
              </w:rPr>
              <w:t>JZQ006</w:t>
            </w:r>
          </w:p>
        </w:tc>
        <w:tc>
          <w:tcPr>
            <w:tcW w:w="3121" w:type="dxa"/>
            <w:shd w:val="clear" w:color="auto" w:fill="auto"/>
            <w:tcMar>
              <w:left w:w="51" w:type="dxa"/>
              <w:right w:w="51" w:type="dxa"/>
            </w:tcMar>
            <w:vAlign w:val="center"/>
          </w:tcPr>
          <w:p w14:paraId="1EFEC141">
            <w:pPr>
              <w:spacing w:line="240" w:lineRule="auto"/>
              <w:ind w:firstLine="0" w:firstLineChars="0"/>
              <w:jc w:val="center"/>
              <w:rPr>
                <w:rFonts w:cs="Times New Roman"/>
                <w:sz w:val="21"/>
              </w:rPr>
            </w:pPr>
            <w:r>
              <w:rPr>
                <w:rStyle w:val="46"/>
                <w:rFonts w:hint="eastAsia" w:cs="Times New Roman"/>
                <w:color w:val="auto"/>
                <w:sz w:val="21"/>
                <w:lang w:val="en-US" w:eastAsia="zh-CN" w:bidi="ar"/>
              </w:rPr>
              <w:t>和平街</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2E489E5A">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长乐第一中学西边界</w:t>
            </w:r>
            <w:r>
              <w:rPr>
                <w:rStyle w:val="47"/>
                <w:color w:val="auto"/>
                <w:sz w:val="21"/>
                <w:lang w:bidi="ar"/>
              </w:rPr>
              <w:t>→</w:t>
            </w:r>
            <w:r>
              <w:rPr>
                <w:rStyle w:val="47"/>
                <w:rFonts w:hint="eastAsia"/>
                <w:color w:val="auto"/>
                <w:sz w:val="21"/>
                <w:lang w:val="en-US" w:eastAsia="zh-CN" w:bidi="ar"/>
              </w:rPr>
              <w:t>和平街</w:t>
            </w:r>
            <w:r>
              <w:rPr>
                <w:rStyle w:val="47"/>
                <w:color w:val="auto"/>
                <w:sz w:val="21"/>
                <w:lang w:bidi="ar"/>
              </w:rPr>
              <w:t>→</w:t>
            </w:r>
            <w:r>
              <w:rPr>
                <w:rStyle w:val="46"/>
                <w:rFonts w:hint="eastAsia" w:cs="Times New Roman"/>
                <w:color w:val="auto"/>
                <w:sz w:val="21"/>
                <w:lang w:val="en-US" w:eastAsia="zh-CN" w:bidi="ar"/>
              </w:rPr>
              <w:t>汾阳新村东侧边界</w:t>
            </w:r>
            <w:r>
              <w:rPr>
                <w:rStyle w:val="47"/>
                <w:color w:val="auto"/>
                <w:sz w:val="21"/>
                <w:lang w:bidi="ar"/>
              </w:rPr>
              <w:t>→</w:t>
            </w:r>
            <w:r>
              <w:rPr>
                <w:rStyle w:val="46"/>
                <w:rFonts w:hint="default" w:ascii="Times New Roman" w:hAnsi="Times New Roman" w:cs="Times New Roman"/>
                <w:color w:val="auto"/>
                <w:sz w:val="21"/>
                <w:lang w:bidi="ar"/>
              </w:rPr>
              <w:t>郑和东路</w:t>
            </w:r>
            <w:r>
              <w:rPr>
                <w:rStyle w:val="47"/>
                <w:color w:val="auto"/>
                <w:sz w:val="21"/>
                <w:lang w:bidi="ar"/>
              </w:rPr>
              <w:t>→</w:t>
            </w:r>
            <w:r>
              <w:rPr>
                <w:rStyle w:val="46"/>
                <w:rFonts w:hint="default" w:ascii="Times New Roman" w:hAnsi="Times New Roman" w:cs="Times New Roman"/>
                <w:color w:val="auto"/>
                <w:sz w:val="21"/>
                <w:lang w:bidi="ar"/>
              </w:rPr>
              <w:t>东鹤路</w:t>
            </w:r>
            <w:r>
              <w:rPr>
                <w:rStyle w:val="47"/>
                <w:color w:val="auto"/>
                <w:sz w:val="21"/>
                <w:lang w:bidi="ar"/>
              </w:rPr>
              <w:t>→</w:t>
            </w:r>
            <w:r>
              <w:rPr>
                <w:rStyle w:val="46"/>
                <w:rFonts w:hint="default" w:ascii="Times New Roman" w:hAnsi="Times New Roman" w:cs="Times New Roman"/>
                <w:color w:val="auto"/>
                <w:sz w:val="21"/>
                <w:lang w:bidi="ar"/>
              </w:rPr>
              <w:t>吴航街道办事处东边界</w:t>
            </w:r>
            <w:r>
              <w:rPr>
                <w:rStyle w:val="47"/>
                <w:color w:val="auto"/>
                <w:sz w:val="21"/>
                <w:lang w:bidi="ar"/>
              </w:rPr>
              <w:t>→</w:t>
            </w:r>
            <w:r>
              <w:rPr>
                <w:rStyle w:val="46"/>
                <w:rFonts w:hint="default" w:ascii="Times New Roman" w:hAnsi="Times New Roman" w:cs="Times New Roman"/>
                <w:color w:val="auto"/>
                <w:sz w:val="21"/>
                <w:lang w:bidi="ar"/>
              </w:rPr>
              <w:t>长乐高级中学东边界</w:t>
            </w:r>
            <w:r>
              <w:rPr>
                <w:rStyle w:val="47"/>
                <w:color w:val="auto"/>
                <w:sz w:val="21"/>
                <w:lang w:bidi="ar"/>
              </w:rPr>
              <w:t>→</w:t>
            </w:r>
            <w:r>
              <w:rPr>
                <w:rStyle w:val="46"/>
                <w:rFonts w:hint="default" w:ascii="Times New Roman" w:hAnsi="Times New Roman" w:cs="Times New Roman"/>
                <w:color w:val="auto"/>
                <w:sz w:val="21"/>
                <w:lang w:bidi="ar"/>
              </w:rPr>
              <w:t>机场高速</w:t>
            </w:r>
          </w:p>
        </w:tc>
        <w:tc>
          <w:tcPr>
            <w:tcW w:w="1512" w:type="dxa"/>
            <w:shd w:val="clear" w:color="auto" w:fill="auto"/>
            <w:noWrap/>
            <w:tcMar>
              <w:left w:w="51" w:type="dxa"/>
              <w:right w:w="51" w:type="dxa"/>
            </w:tcMar>
            <w:vAlign w:val="center"/>
          </w:tcPr>
          <w:p w14:paraId="32EF9DF7">
            <w:pPr>
              <w:spacing w:line="240" w:lineRule="auto"/>
              <w:ind w:firstLine="0" w:firstLineChars="0"/>
              <w:jc w:val="center"/>
              <w:rPr>
                <w:rFonts w:cs="Times New Roman"/>
                <w:sz w:val="21"/>
              </w:rPr>
            </w:pPr>
            <w:r>
              <w:rPr>
                <w:rFonts w:cs="Times New Roman"/>
                <w:sz w:val="21"/>
                <w:szCs w:val="20"/>
                <w:lang w:bidi="ar"/>
              </w:rPr>
              <w:t>0.32</w:t>
            </w:r>
          </w:p>
        </w:tc>
      </w:tr>
      <w:tr w14:paraId="6486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693EF60C">
            <w:pPr>
              <w:spacing w:line="240" w:lineRule="auto"/>
              <w:ind w:firstLine="0" w:firstLineChars="0"/>
              <w:jc w:val="center"/>
              <w:rPr>
                <w:rFonts w:cs="Times New Roman"/>
                <w:sz w:val="21"/>
              </w:rPr>
            </w:pPr>
            <w:r>
              <w:rPr>
                <w:rFonts w:cs="Times New Roman"/>
                <w:sz w:val="21"/>
                <w:lang w:bidi="ar"/>
              </w:rPr>
              <w:t>JZQ007</w:t>
            </w:r>
          </w:p>
        </w:tc>
        <w:tc>
          <w:tcPr>
            <w:tcW w:w="3121" w:type="dxa"/>
            <w:shd w:val="clear" w:color="auto" w:fill="auto"/>
            <w:tcMar>
              <w:left w:w="51" w:type="dxa"/>
              <w:right w:w="51" w:type="dxa"/>
            </w:tcMar>
            <w:vAlign w:val="center"/>
          </w:tcPr>
          <w:p w14:paraId="2F721F8C">
            <w:pPr>
              <w:spacing w:line="240" w:lineRule="auto"/>
              <w:ind w:firstLine="0" w:firstLineChars="0"/>
              <w:jc w:val="center"/>
              <w:rPr>
                <w:rFonts w:cs="Times New Roman"/>
                <w:sz w:val="21"/>
              </w:rPr>
            </w:pPr>
            <w:r>
              <w:rPr>
                <w:rStyle w:val="46"/>
                <w:rFonts w:hint="eastAsia" w:cs="Times New Roman"/>
                <w:color w:val="auto"/>
                <w:sz w:val="21"/>
                <w:lang w:val="en-US" w:eastAsia="zh-CN" w:bidi="ar"/>
              </w:rPr>
              <w:t>宏航新城</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48311AFF">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朝阳中路</w:t>
            </w:r>
            <w:r>
              <w:rPr>
                <w:rStyle w:val="47"/>
                <w:color w:val="auto"/>
                <w:sz w:val="21"/>
                <w:lang w:bidi="ar"/>
              </w:rPr>
              <w:t>→</w:t>
            </w:r>
            <w:r>
              <w:rPr>
                <w:rStyle w:val="46"/>
                <w:rFonts w:hint="default" w:ascii="Times New Roman" w:hAnsi="Times New Roman" w:cs="Times New Roman"/>
                <w:color w:val="auto"/>
                <w:sz w:val="21"/>
                <w:lang w:bidi="ar"/>
              </w:rPr>
              <w:t>吴航路</w:t>
            </w:r>
            <w:r>
              <w:rPr>
                <w:rStyle w:val="47"/>
                <w:color w:val="auto"/>
                <w:sz w:val="21"/>
                <w:lang w:bidi="ar"/>
              </w:rPr>
              <w:t>→</w:t>
            </w:r>
            <w:r>
              <w:rPr>
                <w:rStyle w:val="46"/>
                <w:rFonts w:hint="default" w:ascii="Times New Roman" w:hAnsi="Times New Roman" w:cs="Times New Roman"/>
                <w:color w:val="auto"/>
                <w:sz w:val="21"/>
                <w:lang w:bidi="ar"/>
              </w:rPr>
              <w:t>西洋中路</w:t>
            </w:r>
            <w:r>
              <w:rPr>
                <w:rStyle w:val="47"/>
                <w:color w:val="auto"/>
                <w:sz w:val="21"/>
                <w:lang w:bidi="ar"/>
              </w:rPr>
              <w:t>→</w:t>
            </w:r>
            <w:r>
              <w:rPr>
                <w:rStyle w:val="46"/>
                <w:rFonts w:hint="default" w:ascii="Times New Roman" w:hAnsi="Times New Roman" w:cs="Times New Roman"/>
                <w:color w:val="auto"/>
                <w:sz w:val="21"/>
                <w:lang w:bidi="ar"/>
              </w:rPr>
              <w:t>国际明珠</w:t>
            </w:r>
            <w:r>
              <w:rPr>
                <w:rStyle w:val="46"/>
                <w:rFonts w:hint="eastAsia" w:cs="Times New Roman"/>
                <w:color w:val="auto"/>
                <w:sz w:val="21"/>
                <w:lang w:val="en-US" w:eastAsia="zh-CN" w:bidi="ar"/>
              </w:rPr>
              <w:t>南</w:t>
            </w:r>
            <w:r>
              <w:rPr>
                <w:rStyle w:val="46"/>
                <w:rFonts w:hint="default" w:ascii="Times New Roman" w:hAnsi="Times New Roman" w:cs="Times New Roman"/>
                <w:color w:val="auto"/>
                <w:sz w:val="21"/>
                <w:lang w:bidi="ar"/>
              </w:rPr>
              <w:t>边界</w:t>
            </w:r>
            <w:r>
              <w:rPr>
                <w:rStyle w:val="47"/>
                <w:color w:val="auto"/>
                <w:sz w:val="21"/>
                <w:lang w:bidi="ar"/>
              </w:rPr>
              <w:t>→</w:t>
            </w:r>
            <w:r>
              <w:rPr>
                <w:rStyle w:val="46"/>
                <w:rFonts w:hint="default" w:ascii="Times New Roman" w:hAnsi="Times New Roman" w:cs="Times New Roman"/>
                <w:color w:val="auto"/>
                <w:sz w:val="21"/>
                <w:lang w:bidi="ar"/>
              </w:rPr>
              <w:t>国际明珠</w:t>
            </w:r>
            <w:r>
              <w:rPr>
                <w:rStyle w:val="46"/>
                <w:rFonts w:hint="eastAsia" w:cs="Times New Roman"/>
                <w:color w:val="auto"/>
                <w:sz w:val="21"/>
                <w:lang w:val="en-US" w:eastAsia="zh-CN" w:bidi="ar"/>
              </w:rPr>
              <w:t>西</w:t>
            </w:r>
            <w:r>
              <w:rPr>
                <w:rStyle w:val="46"/>
                <w:rFonts w:hint="default" w:ascii="Times New Roman" w:hAnsi="Times New Roman" w:cs="Times New Roman"/>
                <w:color w:val="auto"/>
                <w:sz w:val="21"/>
                <w:lang w:bidi="ar"/>
              </w:rPr>
              <w:t>边界</w:t>
            </w:r>
            <w:r>
              <w:rPr>
                <w:rStyle w:val="47"/>
                <w:color w:val="auto"/>
                <w:sz w:val="21"/>
                <w:lang w:bidi="ar"/>
              </w:rPr>
              <w:t>→</w:t>
            </w:r>
            <w:r>
              <w:rPr>
                <w:rStyle w:val="46"/>
                <w:rFonts w:hint="default" w:ascii="Times New Roman" w:hAnsi="Times New Roman" w:cs="Times New Roman"/>
                <w:color w:val="auto"/>
                <w:sz w:val="21"/>
                <w:lang w:bidi="ar"/>
              </w:rPr>
              <w:t>郑和中路</w:t>
            </w:r>
          </w:p>
        </w:tc>
        <w:tc>
          <w:tcPr>
            <w:tcW w:w="1512" w:type="dxa"/>
            <w:shd w:val="clear" w:color="auto" w:fill="auto"/>
            <w:noWrap/>
            <w:tcMar>
              <w:left w:w="51" w:type="dxa"/>
              <w:right w:w="51" w:type="dxa"/>
            </w:tcMar>
            <w:vAlign w:val="center"/>
          </w:tcPr>
          <w:p w14:paraId="1EE57A03">
            <w:pPr>
              <w:spacing w:line="240" w:lineRule="auto"/>
              <w:ind w:firstLine="0" w:firstLineChars="0"/>
              <w:jc w:val="center"/>
              <w:rPr>
                <w:rFonts w:cs="Times New Roman"/>
                <w:sz w:val="21"/>
              </w:rPr>
            </w:pPr>
            <w:r>
              <w:rPr>
                <w:rFonts w:cs="Times New Roman"/>
                <w:sz w:val="21"/>
                <w:szCs w:val="20"/>
                <w:lang w:bidi="ar"/>
              </w:rPr>
              <w:t>0.14</w:t>
            </w:r>
          </w:p>
        </w:tc>
      </w:tr>
      <w:tr w14:paraId="5779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174D5305">
            <w:pPr>
              <w:spacing w:line="240" w:lineRule="auto"/>
              <w:ind w:firstLine="0" w:firstLineChars="0"/>
              <w:jc w:val="center"/>
              <w:rPr>
                <w:rFonts w:cs="Times New Roman"/>
                <w:sz w:val="21"/>
              </w:rPr>
            </w:pPr>
            <w:r>
              <w:rPr>
                <w:rFonts w:cs="Times New Roman"/>
                <w:sz w:val="21"/>
                <w:lang w:bidi="ar"/>
              </w:rPr>
              <w:t>JZQ008</w:t>
            </w:r>
          </w:p>
        </w:tc>
        <w:tc>
          <w:tcPr>
            <w:tcW w:w="3121" w:type="dxa"/>
            <w:shd w:val="clear" w:color="auto" w:fill="auto"/>
            <w:tcMar>
              <w:left w:w="51" w:type="dxa"/>
              <w:right w:w="51" w:type="dxa"/>
            </w:tcMar>
            <w:vAlign w:val="center"/>
          </w:tcPr>
          <w:p w14:paraId="0C76B113">
            <w:pPr>
              <w:spacing w:line="240" w:lineRule="auto"/>
              <w:ind w:firstLine="0" w:firstLineChars="0"/>
              <w:jc w:val="center"/>
              <w:rPr>
                <w:rFonts w:cs="Times New Roman"/>
                <w:sz w:val="21"/>
              </w:rPr>
            </w:pPr>
            <w:r>
              <w:rPr>
                <w:rStyle w:val="46"/>
                <w:rFonts w:hint="eastAsia" w:cs="Times New Roman"/>
                <w:color w:val="auto"/>
                <w:sz w:val="21"/>
                <w:lang w:val="en-US" w:eastAsia="zh-CN" w:bidi="ar"/>
              </w:rPr>
              <w:t>新乐花园</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4073D99A">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会堂路</w:t>
            </w:r>
            <w:r>
              <w:rPr>
                <w:rStyle w:val="47"/>
                <w:color w:val="auto"/>
                <w:sz w:val="21"/>
                <w:lang w:bidi="ar"/>
              </w:rPr>
              <w:t>→</w:t>
            </w:r>
            <w:r>
              <w:rPr>
                <w:rStyle w:val="46"/>
                <w:rFonts w:hint="default" w:ascii="Times New Roman" w:hAnsi="Times New Roman" w:cs="Times New Roman"/>
                <w:color w:val="auto"/>
                <w:sz w:val="21"/>
                <w:lang w:bidi="ar"/>
              </w:rPr>
              <w:t>吴航路</w:t>
            </w:r>
            <w:r>
              <w:rPr>
                <w:rStyle w:val="47"/>
                <w:color w:val="auto"/>
                <w:sz w:val="21"/>
                <w:lang w:bidi="ar"/>
              </w:rPr>
              <w:t>→</w:t>
            </w:r>
            <w:r>
              <w:rPr>
                <w:rStyle w:val="46"/>
                <w:rFonts w:hint="default" w:ascii="Times New Roman" w:hAnsi="Times New Roman" w:cs="Times New Roman"/>
                <w:color w:val="auto"/>
                <w:sz w:val="21"/>
                <w:lang w:bidi="ar"/>
              </w:rPr>
              <w:t>朝阳中路</w:t>
            </w:r>
            <w:r>
              <w:rPr>
                <w:rStyle w:val="47"/>
                <w:color w:val="auto"/>
                <w:sz w:val="21"/>
                <w:lang w:bidi="ar"/>
              </w:rPr>
              <w:t>→</w:t>
            </w:r>
            <w:r>
              <w:rPr>
                <w:rStyle w:val="46"/>
                <w:rFonts w:hint="default" w:ascii="Times New Roman" w:hAnsi="Times New Roman" w:cs="Times New Roman"/>
                <w:color w:val="auto"/>
                <w:sz w:val="21"/>
                <w:lang w:bidi="ar"/>
              </w:rPr>
              <w:t>洞江巷</w:t>
            </w:r>
          </w:p>
        </w:tc>
        <w:tc>
          <w:tcPr>
            <w:tcW w:w="1512" w:type="dxa"/>
            <w:shd w:val="clear" w:color="auto" w:fill="auto"/>
            <w:noWrap/>
            <w:tcMar>
              <w:left w:w="51" w:type="dxa"/>
              <w:right w:w="51" w:type="dxa"/>
            </w:tcMar>
            <w:vAlign w:val="center"/>
          </w:tcPr>
          <w:p w14:paraId="376FCF86">
            <w:pPr>
              <w:spacing w:line="240" w:lineRule="auto"/>
              <w:ind w:firstLine="0" w:firstLineChars="0"/>
              <w:jc w:val="center"/>
              <w:rPr>
                <w:rFonts w:cs="Times New Roman"/>
                <w:sz w:val="21"/>
              </w:rPr>
            </w:pPr>
            <w:r>
              <w:rPr>
                <w:rFonts w:cs="Times New Roman"/>
                <w:sz w:val="21"/>
                <w:szCs w:val="20"/>
                <w:lang w:bidi="ar"/>
              </w:rPr>
              <w:t>0.05</w:t>
            </w:r>
          </w:p>
        </w:tc>
      </w:tr>
      <w:tr w14:paraId="7E34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5B1C331A">
            <w:pPr>
              <w:spacing w:line="240" w:lineRule="auto"/>
              <w:ind w:firstLine="0" w:firstLineChars="0"/>
              <w:jc w:val="center"/>
              <w:rPr>
                <w:rFonts w:cs="Times New Roman"/>
                <w:sz w:val="21"/>
              </w:rPr>
            </w:pPr>
            <w:r>
              <w:rPr>
                <w:rFonts w:cs="Times New Roman"/>
                <w:sz w:val="21"/>
                <w:lang w:bidi="ar"/>
              </w:rPr>
              <w:t>JZQ009</w:t>
            </w:r>
          </w:p>
        </w:tc>
        <w:tc>
          <w:tcPr>
            <w:tcW w:w="3121" w:type="dxa"/>
            <w:shd w:val="clear" w:color="auto" w:fill="auto"/>
            <w:tcMar>
              <w:left w:w="51" w:type="dxa"/>
              <w:right w:w="51" w:type="dxa"/>
            </w:tcMar>
            <w:vAlign w:val="center"/>
          </w:tcPr>
          <w:p w14:paraId="63E153FF">
            <w:pPr>
              <w:spacing w:line="240" w:lineRule="auto"/>
              <w:ind w:firstLine="0" w:firstLineChars="0"/>
              <w:jc w:val="center"/>
              <w:rPr>
                <w:rFonts w:cs="Times New Roman"/>
                <w:sz w:val="21"/>
              </w:rPr>
            </w:pPr>
            <w:r>
              <w:rPr>
                <w:rStyle w:val="46"/>
                <w:rFonts w:hint="default" w:ascii="Times New Roman" w:hAnsi="Times New Roman" w:cs="Times New Roman"/>
                <w:color w:val="auto"/>
                <w:sz w:val="21"/>
                <w:lang w:bidi="ar"/>
              </w:rPr>
              <w:t>城市之春区域</w:t>
            </w:r>
          </w:p>
        </w:tc>
        <w:tc>
          <w:tcPr>
            <w:tcW w:w="8512" w:type="dxa"/>
            <w:shd w:val="clear" w:color="auto" w:fill="auto"/>
            <w:tcMar>
              <w:left w:w="51" w:type="dxa"/>
              <w:right w:w="51" w:type="dxa"/>
            </w:tcMar>
            <w:vAlign w:val="center"/>
          </w:tcPr>
          <w:p w14:paraId="56603886">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海峡北路</w:t>
            </w:r>
            <w:r>
              <w:rPr>
                <w:rStyle w:val="47"/>
                <w:color w:val="auto"/>
                <w:sz w:val="21"/>
                <w:lang w:bidi="ar"/>
              </w:rPr>
              <w:t>→</w:t>
            </w:r>
            <w:r>
              <w:rPr>
                <w:rStyle w:val="46"/>
                <w:rFonts w:hint="default" w:ascii="Times New Roman" w:hAnsi="Times New Roman" w:cs="Times New Roman"/>
                <w:color w:val="auto"/>
                <w:sz w:val="21"/>
                <w:lang w:bidi="ar"/>
              </w:rPr>
              <w:t>吴航路</w:t>
            </w:r>
            <w:r>
              <w:rPr>
                <w:rStyle w:val="47"/>
                <w:color w:val="auto"/>
                <w:sz w:val="21"/>
                <w:lang w:bidi="ar"/>
              </w:rPr>
              <w:t>→</w:t>
            </w:r>
            <w:r>
              <w:rPr>
                <w:rStyle w:val="46"/>
                <w:rFonts w:hint="default" w:ascii="Times New Roman" w:hAnsi="Times New Roman" w:cs="Times New Roman"/>
                <w:color w:val="auto"/>
                <w:sz w:val="21"/>
                <w:lang w:bidi="ar"/>
              </w:rPr>
              <w:t>广场路</w:t>
            </w:r>
            <w:r>
              <w:rPr>
                <w:rStyle w:val="47"/>
                <w:color w:val="auto"/>
                <w:sz w:val="21"/>
                <w:lang w:bidi="ar"/>
              </w:rPr>
              <w:t>→</w:t>
            </w:r>
            <w:r>
              <w:rPr>
                <w:rStyle w:val="46"/>
                <w:rFonts w:hint="default" w:ascii="Times New Roman" w:hAnsi="Times New Roman" w:cs="Times New Roman"/>
                <w:color w:val="auto"/>
                <w:sz w:val="21"/>
                <w:lang w:bidi="ar"/>
              </w:rPr>
              <w:t>城市之春北边界</w:t>
            </w:r>
            <w:r>
              <w:rPr>
                <w:rStyle w:val="47"/>
                <w:color w:val="auto"/>
                <w:sz w:val="21"/>
                <w:lang w:bidi="ar"/>
              </w:rPr>
              <w:t>→</w:t>
            </w:r>
            <w:r>
              <w:rPr>
                <w:rStyle w:val="46"/>
                <w:rFonts w:hint="eastAsia" w:cs="Times New Roman"/>
                <w:color w:val="auto"/>
                <w:sz w:val="21"/>
                <w:lang w:val="en-US" w:eastAsia="zh-CN" w:bidi="ar"/>
              </w:rPr>
              <w:t>皇庭丹郡东</w:t>
            </w:r>
            <w:r>
              <w:rPr>
                <w:rStyle w:val="46"/>
                <w:rFonts w:hint="default" w:ascii="Times New Roman" w:hAnsi="Times New Roman" w:cs="Times New Roman"/>
                <w:color w:val="auto"/>
                <w:sz w:val="21"/>
                <w:lang w:bidi="ar"/>
              </w:rPr>
              <w:t>边界</w:t>
            </w:r>
            <w:r>
              <w:rPr>
                <w:rStyle w:val="47"/>
                <w:color w:val="auto"/>
                <w:sz w:val="21"/>
                <w:lang w:bidi="ar"/>
              </w:rPr>
              <w:t>→</w:t>
            </w:r>
            <w:r>
              <w:rPr>
                <w:rStyle w:val="46"/>
                <w:rFonts w:hint="default" w:ascii="Times New Roman" w:hAnsi="Times New Roman" w:cs="Times New Roman"/>
                <w:color w:val="auto"/>
                <w:sz w:val="21"/>
                <w:lang w:bidi="ar"/>
              </w:rPr>
              <w:t>丹郡路</w:t>
            </w:r>
          </w:p>
        </w:tc>
        <w:tc>
          <w:tcPr>
            <w:tcW w:w="1512" w:type="dxa"/>
            <w:shd w:val="clear" w:color="auto" w:fill="auto"/>
            <w:noWrap/>
            <w:tcMar>
              <w:left w:w="51" w:type="dxa"/>
              <w:right w:w="51" w:type="dxa"/>
            </w:tcMar>
            <w:vAlign w:val="center"/>
          </w:tcPr>
          <w:p w14:paraId="4465532F">
            <w:pPr>
              <w:spacing w:line="240" w:lineRule="auto"/>
              <w:ind w:firstLine="0" w:firstLineChars="0"/>
              <w:jc w:val="center"/>
              <w:rPr>
                <w:rFonts w:cs="Times New Roman"/>
                <w:sz w:val="21"/>
              </w:rPr>
            </w:pPr>
            <w:r>
              <w:rPr>
                <w:rFonts w:cs="Times New Roman"/>
                <w:sz w:val="21"/>
                <w:szCs w:val="20"/>
                <w:lang w:bidi="ar"/>
              </w:rPr>
              <w:t>0.11</w:t>
            </w:r>
          </w:p>
        </w:tc>
      </w:tr>
      <w:tr w14:paraId="0967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512003D2">
            <w:pPr>
              <w:spacing w:line="240" w:lineRule="auto"/>
              <w:ind w:firstLine="0" w:firstLineChars="0"/>
              <w:jc w:val="center"/>
              <w:rPr>
                <w:rFonts w:cs="Times New Roman"/>
                <w:sz w:val="21"/>
              </w:rPr>
            </w:pPr>
            <w:r>
              <w:rPr>
                <w:rFonts w:cs="Times New Roman"/>
                <w:sz w:val="21"/>
                <w:lang w:bidi="ar"/>
              </w:rPr>
              <w:t>JZQ010</w:t>
            </w:r>
          </w:p>
        </w:tc>
        <w:tc>
          <w:tcPr>
            <w:tcW w:w="3121" w:type="dxa"/>
            <w:shd w:val="clear" w:color="auto" w:fill="auto"/>
            <w:tcMar>
              <w:left w:w="51" w:type="dxa"/>
              <w:right w:w="51" w:type="dxa"/>
            </w:tcMar>
            <w:vAlign w:val="center"/>
          </w:tcPr>
          <w:p w14:paraId="543F769D">
            <w:pPr>
              <w:spacing w:line="240" w:lineRule="auto"/>
              <w:ind w:firstLine="0" w:firstLineChars="0"/>
              <w:jc w:val="center"/>
              <w:rPr>
                <w:rFonts w:cs="Times New Roman"/>
                <w:sz w:val="21"/>
              </w:rPr>
            </w:pPr>
            <w:r>
              <w:rPr>
                <w:rStyle w:val="46"/>
                <w:rFonts w:hint="eastAsia" w:cs="Times New Roman"/>
                <w:color w:val="auto"/>
                <w:sz w:val="21"/>
                <w:lang w:val="en-US" w:eastAsia="zh-CN" w:bidi="ar"/>
              </w:rPr>
              <w:t>洞江小学</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21B65162">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会堂路</w:t>
            </w:r>
            <w:r>
              <w:rPr>
                <w:rStyle w:val="47"/>
                <w:color w:val="auto"/>
                <w:sz w:val="21"/>
                <w:lang w:bidi="ar"/>
              </w:rPr>
              <w:t>→</w:t>
            </w:r>
            <w:r>
              <w:rPr>
                <w:rStyle w:val="46"/>
                <w:rFonts w:hint="default" w:ascii="Times New Roman" w:hAnsi="Times New Roman" w:cs="Times New Roman"/>
                <w:color w:val="auto"/>
                <w:sz w:val="21"/>
                <w:lang w:bidi="ar"/>
              </w:rPr>
              <w:t>洞江巷</w:t>
            </w:r>
            <w:r>
              <w:rPr>
                <w:rStyle w:val="47"/>
                <w:color w:val="auto"/>
                <w:sz w:val="21"/>
                <w:lang w:bidi="ar"/>
              </w:rPr>
              <w:t>→</w:t>
            </w:r>
            <w:r>
              <w:rPr>
                <w:rStyle w:val="46"/>
                <w:rFonts w:hint="default" w:ascii="Times New Roman" w:hAnsi="Times New Roman" w:cs="Times New Roman"/>
                <w:color w:val="auto"/>
                <w:sz w:val="21"/>
                <w:lang w:bidi="ar"/>
              </w:rPr>
              <w:t>朝阳中路</w:t>
            </w:r>
            <w:r>
              <w:rPr>
                <w:rStyle w:val="47"/>
                <w:color w:val="auto"/>
                <w:sz w:val="21"/>
                <w:lang w:bidi="ar"/>
              </w:rPr>
              <w:t>→</w:t>
            </w:r>
            <w:r>
              <w:rPr>
                <w:rStyle w:val="46"/>
                <w:rFonts w:hint="default" w:ascii="Times New Roman" w:hAnsi="Times New Roman" w:cs="Times New Roman"/>
                <w:color w:val="auto"/>
                <w:sz w:val="21"/>
                <w:lang w:bidi="ar"/>
              </w:rPr>
              <w:t>郑和西路</w:t>
            </w:r>
          </w:p>
        </w:tc>
        <w:tc>
          <w:tcPr>
            <w:tcW w:w="1512" w:type="dxa"/>
            <w:shd w:val="clear" w:color="auto" w:fill="auto"/>
            <w:noWrap/>
            <w:tcMar>
              <w:left w:w="51" w:type="dxa"/>
              <w:right w:w="51" w:type="dxa"/>
            </w:tcMar>
            <w:vAlign w:val="center"/>
          </w:tcPr>
          <w:p w14:paraId="6A5CE91A">
            <w:pPr>
              <w:spacing w:line="240" w:lineRule="auto"/>
              <w:ind w:firstLine="0" w:firstLineChars="0"/>
              <w:jc w:val="center"/>
              <w:rPr>
                <w:rFonts w:cs="Times New Roman"/>
                <w:sz w:val="21"/>
              </w:rPr>
            </w:pPr>
            <w:r>
              <w:rPr>
                <w:rFonts w:cs="Times New Roman"/>
                <w:sz w:val="21"/>
                <w:szCs w:val="20"/>
                <w:lang w:bidi="ar"/>
              </w:rPr>
              <w:t>0.07</w:t>
            </w:r>
          </w:p>
        </w:tc>
      </w:tr>
      <w:tr w14:paraId="176A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611CD80F">
            <w:pPr>
              <w:spacing w:line="240" w:lineRule="auto"/>
              <w:ind w:firstLine="0" w:firstLineChars="0"/>
              <w:jc w:val="center"/>
              <w:rPr>
                <w:rFonts w:cs="Times New Roman"/>
                <w:sz w:val="21"/>
              </w:rPr>
            </w:pPr>
            <w:r>
              <w:rPr>
                <w:rFonts w:cs="Times New Roman"/>
                <w:sz w:val="21"/>
                <w:lang w:bidi="ar"/>
              </w:rPr>
              <w:t>JZQ011</w:t>
            </w:r>
          </w:p>
        </w:tc>
        <w:tc>
          <w:tcPr>
            <w:tcW w:w="3121" w:type="dxa"/>
            <w:shd w:val="clear" w:color="auto" w:fill="auto"/>
            <w:tcMar>
              <w:left w:w="51" w:type="dxa"/>
              <w:right w:w="51" w:type="dxa"/>
            </w:tcMar>
            <w:vAlign w:val="center"/>
          </w:tcPr>
          <w:p w14:paraId="2A998FB7">
            <w:pPr>
              <w:spacing w:line="240" w:lineRule="auto"/>
              <w:ind w:firstLine="0" w:firstLineChars="0"/>
              <w:jc w:val="center"/>
              <w:rPr>
                <w:rFonts w:cs="Times New Roman"/>
                <w:sz w:val="21"/>
              </w:rPr>
            </w:pPr>
            <w:r>
              <w:rPr>
                <w:rStyle w:val="46"/>
                <w:rFonts w:hint="eastAsia" w:cs="Times New Roman"/>
                <w:color w:val="auto"/>
                <w:sz w:val="21"/>
                <w:lang w:val="en-US" w:eastAsia="zh-CN" w:bidi="ar"/>
              </w:rPr>
              <w:t>三峰社区</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602B3845">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西洋中路</w:t>
            </w:r>
            <w:r>
              <w:rPr>
                <w:rStyle w:val="47"/>
                <w:color w:val="auto"/>
                <w:sz w:val="21"/>
                <w:lang w:bidi="ar"/>
              </w:rPr>
              <w:t>→</w:t>
            </w:r>
            <w:r>
              <w:rPr>
                <w:rStyle w:val="46"/>
                <w:rFonts w:hint="default" w:ascii="Times New Roman" w:hAnsi="Times New Roman" w:cs="Times New Roman"/>
                <w:color w:val="auto"/>
                <w:sz w:val="21"/>
                <w:lang w:bidi="ar"/>
              </w:rPr>
              <w:t>江滨路</w:t>
            </w:r>
            <w:r>
              <w:rPr>
                <w:rStyle w:val="47"/>
                <w:color w:val="auto"/>
                <w:sz w:val="21"/>
                <w:lang w:bidi="ar"/>
              </w:rPr>
              <w:t>→</w:t>
            </w:r>
            <w:r>
              <w:rPr>
                <w:rStyle w:val="46"/>
                <w:rFonts w:hint="default" w:ascii="Times New Roman" w:hAnsi="Times New Roman" w:cs="Times New Roman"/>
                <w:color w:val="auto"/>
                <w:sz w:val="21"/>
                <w:lang w:bidi="ar"/>
              </w:rPr>
              <w:t>三峰路</w:t>
            </w:r>
            <w:r>
              <w:rPr>
                <w:rStyle w:val="47"/>
                <w:color w:val="auto"/>
                <w:sz w:val="21"/>
                <w:lang w:bidi="ar"/>
              </w:rPr>
              <w:t>→</w:t>
            </w:r>
            <w:r>
              <w:rPr>
                <w:rStyle w:val="46"/>
                <w:rFonts w:hint="default" w:ascii="Times New Roman" w:hAnsi="Times New Roman" w:cs="Times New Roman"/>
                <w:color w:val="auto"/>
                <w:sz w:val="21"/>
                <w:lang w:bidi="ar"/>
              </w:rPr>
              <w:t>通济园西边界</w:t>
            </w:r>
            <w:r>
              <w:rPr>
                <w:rStyle w:val="47"/>
                <w:color w:val="auto"/>
                <w:sz w:val="21"/>
                <w:lang w:bidi="ar"/>
              </w:rPr>
              <w:t>→</w:t>
            </w:r>
            <w:r>
              <w:rPr>
                <w:rStyle w:val="46"/>
                <w:rFonts w:hint="default" w:ascii="Times New Roman" w:hAnsi="Times New Roman" w:cs="Times New Roman"/>
                <w:color w:val="auto"/>
                <w:sz w:val="21"/>
                <w:lang w:bidi="ar"/>
              </w:rPr>
              <w:t>通济园</w:t>
            </w:r>
            <w:r>
              <w:rPr>
                <w:rStyle w:val="46"/>
                <w:rFonts w:hint="eastAsia" w:cs="Times New Roman"/>
                <w:color w:val="auto"/>
                <w:sz w:val="21"/>
                <w:lang w:val="en-US" w:eastAsia="zh-CN" w:bidi="ar"/>
              </w:rPr>
              <w:t>北</w:t>
            </w:r>
            <w:r>
              <w:rPr>
                <w:rStyle w:val="46"/>
                <w:rFonts w:hint="default" w:ascii="Times New Roman" w:hAnsi="Times New Roman" w:cs="Times New Roman"/>
                <w:color w:val="auto"/>
                <w:sz w:val="21"/>
                <w:lang w:bidi="ar"/>
              </w:rPr>
              <w:t>边界</w:t>
            </w:r>
          </w:p>
        </w:tc>
        <w:tc>
          <w:tcPr>
            <w:tcW w:w="1512" w:type="dxa"/>
            <w:shd w:val="clear" w:color="auto" w:fill="auto"/>
            <w:noWrap/>
            <w:tcMar>
              <w:left w:w="51" w:type="dxa"/>
              <w:right w:w="51" w:type="dxa"/>
            </w:tcMar>
            <w:vAlign w:val="center"/>
          </w:tcPr>
          <w:p w14:paraId="751A9245">
            <w:pPr>
              <w:spacing w:line="240" w:lineRule="auto"/>
              <w:ind w:firstLine="0" w:firstLineChars="0"/>
              <w:jc w:val="center"/>
              <w:rPr>
                <w:rFonts w:cs="Times New Roman"/>
                <w:sz w:val="21"/>
              </w:rPr>
            </w:pPr>
            <w:r>
              <w:rPr>
                <w:rFonts w:cs="Times New Roman"/>
                <w:sz w:val="21"/>
                <w:szCs w:val="20"/>
                <w:lang w:bidi="ar"/>
              </w:rPr>
              <w:t>0.10</w:t>
            </w:r>
          </w:p>
        </w:tc>
      </w:tr>
      <w:tr w14:paraId="4AF1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jc w:val="center"/>
        </w:trPr>
        <w:tc>
          <w:tcPr>
            <w:tcW w:w="1413" w:type="dxa"/>
            <w:shd w:val="clear" w:color="auto" w:fill="auto"/>
            <w:noWrap/>
            <w:tcMar>
              <w:left w:w="51" w:type="dxa"/>
              <w:right w:w="51" w:type="dxa"/>
            </w:tcMar>
            <w:vAlign w:val="center"/>
          </w:tcPr>
          <w:p w14:paraId="64370770">
            <w:pPr>
              <w:spacing w:line="240" w:lineRule="auto"/>
              <w:ind w:firstLine="0" w:firstLineChars="0"/>
              <w:jc w:val="center"/>
              <w:rPr>
                <w:rFonts w:cs="Times New Roman"/>
                <w:sz w:val="21"/>
              </w:rPr>
            </w:pPr>
            <w:r>
              <w:rPr>
                <w:rFonts w:cs="Times New Roman"/>
                <w:sz w:val="21"/>
                <w:lang w:bidi="ar"/>
              </w:rPr>
              <w:t>JZQ012</w:t>
            </w:r>
          </w:p>
        </w:tc>
        <w:tc>
          <w:tcPr>
            <w:tcW w:w="3121" w:type="dxa"/>
            <w:shd w:val="clear" w:color="auto" w:fill="auto"/>
            <w:tcMar>
              <w:left w:w="51" w:type="dxa"/>
              <w:right w:w="51" w:type="dxa"/>
            </w:tcMar>
            <w:vAlign w:val="center"/>
          </w:tcPr>
          <w:p w14:paraId="2E253159">
            <w:pPr>
              <w:spacing w:line="240" w:lineRule="auto"/>
              <w:ind w:firstLine="0" w:firstLineChars="0"/>
              <w:jc w:val="center"/>
              <w:rPr>
                <w:rFonts w:cs="Times New Roman"/>
                <w:sz w:val="21"/>
              </w:rPr>
            </w:pPr>
            <w:r>
              <w:rPr>
                <w:rStyle w:val="46"/>
                <w:rFonts w:hint="eastAsia" w:cs="Times New Roman"/>
                <w:color w:val="auto"/>
                <w:sz w:val="21"/>
                <w:lang w:val="en-US" w:eastAsia="zh-CN" w:bidi="ar"/>
              </w:rPr>
              <w:t>郑和花园</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63E2FF1E">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朝阳中路</w:t>
            </w:r>
            <w:r>
              <w:rPr>
                <w:rStyle w:val="47"/>
                <w:color w:val="auto"/>
                <w:sz w:val="21"/>
                <w:lang w:bidi="ar"/>
              </w:rPr>
              <w:t>→</w:t>
            </w:r>
            <w:r>
              <w:rPr>
                <w:rStyle w:val="46"/>
                <w:rFonts w:hint="default" w:ascii="Times New Roman" w:hAnsi="Times New Roman" w:cs="Times New Roman"/>
                <w:color w:val="auto"/>
                <w:sz w:val="21"/>
                <w:lang w:bidi="ar"/>
              </w:rPr>
              <w:t>郑和中路</w:t>
            </w:r>
            <w:r>
              <w:rPr>
                <w:rStyle w:val="47"/>
                <w:color w:val="auto"/>
                <w:sz w:val="21"/>
                <w:lang w:bidi="ar"/>
              </w:rPr>
              <w:t>→</w:t>
            </w:r>
            <w:r>
              <w:rPr>
                <w:rStyle w:val="46"/>
                <w:rFonts w:hint="default" w:ascii="Times New Roman" w:hAnsi="Times New Roman" w:cs="Times New Roman"/>
                <w:color w:val="auto"/>
                <w:sz w:val="21"/>
                <w:lang w:bidi="ar"/>
              </w:rPr>
              <w:t>西洋中路</w:t>
            </w:r>
            <w:r>
              <w:rPr>
                <w:rStyle w:val="47"/>
                <w:color w:val="auto"/>
                <w:sz w:val="21"/>
                <w:lang w:bidi="ar"/>
              </w:rPr>
              <w:t>→</w:t>
            </w:r>
            <w:r>
              <w:rPr>
                <w:rStyle w:val="46"/>
                <w:rFonts w:hint="default" w:ascii="Times New Roman" w:hAnsi="Times New Roman" w:cs="Times New Roman"/>
                <w:color w:val="auto"/>
                <w:sz w:val="21"/>
                <w:lang w:bidi="ar"/>
              </w:rPr>
              <w:t>三峰路</w:t>
            </w:r>
          </w:p>
        </w:tc>
        <w:tc>
          <w:tcPr>
            <w:tcW w:w="1512" w:type="dxa"/>
            <w:shd w:val="clear" w:color="auto" w:fill="auto"/>
            <w:noWrap/>
            <w:tcMar>
              <w:left w:w="51" w:type="dxa"/>
              <w:right w:w="51" w:type="dxa"/>
            </w:tcMar>
            <w:vAlign w:val="center"/>
          </w:tcPr>
          <w:p w14:paraId="16620F4C">
            <w:pPr>
              <w:spacing w:line="240" w:lineRule="auto"/>
              <w:ind w:firstLine="0" w:firstLineChars="0"/>
              <w:jc w:val="center"/>
              <w:rPr>
                <w:rFonts w:cs="Times New Roman"/>
                <w:sz w:val="21"/>
              </w:rPr>
            </w:pPr>
            <w:r>
              <w:rPr>
                <w:rFonts w:cs="Times New Roman"/>
                <w:sz w:val="21"/>
                <w:szCs w:val="20"/>
                <w:lang w:bidi="ar"/>
              </w:rPr>
              <w:t>0.16</w:t>
            </w:r>
          </w:p>
        </w:tc>
      </w:tr>
      <w:tr w14:paraId="5947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306AB2BC">
            <w:pPr>
              <w:spacing w:line="240" w:lineRule="auto"/>
              <w:ind w:firstLine="0" w:firstLineChars="0"/>
              <w:jc w:val="center"/>
              <w:rPr>
                <w:rFonts w:cs="Times New Roman"/>
                <w:sz w:val="21"/>
              </w:rPr>
            </w:pPr>
            <w:r>
              <w:rPr>
                <w:rFonts w:cs="Times New Roman"/>
                <w:sz w:val="21"/>
                <w:lang w:bidi="ar"/>
              </w:rPr>
              <w:t>JZQ013</w:t>
            </w:r>
          </w:p>
        </w:tc>
        <w:tc>
          <w:tcPr>
            <w:tcW w:w="3121" w:type="dxa"/>
            <w:shd w:val="clear" w:color="auto" w:fill="auto"/>
            <w:tcMar>
              <w:left w:w="51" w:type="dxa"/>
              <w:right w:w="51" w:type="dxa"/>
            </w:tcMar>
            <w:vAlign w:val="center"/>
          </w:tcPr>
          <w:p w14:paraId="08579338">
            <w:pPr>
              <w:spacing w:line="240" w:lineRule="auto"/>
              <w:ind w:firstLine="0" w:firstLineChars="0"/>
              <w:jc w:val="center"/>
              <w:rPr>
                <w:rFonts w:cs="Times New Roman"/>
                <w:sz w:val="21"/>
              </w:rPr>
            </w:pPr>
            <w:r>
              <w:rPr>
                <w:rStyle w:val="46"/>
                <w:rFonts w:hint="eastAsia" w:cs="Times New Roman"/>
                <w:color w:val="auto"/>
                <w:sz w:val="21"/>
                <w:lang w:val="en-US" w:eastAsia="zh-CN" w:bidi="ar"/>
              </w:rPr>
              <w:t>锦江花园</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22B7724F">
            <w:pPr>
              <w:spacing w:line="240" w:lineRule="auto"/>
              <w:ind w:firstLine="0" w:firstLineChars="0"/>
              <w:rPr>
                <w:rFonts w:cs="Times New Roman"/>
                <w:sz w:val="21"/>
              </w:rPr>
            </w:pPr>
            <w:r>
              <w:rPr>
                <w:rStyle w:val="46"/>
                <w:rFonts w:hint="default" w:ascii="Times New Roman" w:hAnsi="Times New Roman" w:cs="Times New Roman"/>
                <w:color w:val="auto"/>
                <w:sz w:val="21"/>
                <w:lang w:bidi="ar"/>
              </w:rPr>
              <w:t>会堂路</w:t>
            </w:r>
            <w:r>
              <w:rPr>
                <w:rStyle w:val="47"/>
                <w:color w:val="auto"/>
                <w:sz w:val="21"/>
                <w:lang w:bidi="ar"/>
              </w:rPr>
              <w:t>→</w:t>
            </w:r>
            <w:r>
              <w:rPr>
                <w:rStyle w:val="46"/>
                <w:rFonts w:hint="default" w:ascii="Times New Roman" w:hAnsi="Times New Roman" w:cs="Times New Roman"/>
                <w:color w:val="auto"/>
                <w:sz w:val="21"/>
                <w:lang w:bidi="ar"/>
              </w:rPr>
              <w:t>郑和西路</w:t>
            </w:r>
            <w:r>
              <w:rPr>
                <w:rStyle w:val="47"/>
                <w:color w:val="auto"/>
                <w:sz w:val="21"/>
                <w:lang w:bidi="ar"/>
              </w:rPr>
              <w:t>→</w:t>
            </w:r>
            <w:r>
              <w:rPr>
                <w:rStyle w:val="46"/>
                <w:rFonts w:hint="default" w:ascii="Times New Roman" w:hAnsi="Times New Roman" w:cs="Times New Roman"/>
                <w:color w:val="auto"/>
                <w:sz w:val="21"/>
                <w:lang w:bidi="ar"/>
              </w:rPr>
              <w:t>朝阳中路</w:t>
            </w:r>
            <w:r>
              <w:rPr>
                <w:rStyle w:val="47"/>
                <w:color w:val="auto"/>
                <w:sz w:val="21"/>
                <w:lang w:bidi="ar"/>
              </w:rPr>
              <w:t>→</w:t>
            </w:r>
            <w:r>
              <w:rPr>
                <w:rStyle w:val="46"/>
                <w:rFonts w:hint="default" w:ascii="Times New Roman" w:hAnsi="Times New Roman" w:cs="Times New Roman"/>
                <w:color w:val="auto"/>
                <w:sz w:val="21"/>
                <w:lang w:bidi="ar"/>
              </w:rPr>
              <w:t>爱心路</w:t>
            </w:r>
          </w:p>
        </w:tc>
        <w:tc>
          <w:tcPr>
            <w:tcW w:w="1512" w:type="dxa"/>
            <w:shd w:val="clear" w:color="auto" w:fill="auto"/>
            <w:noWrap/>
            <w:tcMar>
              <w:left w:w="51" w:type="dxa"/>
              <w:right w:w="51" w:type="dxa"/>
            </w:tcMar>
            <w:vAlign w:val="center"/>
          </w:tcPr>
          <w:p w14:paraId="72A9058E">
            <w:pPr>
              <w:spacing w:line="240" w:lineRule="auto"/>
              <w:ind w:firstLine="0" w:firstLineChars="0"/>
              <w:jc w:val="center"/>
              <w:rPr>
                <w:rFonts w:cs="Times New Roman"/>
                <w:sz w:val="21"/>
              </w:rPr>
            </w:pPr>
            <w:r>
              <w:rPr>
                <w:rFonts w:cs="Times New Roman"/>
                <w:sz w:val="21"/>
                <w:szCs w:val="20"/>
                <w:lang w:bidi="ar"/>
              </w:rPr>
              <w:t>0.30</w:t>
            </w:r>
          </w:p>
        </w:tc>
      </w:tr>
      <w:tr w14:paraId="742B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172473FE">
            <w:pPr>
              <w:spacing w:line="240" w:lineRule="auto"/>
              <w:ind w:firstLine="0" w:firstLineChars="0"/>
              <w:jc w:val="center"/>
              <w:rPr>
                <w:rFonts w:cs="Times New Roman"/>
                <w:sz w:val="21"/>
              </w:rPr>
            </w:pPr>
            <w:r>
              <w:rPr>
                <w:rFonts w:cs="Times New Roman"/>
                <w:sz w:val="21"/>
                <w:lang w:bidi="ar"/>
              </w:rPr>
              <w:t>JZQ014</w:t>
            </w:r>
          </w:p>
        </w:tc>
        <w:tc>
          <w:tcPr>
            <w:tcW w:w="3121" w:type="dxa"/>
            <w:shd w:val="clear" w:color="auto" w:fill="auto"/>
            <w:tcMar>
              <w:left w:w="51" w:type="dxa"/>
              <w:right w:w="51" w:type="dxa"/>
            </w:tcMar>
            <w:vAlign w:val="center"/>
          </w:tcPr>
          <w:p w14:paraId="6C829743">
            <w:pPr>
              <w:spacing w:line="240" w:lineRule="auto"/>
              <w:ind w:firstLine="0" w:firstLineChars="0"/>
              <w:jc w:val="center"/>
              <w:rPr>
                <w:rFonts w:hint="eastAsia" w:cs="Times New Roman"/>
                <w:sz w:val="21"/>
              </w:rPr>
            </w:pPr>
            <w:r>
              <w:rPr>
                <w:rStyle w:val="46"/>
                <w:rFonts w:hint="eastAsia" w:cs="Times New Roman"/>
                <w:color w:val="auto"/>
                <w:sz w:val="21"/>
                <w:lang w:val="en-US" w:eastAsia="zh-CN" w:bidi="ar"/>
              </w:rPr>
              <w:t>华侨中学</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68F1C3D2">
            <w:pPr>
              <w:spacing w:line="240" w:lineRule="auto"/>
              <w:ind w:firstLine="0" w:firstLineChars="0"/>
              <w:rPr>
                <w:rFonts w:hint="eastAsia" w:cs="Times New Roman"/>
                <w:sz w:val="21"/>
              </w:rPr>
            </w:pPr>
            <w:r>
              <w:rPr>
                <w:rStyle w:val="46"/>
                <w:rFonts w:hint="default" w:ascii="Times New Roman" w:hAnsi="Times New Roman" w:cs="Times New Roman"/>
                <w:color w:val="auto"/>
                <w:sz w:val="21"/>
                <w:lang w:bidi="ar"/>
              </w:rPr>
              <w:t>上洞江</w:t>
            </w:r>
            <w:r>
              <w:rPr>
                <w:rStyle w:val="47"/>
                <w:color w:val="auto"/>
                <w:sz w:val="21"/>
                <w:lang w:bidi="ar"/>
              </w:rPr>
              <w:t>→</w:t>
            </w:r>
            <w:r>
              <w:rPr>
                <w:rStyle w:val="46"/>
                <w:rFonts w:hint="default" w:ascii="Times New Roman" w:hAnsi="Times New Roman" w:cs="Times New Roman"/>
                <w:color w:val="auto"/>
                <w:sz w:val="21"/>
                <w:lang w:bidi="ar"/>
              </w:rPr>
              <w:t>郑和西路</w:t>
            </w:r>
            <w:r>
              <w:rPr>
                <w:rStyle w:val="47"/>
                <w:color w:val="auto"/>
                <w:sz w:val="21"/>
                <w:lang w:bidi="ar"/>
              </w:rPr>
              <w:t>→</w:t>
            </w:r>
            <w:r>
              <w:rPr>
                <w:rStyle w:val="46"/>
                <w:rFonts w:hint="default" w:ascii="Times New Roman" w:hAnsi="Times New Roman" w:cs="Times New Roman"/>
                <w:color w:val="auto"/>
                <w:sz w:val="21"/>
                <w:lang w:bidi="ar"/>
              </w:rPr>
              <w:t>会堂路</w:t>
            </w:r>
          </w:p>
        </w:tc>
        <w:tc>
          <w:tcPr>
            <w:tcW w:w="1512" w:type="dxa"/>
            <w:shd w:val="clear" w:color="auto" w:fill="auto"/>
            <w:noWrap/>
            <w:tcMar>
              <w:left w:w="51" w:type="dxa"/>
              <w:right w:w="51" w:type="dxa"/>
            </w:tcMar>
            <w:vAlign w:val="center"/>
          </w:tcPr>
          <w:p w14:paraId="1DF25171">
            <w:pPr>
              <w:spacing w:line="240" w:lineRule="auto"/>
              <w:ind w:firstLine="0" w:firstLineChars="0"/>
              <w:jc w:val="center"/>
              <w:rPr>
                <w:rFonts w:cs="Times New Roman"/>
                <w:sz w:val="21"/>
              </w:rPr>
            </w:pPr>
            <w:r>
              <w:rPr>
                <w:rFonts w:cs="Times New Roman"/>
                <w:sz w:val="21"/>
                <w:szCs w:val="20"/>
                <w:lang w:bidi="ar"/>
              </w:rPr>
              <w:t>0.21</w:t>
            </w:r>
          </w:p>
        </w:tc>
      </w:tr>
      <w:tr w14:paraId="30F6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35EDBDF6">
            <w:pPr>
              <w:spacing w:line="240" w:lineRule="auto"/>
              <w:ind w:firstLine="0" w:firstLineChars="0"/>
              <w:jc w:val="center"/>
              <w:rPr>
                <w:rFonts w:cs="Times New Roman"/>
                <w:sz w:val="21"/>
              </w:rPr>
            </w:pPr>
            <w:r>
              <w:rPr>
                <w:rFonts w:cs="Times New Roman"/>
                <w:sz w:val="21"/>
                <w:lang w:bidi="ar"/>
              </w:rPr>
              <w:t>JZQ015</w:t>
            </w:r>
          </w:p>
        </w:tc>
        <w:tc>
          <w:tcPr>
            <w:tcW w:w="3121" w:type="dxa"/>
            <w:shd w:val="clear" w:color="auto" w:fill="auto"/>
            <w:tcMar>
              <w:left w:w="51" w:type="dxa"/>
              <w:right w:w="51" w:type="dxa"/>
            </w:tcMar>
            <w:vAlign w:val="center"/>
          </w:tcPr>
          <w:p w14:paraId="7C9D5E68">
            <w:pPr>
              <w:spacing w:line="240" w:lineRule="auto"/>
              <w:ind w:firstLine="0" w:firstLineChars="0"/>
              <w:jc w:val="center"/>
              <w:rPr>
                <w:rFonts w:hint="eastAsia" w:cs="Times New Roman"/>
                <w:sz w:val="21"/>
              </w:rPr>
            </w:pPr>
            <w:r>
              <w:rPr>
                <w:rStyle w:val="46"/>
                <w:rFonts w:hint="eastAsia" w:cs="Times New Roman"/>
                <w:color w:val="auto"/>
                <w:sz w:val="21"/>
                <w:lang w:val="en-US" w:eastAsia="zh-CN" w:bidi="ar"/>
              </w:rPr>
              <w:t>胜利路</w:t>
            </w:r>
            <w:r>
              <w:rPr>
                <w:rStyle w:val="46"/>
                <w:rFonts w:hint="default" w:ascii="Times New Roman" w:hAnsi="Times New Roman" w:cs="Times New Roman"/>
                <w:color w:val="auto"/>
                <w:sz w:val="21"/>
                <w:lang w:bidi="ar"/>
              </w:rPr>
              <w:t>区域</w:t>
            </w:r>
          </w:p>
        </w:tc>
        <w:tc>
          <w:tcPr>
            <w:tcW w:w="8512" w:type="dxa"/>
            <w:shd w:val="clear" w:color="auto" w:fill="auto"/>
            <w:tcMar>
              <w:left w:w="51" w:type="dxa"/>
              <w:right w:w="51" w:type="dxa"/>
            </w:tcMar>
            <w:vAlign w:val="center"/>
          </w:tcPr>
          <w:p w14:paraId="3C3BA608">
            <w:pPr>
              <w:spacing w:line="240" w:lineRule="auto"/>
              <w:ind w:firstLine="0" w:firstLineChars="0"/>
              <w:rPr>
                <w:rFonts w:hint="eastAsia" w:eastAsia="宋体" w:cs="Times New Roman"/>
                <w:sz w:val="21"/>
                <w:lang w:val="en-US" w:eastAsia="zh-CN"/>
              </w:rPr>
            </w:pPr>
            <w:r>
              <w:rPr>
                <w:rStyle w:val="46"/>
                <w:rFonts w:hint="eastAsia" w:cs="Times New Roman"/>
                <w:color w:val="auto"/>
                <w:sz w:val="21"/>
                <w:lang w:val="en-US" w:eastAsia="zh-CN" w:bidi="ar"/>
              </w:rPr>
              <w:t>杨井巷</w:t>
            </w:r>
            <w:r>
              <w:rPr>
                <w:rStyle w:val="47"/>
                <w:color w:val="auto"/>
                <w:sz w:val="21"/>
                <w:lang w:bidi="ar"/>
              </w:rPr>
              <w:t>→</w:t>
            </w:r>
            <w:r>
              <w:rPr>
                <w:rStyle w:val="46"/>
                <w:rFonts w:hint="default" w:ascii="Times New Roman" w:hAnsi="Times New Roman" w:cs="Times New Roman"/>
                <w:color w:val="auto"/>
                <w:sz w:val="21"/>
                <w:lang w:bidi="ar"/>
              </w:rPr>
              <w:t>解放路</w:t>
            </w:r>
            <w:r>
              <w:rPr>
                <w:rStyle w:val="47"/>
                <w:color w:val="auto"/>
                <w:sz w:val="21"/>
                <w:lang w:bidi="ar"/>
              </w:rPr>
              <w:t>→</w:t>
            </w:r>
            <w:r>
              <w:rPr>
                <w:rStyle w:val="47"/>
                <w:rFonts w:hint="eastAsia"/>
                <w:color w:val="auto"/>
                <w:sz w:val="21"/>
                <w:lang w:val="en-US" w:eastAsia="zh-CN" w:bidi="ar"/>
              </w:rPr>
              <w:t>新民路</w:t>
            </w:r>
          </w:p>
        </w:tc>
        <w:tc>
          <w:tcPr>
            <w:tcW w:w="1512" w:type="dxa"/>
            <w:shd w:val="clear" w:color="auto" w:fill="auto"/>
            <w:noWrap/>
            <w:tcMar>
              <w:left w:w="51" w:type="dxa"/>
              <w:right w:w="51" w:type="dxa"/>
            </w:tcMar>
            <w:vAlign w:val="center"/>
          </w:tcPr>
          <w:p w14:paraId="575D4A43">
            <w:pPr>
              <w:spacing w:line="240" w:lineRule="auto"/>
              <w:ind w:firstLine="0" w:firstLineChars="0"/>
              <w:jc w:val="center"/>
              <w:rPr>
                <w:rFonts w:hint="default" w:eastAsia="宋体" w:cs="Times New Roman"/>
                <w:sz w:val="21"/>
                <w:lang w:val="en-US" w:eastAsia="zh-CN"/>
              </w:rPr>
            </w:pPr>
            <w:r>
              <w:rPr>
                <w:rFonts w:cs="Times New Roman"/>
                <w:sz w:val="21"/>
                <w:szCs w:val="20"/>
                <w:lang w:bidi="ar"/>
              </w:rPr>
              <w:t>0.</w:t>
            </w:r>
            <w:r>
              <w:rPr>
                <w:rFonts w:hint="eastAsia" w:cs="Times New Roman"/>
                <w:sz w:val="21"/>
                <w:szCs w:val="20"/>
                <w:lang w:val="en-US" w:eastAsia="zh-CN" w:bidi="ar"/>
              </w:rPr>
              <w:t>03</w:t>
            </w:r>
          </w:p>
        </w:tc>
      </w:tr>
      <w:tr w14:paraId="2111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413" w:type="dxa"/>
            <w:shd w:val="clear" w:color="auto" w:fill="auto"/>
            <w:noWrap/>
            <w:tcMar>
              <w:left w:w="51" w:type="dxa"/>
              <w:right w:w="51" w:type="dxa"/>
            </w:tcMar>
            <w:vAlign w:val="center"/>
          </w:tcPr>
          <w:p w14:paraId="051DCFE6">
            <w:pPr>
              <w:spacing w:line="240" w:lineRule="auto"/>
              <w:ind w:firstLine="0" w:firstLineChars="0"/>
              <w:jc w:val="center"/>
              <w:rPr>
                <w:rFonts w:cs="Times New Roman"/>
                <w:sz w:val="21"/>
              </w:rPr>
            </w:pPr>
            <w:r>
              <w:rPr>
                <w:rFonts w:cs="Times New Roman"/>
                <w:sz w:val="21"/>
                <w:lang w:bidi="ar"/>
              </w:rPr>
              <w:t>JZQ016</w:t>
            </w:r>
          </w:p>
        </w:tc>
        <w:tc>
          <w:tcPr>
            <w:tcW w:w="3121" w:type="dxa"/>
            <w:shd w:val="clear" w:color="auto" w:fill="auto"/>
            <w:tcMar>
              <w:left w:w="51" w:type="dxa"/>
              <w:right w:w="51" w:type="dxa"/>
            </w:tcMar>
            <w:vAlign w:val="center"/>
          </w:tcPr>
          <w:p w14:paraId="63BD4CB8">
            <w:pPr>
              <w:spacing w:line="240" w:lineRule="auto"/>
              <w:ind w:firstLine="0" w:firstLineChars="0"/>
              <w:jc w:val="center"/>
              <w:rPr>
                <w:rFonts w:hint="eastAsia" w:cs="Times New Roman"/>
                <w:sz w:val="21"/>
              </w:rPr>
            </w:pPr>
            <w:r>
              <w:rPr>
                <w:rStyle w:val="46"/>
                <w:rFonts w:hint="default" w:ascii="Times New Roman" w:hAnsi="Times New Roman" w:cs="Times New Roman"/>
                <w:color w:val="auto"/>
                <w:sz w:val="21"/>
                <w:lang w:bidi="ar"/>
              </w:rPr>
              <w:t>皇庭美域区域</w:t>
            </w:r>
          </w:p>
        </w:tc>
        <w:tc>
          <w:tcPr>
            <w:tcW w:w="8512" w:type="dxa"/>
            <w:shd w:val="clear" w:color="auto" w:fill="auto"/>
            <w:tcMar>
              <w:left w:w="51" w:type="dxa"/>
              <w:right w:w="51" w:type="dxa"/>
            </w:tcMar>
            <w:vAlign w:val="center"/>
          </w:tcPr>
          <w:p w14:paraId="70352873">
            <w:pPr>
              <w:spacing w:line="240" w:lineRule="auto"/>
              <w:ind w:firstLine="0" w:firstLineChars="0"/>
              <w:rPr>
                <w:rFonts w:hint="eastAsia" w:eastAsia="宋体" w:cs="Times New Roman"/>
                <w:sz w:val="21"/>
                <w:lang w:eastAsia="zh-CN"/>
              </w:rPr>
            </w:pPr>
            <w:r>
              <w:rPr>
                <w:rStyle w:val="46"/>
                <w:rFonts w:hint="default" w:ascii="Times New Roman" w:hAnsi="Times New Roman" w:cs="Times New Roman"/>
                <w:color w:val="auto"/>
                <w:sz w:val="21"/>
                <w:lang w:bidi="ar"/>
              </w:rPr>
              <w:t>朝阳北路</w:t>
            </w:r>
            <w:r>
              <w:rPr>
                <w:rStyle w:val="47"/>
                <w:color w:val="auto"/>
                <w:sz w:val="21"/>
                <w:lang w:bidi="ar"/>
              </w:rPr>
              <w:t>→</w:t>
            </w:r>
            <w:r>
              <w:rPr>
                <w:rStyle w:val="46"/>
                <w:rFonts w:hint="eastAsia" w:cs="Times New Roman"/>
                <w:color w:val="auto"/>
                <w:sz w:val="21"/>
                <w:lang w:val="en-US" w:eastAsia="zh-CN" w:bidi="ar"/>
              </w:rPr>
              <w:t>下洞江</w:t>
            </w:r>
            <w:r>
              <w:rPr>
                <w:rStyle w:val="47"/>
                <w:color w:val="auto"/>
                <w:sz w:val="21"/>
                <w:lang w:bidi="ar"/>
              </w:rPr>
              <w:t>→</w:t>
            </w:r>
            <w:r>
              <w:rPr>
                <w:rStyle w:val="46"/>
                <w:rFonts w:hint="default" w:ascii="Times New Roman" w:hAnsi="Times New Roman" w:cs="Times New Roman"/>
                <w:color w:val="auto"/>
                <w:sz w:val="21"/>
                <w:lang w:bidi="ar"/>
              </w:rPr>
              <w:t>西洋北路</w:t>
            </w:r>
            <w:r>
              <w:rPr>
                <w:rStyle w:val="47"/>
                <w:color w:val="auto"/>
                <w:sz w:val="21"/>
                <w:lang w:bidi="ar"/>
              </w:rPr>
              <w:t>→</w:t>
            </w:r>
            <w:r>
              <w:rPr>
                <w:rStyle w:val="46"/>
                <w:rFonts w:hint="eastAsia" w:cs="Times New Roman"/>
                <w:color w:val="auto"/>
                <w:sz w:val="21"/>
                <w:lang w:val="en-US" w:eastAsia="zh-CN" w:bidi="ar"/>
              </w:rPr>
              <w:t>机场高速</w:t>
            </w:r>
          </w:p>
        </w:tc>
        <w:tc>
          <w:tcPr>
            <w:tcW w:w="1512" w:type="dxa"/>
            <w:shd w:val="clear" w:color="auto" w:fill="auto"/>
            <w:noWrap/>
            <w:tcMar>
              <w:left w:w="51" w:type="dxa"/>
              <w:right w:w="51" w:type="dxa"/>
            </w:tcMar>
            <w:vAlign w:val="center"/>
          </w:tcPr>
          <w:p w14:paraId="425DBC69">
            <w:pPr>
              <w:spacing w:line="240" w:lineRule="auto"/>
              <w:ind w:firstLine="0" w:firstLineChars="0"/>
              <w:jc w:val="center"/>
              <w:rPr>
                <w:rFonts w:cs="Times New Roman"/>
                <w:sz w:val="21"/>
              </w:rPr>
            </w:pPr>
            <w:r>
              <w:rPr>
                <w:rFonts w:cs="Times New Roman"/>
                <w:sz w:val="21"/>
                <w:szCs w:val="20"/>
                <w:lang w:bidi="ar"/>
              </w:rPr>
              <w:t>0.13</w:t>
            </w:r>
          </w:p>
        </w:tc>
      </w:tr>
    </w:tbl>
    <w:p w14:paraId="3E7056CE">
      <w:pPr>
        <w:ind w:firstLine="0" w:firstLineChars="0"/>
      </w:pPr>
    </w:p>
    <w:p w14:paraId="76BEF3C0">
      <w:pPr>
        <w:ind w:firstLine="0" w:firstLineChars="0"/>
        <w:sectPr>
          <w:pgSz w:w="16838" w:h="11906" w:orient="landscape"/>
          <w:pgMar w:top="1134" w:right="1134" w:bottom="1134" w:left="1134" w:header="851" w:footer="992" w:gutter="0"/>
          <w:pgNumType w:fmt="decimal"/>
          <w:cols w:space="425" w:num="1"/>
          <w:docGrid w:type="lines" w:linePitch="326" w:charSpace="0"/>
        </w:sectPr>
      </w:pPr>
    </w:p>
    <w:p w14:paraId="169A0191">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textAlignment w:val="auto"/>
        <w:rPr>
          <w:rFonts w:hint="eastAsia"/>
          <w:b w:val="0"/>
          <w:bCs w:val="0"/>
          <w:sz w:val="32"/>
          <w:szCs w:val="32"/>
        </w:rPr>
      </w:pPr>
      <w:r>
        <w:rPr>
          <w:rFonts w:hint="eastAsia"/>
          <w:b w:val="0"/>
          <w:bCs w:val="0"/>
          <w:sz w:val="32"/>
          <w:szCs w:val="32"/>
          <w:lang w:val="en-US" w:eastAsia="zh-CN"/>
        </w:rPr>
        <w:t>九、</w:t>
      </w:r>
      <w:r>
        <w:rPr>
          <w:rFonts w:hint="eastAsia"/>
          <w:b w:val="0"/>
          <w:bCs w:val="0"/>
          <w:sz w:val="32"/>
          <w:szCs w:val="32"/>
        </w:rPr>
        <w:t>附图</w:t>
      </w:r>
    </w:p>
    <w:p w14:paraId="2D3AD20C">
      <w:pPr>
        <w:spacing w:line="240" w:lineRule="auto"/>
        <w:ind w:firstLine="141" w:firstLineChars="59"/>
        <w:jc w:val="center"/>
        <w:sectPr>
          <w:pgSz w:w="16838" w:h="11906" w:orient="landscape"/>
          <w:pgMar w:top="709" w:right="1134" w:bottom="709" w:left="1134" w:header="851" w:footer="992" w:gutter="0"/>
          <w:pgNumType w:fmt="decimal"/>
          <w:cols w:space="425" w:num="1"/>
          <w:docGrid w:type="lines" w:linePitch="326" w:charSpace="0"/>
        </w:sectPr>
      </w:pPr>
      <w:r>
        <w:rPr>
          <w:rFonts w:hint="eastAsia"/>
        </w:rPr>
        <w:drawing>
          <wp:inline distT="0" distB="0" distL="114300" distR="114300">
            <wp:extent cx="7356475" cy="5885815"/>
            <wp:effectExtent l="0" t="0" r="15875" b="635"/>
            <wp:docPr id="2" name="图片 2" descr="0314全区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14全区终稿"/>
                    <pic:cNvPicPr>
                      <a:picLocks noChangeAspect="1"/>
                    </pic:cNvPicPr>
                  </pic:nvPicPr>
                  <pic:blipFill>
                    <a:blip r:embed="rId12"/>
                    <a:stretch>
                      <a:fillRect/>
                    </a:stretch>
                  </pic:blipFill>
                  <pic:spPr>
                    <a:xfrm>
                      <a:off x="0" y="0"/>
                      <a:ext cx="7356475" cy="5885815"/>
                    </a:xfrm>
                    <a:prstGeom prst="rect">
                      <a:avLst/>
                    </a:prstGeom>
                  </pic:spPr>
                </pic:pic>
              </a:graphicData>
            </a:graphic>
          </wp:inline>
        </w:drawing>
      </w:r>
      <w:r>
        <w:rPr>
          <w:rFonts w:hint="eastAsia"/>
        </w:rPr>
        <w:drawing>
          <wp:inline distT="0" distB="0" distL="114300" distR="114300">
            <wp:extent cx="7316470" cy="5854065"/>
            <wp:effectExtent l="0" t="0" r="17780" b="13335"/>
            <wp:docPr id="4" name="图片 4" descr="0314放大稿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14放大稿终稿"/>
                    <pic:cNvPicPr>
                      <a:picLocks noChangeAspect="1"/>
                    </pic:cNvPicPr>
                  </pic:nvPicPr>
                  <pic:blipFill>
                    <a:blip r:embed="rId13"/>
                    <a:stretch>
                      <a:fillRect/>
                    </a:stretch>
                  </pic:blipFill>
                  <pic:spPr>
                    <a:xfrm>
                      <a:off x="0" y="0"/>
                      <a:ext cx="7316470" cy="5854065"/>
                    </a:xfrm>
                    <a:prstGeom prst="rect">
                      <a:avLst/>
                    </a:prstGeom>
                  </pic:spPr>
                </pic:pic>
              </a:graphicData>
            </a:graphic>
          </wp:inline>
        </w:drawing>
      </w:r>
      <w:r>
        <w:rPr>
          <w:rFonts w:hint="eastAsia"/>
        </w:rPr>
        <w:t xml:space="preserve"> </w:t>
      </w:r>
      <w:r>
        <w:t xml:space="preserve">  </w:t>
      </w:r>
      <w:r>
        <w:rPr>
          <w:rFonts w:hint="eastAsia"/>
        </w:rPr>
        <w:t xml:space="preserve"> </w:t>
      </w:r>
      <w:r>
        <w:t xml:space="preserve">  </w:t>
      </w:r>
      <w:r>
        <w:rPr>
          <w:rFonts w:hint="eastAsia"/>
        </w:rPr>
        <w:t xml:space="preserve"> </w:t>
      </w:r>
      <w:r>
        <w:t xml:space="preserve"> </w:t>
      </w:r>
    </w:p>
    <w:p w14:paraId="4498DCF1">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textAlignment w:val="auto"/>
        <w:rPr>
          <w:b w:val="0"/>
          <w:bCs w:val="0"/>
          <w:sz w:val="32"/>
          <w:szCs w:val="32"/>
        </w:rPr>
      </w:pPr>
      <w:r>
        <w:rPr>
          <w:rFonts w:hint="eastAsia"/>
          <w:b w:val="0"/>
          <w:bCs w:val="0"/>
          <w:sz w:val="32"/>
          <w:szCs w:val="32"/>
          <w:lang w:val="en-US" w:eastAsia="zh-CN"/>
        </w:rPr>
        <w:t>十、</w:t>
      </w:r>
      <w:r>
        <w:rPr>
          <w:rFonts w:hint="eastAsia"/>
          <w:b w:val="0"/>
          <w:bCs w:val="0"/>
          <w:sz w:val="32"/>
          <w:szCs w:val="32"/>
        </w:rPr>
        <w:t>附件</w:t>
      </w:r>
    </w:p>
    <w:p w14:paraId="73B92298">
      <w:pPr>
        <w:spacing w:line="240" w:lineRule="auto"/>
        <w:ind w:firstLine="0" w:firstLineChars="0"/>
        <w:jc w:val="center"/>
      </w:pPr>
      <w:r>
        <w:drawing>
          <wp:inline distT="0" distB="0" distL="0" distR="0">
            <wp:extent cx="5269865" cy="7303135"/>
            <wp:effectExtent l="0" t="0" r="698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4"/>
                    <a:stretch>
                      <a:fillRect/>
                    </a:stretch>
                  </pic:blipFill>
                  <pic:spPr>
                    <a:xfrm>
                      <a:off x="0" y="0"/>
                      <a:ext cx="5269865" cy="7303135"/>
                    </a:xfrm>
                    <a:prstGeom prst="rect">
                      <a:avLst/>
                    </a:prstGeom>
                    <a:noFill/>
                    <a:ln>
                      <a:noFill/>
                    </a:ln>
                  </pic:spPr>
                </pic:pic>
              </a:graphicData>
            </a:graphic>
          </wp:inline>
        </w:drawing>
      </w:r>
      <w:r>
        <w:rPr>
          <w:rFonts w:hint="eastAsia"/>
        </w:rPr>
        <w:t xml:space="preserve"> </w:t>
      </w:r>
    </w:p>
    <w:p w14:paraId="282631A9">
      <w:pPr>
        <w:spacing w:line="240" w:lineRule="auto"/>
        <w:ind w:left="480" w:hanging="480" w:hangingChars="200"/>
        <w:jc w:val="left"/>
      </w:pPr>
      <w:r>
        <w:rPr>
          <w:rFonts w:hint="eastAsia"/>
          <w:lang w:val="en-US" w:eastAsia="zh-CN"/>
        </w:rPr>
        <w:t xml:space="preserve">           </w:t>
      </w:r>
      <w:r>
        <w:drawing>
          <wp:inline distT="0" distB="0" distL="0" distR="0">
            <wp:extent cx="4899025" cy="7229475"/>
            <wp:effectExtent l="0" t="0" r="15875" b="9525"/>
            <wp:docPr id="10815173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17334" name="图片 1"/>
                    <pic:cNvPicPr>
                      <a:picLocks noChangeAspect="1"/>
                    </pic:cNvPicPr>
                  </pic:nvPicPr>
                  <pic:blipFill>
                    <a:blip r:embed="rId15"/>
                    <a:stretch>
                      <a:fillRect/>
                    </a:stretch>
                  </pic:blipFill>
                  <pic:spPr>
                    <a:xfrm>
                      <a:off x="0" y="0"/>
                      <a:ext cx="4899025" cy="7229475"/>
                    </a:xfrm>
                    <a:prstGeom prst="rect">
                      <a:avLst/>
                    </a:prstGeom>
                  </pic:spPr>
                </pic:pic>
              </a:graphicData>
            </a:graphic>
          </wp:inline>
        </w:drawing>
      </w:r>
    </w:p>
    <w:p w14:paraId="6A3CB78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本文件自发布之日起生效，有效期为5年，自生效之日起计算。</w:t>
      </w:r>
    </w:p>
    <w:sectPr>
      <w:pgSz w:w="11906" w:h="16838"/>
      <w:pgMar w:top="2098" w:right="1474" w:bottom="1984" w:left="1587" w:header="851" w:footer="992" w:gutter="0"/>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B7545">
    <w:pPr>
      <w:pStyle w:val="12"/>
      <w:ind w:firstLine="360"/>
      <w:jc w:val="center"/>
    </w:pPr>
  </w:p>
  <w:p w14:paraId="566EB713">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EBB31">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90E7C">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7B14E">
    <w:pPr>
      <w:pStyle w:val="12"/>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1569D">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141569D">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504CC5"/>
    <w:multiLevelType w:val="multilevel"/>
    <w:tmpl w:val="4D504CC5"/>
    <w:lvl w:ilvl="0" w:tentative="0">
      <w:start w:val="1"/>
      <w:numFmt w:val="decimal"/>
      <w:pStyle w:val="2"/>
      <w:lvlText w:val="%1"/>
      <w:lvlJc w:val="left"/>
      <w:pPr>
        <w:ind w:left="425" w:hanging="425"/>
      </w:pPr>
      <w:rPr>
        <w:rFonts w:hint="default" w:ascii="黑体" w:hAnsi="黑体" w:eastAsia="黑体" w:cs="黑体"/>
        <w:sz w:val="32"/>
        <w:szCs w:val="32"/>
      </w:rPr>
    </w:lvl>
    <w:lvl w:ilvl="1" w:tentative="0">
      <w:start w:val="1"/>
      <w:numFmt w:val="decimal"/>
      <w:pStyle w:val="3"/>
      <w:lvlText w:val="%1.%2"/>
      <w:lvlJc w:val="left"/>
      <w:pPr>
        <w:tabs>
          <w:tab w:val="left" w:pos="567"/>
        </w:tabs>
        <w:ind w:left="567" w:hanging="567"/>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tabs>
          <w:tab w:val="left" w:pos="709"/>
        </w:tabs>
        <w:ind w:left="709" w:hanging="709"/>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pStyle w:val="5"/>
      <w:lvlText w:val="%1.%2.%3.%4"/>
      <w:lvlJc w:val="left"/>
      <w:pPr>
        <w:tabs>
          <w:tab w:val="left" w:pos="851"/>
        </w:tabs>
        <w:ind w:left="851" w:hanging="851"/>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ind w:left="2551" w:hanging="850"/>
      </w:p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F4A0FEA"/>
    <w:multiLevelType w:val="multilevel"/>
    <w:tmpl w:val="4F4A0FEA"/>
    <w:lvl w:ilvl="0" w:tentative="0">
      <w:start w:val="1"/>
      <w:numFmt w:val="decimal"/>
      <w:isLgl/>
      <w:suff w:val="space"/>
      <w:lvlText w:val="%1"/>
      <w:lvlJc w:val="left"/>
      <w:pPr>
        <w:ind w:left="0" w:firstLine="0"/>
      </w:pPr>
      <w:rPr>
        <w:rFonts w:hint="eastAsia" w:eastAsia="黑体"/>
        <w:b/>
        <w:i w:val="0"/>
        <w:sz w:val="32"/>
      </w:rPr>
    </w:lvl>
    <w:lvl w:ilvl="1" w:tentative="0">
      <w:start w:val="1"/>
      <w:numFmt w:val="decimal"/>
      <w:suff w:val="space"/>
      <w:lvlText w:val="%1.%2"/>
      <w:lvlJc w:val="left"/>
      <w:pPr>
        <w:ind w:left="0" w:firstLine="0"/>
      </w:pPr>
      <w:rPr>
        <w:rFonts w:hint="eastAsia" w:eastAsia="黑体"/>
        <w:b/>
        <w:i w:val="0"/>
        <w:sz w:val="30"/>
      </w:rPr>
    </w:lvl>
    <w:lvl w:ilvl="2" w:tentative="0">
      <w:start w:val="1"/>
      <w:numFmt w:val="decimal"/>
      <w:suff w:val="space"/>
      <w:lvlText w:val="%1.%2.%3"/>
      <w:lvlJc w:val="left"/>
      <w:pPr>
        <w:ind w:left="0" w:firstLine="0"/>
      </w:pPr>
      <w:rPr>
        <w:rFonts w:hint="eastAsia" w:eastAsia="宋体"/>
        <w:b/>
        <w:i w:val="0"/>
        <w:sz w:val="28"/>
      </w:rPr>
    </w:lvl>
    <w:lvl w:ilvl="3" w:tentative="0">
      <w:start w:val="1"/>
      <w:numFmt w:val="decimal"/>
      <w:pStyle w:val="45"/>
      <w:suff w:val="space"/>
      <w:lvlText w:val="%1.%2.%3.%4"/>
      <w:lvlJc w:val="left"/>
      <w:pPr>
        <w:ind w:left="0" w:firstLine="0"/>
      </w:pPr>
      <w:rPr>
        <w:rFonts w:hint="eastAsia" w:eastAsia="宋体"/>
        <w:b/>
        <w:i w:val="0"/>
        <w:sz w:val="24"/>
      </w:rPr>
    </w:lvl>
    <w:lvl w:ilvl="4" w:tentative="0">
      <w:start w:val="1"/>
      <w:numFmt w:val="decimal"/>
      <w:suff w:val="space"/>
      <w:lvlText w:val=" ( %5 )"/>
      <w:lvlJc w:val="left"/>
      <w:pPr>
        <w:ind w:left="0" w:firstLine="0"/>
      </w:pPr>
      <w:rPr>
        <w:rFonts w:hint="eastAsia"/>
        <w:b/>
        <w:i w:val="0"/>
        <w:sz w:val="24"/>
      </w:rPr>
    </w:lvl>
    <w:lvl w:ilvl="5" w:tentative="0">
      <w:start w:val="1"/>
      <w:numFmt w:val="decimalEnclosedCircle"/>
      <w:suff w:val="space"/>
      <w:lvlText w:val="%6"/>
      <w:lvlJc w:val="left"/>
      <w:pPr>
        <w:ind w:left="0" w:firstLine="0"/>
      </w:pPr>
      <w:rPr>
        <w:rFonts w:hint="eastAsia"/>
      </w:rPr>
    </w:lvl>
    <w:lvl w:ilvl="6" w:tentative="0">
      <w:start w:val="1"/>
      <w:numFmt w:val="decimal"/>
      <w:lvlText w:val="%1.%2.%3.%4.%5.%6.%7"/>
      <w:lvlJc w:val="left"/>
      <w:pPr>
        <w:tabs>
          <w:tab w:val="left" w:pos="4315"/>
        </w:tabs>
        <w:ind w:left="4315" w:hanging="1276"/>
      </w:pPr>
      <w:rPr>
        <w:rFonts w:hint="eastAsia"/>
      </w:rPr>
    </w:lvl>
    <w:lvl w:ilvl="7" w:tentative="0">
      <w:start w:val="1"/>
      <w:numFmt w:val="decimal"/>
      <w:lvlText w:val="%1.%2.%3.%4.%5.%6.%7.%8"/>
      <w:lvlJc w:val="left"/>
      <w:pPr>
        <w:tabs>
          <w:tab w:val="left" w:pos="4882"/>
        </w:tabs>
        <w:ind w:left="4882" w:hanging="1418"/>
      </w:pPr>
      <w:rPr>
        <w:rFonts w:hint="eastAsia"/>
      </w:rPr>
    </w:lvl>
    <w:lvl w:ilvl="8" w:tentative="0">
      <w:start w:val="1"/>
      <w:numFmt w:val="decimal"/>
      <w:lvlText w:val="%1.%2.%3.%4.%5.%6.%7.%8.%9"/>
      <w:lvlJc w:val="left"/>
      <w:pPr>
        <w:tabs>
          <w:tab w:val="left" w:pos="5590"/>
        </w:tabs>
        <w:ind w:left="5590"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nforcement="0"/>
  <w:defaultTabStop w:val="420"/>
  <w:drawingGridHorizontalSpacing w:val="120"/>
  <w:drawingGridVerticalSpacing w:val="163"/>
  <w:displayHorizontalDrawingGridEvery w:val="2"/>
  <w:displayVerticalDrawingGridEvery w:val="2"/>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zMTVjNGJlNGY4OTZlOGQwYjZlMTcxMGI3ODhkNDkifQ=="/>
  </w:docVars>
  <w:rsids>
    <w:rsidRoot w:val="004D1588"/>
    <w:rsid w:val="00020951"/>
    <w:rsid w:val="000337E5"/>
    <w:rsid w:val="00037E22"/>
    <w:rsid w:val="0004013B"/>
    <w:rsid w:val="000542B9"/>
    <w:rsid w:val="000550CB"/>
    <w:rsid w:val="000569C6"/>
    <w:rsid w:val="0007798B"/>
    <w:rsid w:val="000901F0"/>
    <w:rsid w:val="000A057C"/>
    <w:rsid w:val="000A70DA"/>
    <w:rsid w:val="000F1CE3"/>
    <w:rsid w:val="00107292"/>
    <w:rsid w:val="00120BC4"/>
    <w:rsid w:val="0012113B"/>
    <w:rsid w:val="00123D80"/>
    <w:rsid w:val="00125B57"/>
    <w:rsid w:val="00134AEB"/>
    <w:rsid w:val="00136F8F"/>
    <w:rsid w:val="001468C7"/>
    <w:rsid w:val="0015762C"/>
    <w:rsid w:val="001605C4"/>
    <w:rsid w:val="001715CE"/>
    <w:rsid w:val="00173CF6"/>
    <w:rsid w:val="00196945"/>
    <w:rsid w:val="001A0CE3"/>
    <w:rsid w:val="001B01D1"/>
    <w:rsid w:val="001B353B"/>
    <w:rsid w:val="001D1302"/>
    <w:rsid w:val="001E03D0"/>
    <w:rsid w:val="001E191C"/>
    <w:rsid w:val="001E559A"/>
    <w:rsid w:val="001F5763"/>
    <w:rsid w:val="00200624"/>
    <w:rsid w:val="00202E88"/>
    <w:rsid w:val="0020672B"/>
    <w:rsid w:val="00212B54"/>
    <w:rsid w:val="002240B3"/>
    <w:rsid w:val="00241532"/>
    <w:rsid w:val="002471A1"/>
    <w:rsid w:val="0025397A"/>
    <w:rsid w:val="002549A0"/>
    <w:rsid w:val="00261892"/>
    <w:rsid w:val="00270931"/>
    <w:rsid w:val="002743BF"/>
    <w:rsid w:val="0027478D"/>
    <w:rsid w:val="002867E8"/>
    <w:rsid w:val="002A3838"/>
    <w:rsid w:val="002A7124"/>
    <w:rsid w:val="002C2F70"/>
    <w:rsid w:val="002C3A13"/>
    <w:rsid w:val="002C4710"/>
    <w:rsid w:val="002D3135"/>
    <w:rsid w:val="002D3D8C"/>
    <w:rsid w:val="002D7E8C"/>
    <w:rsid w:val="002E2C37"/>
    <w:rsid w:val="00306912"/>
    <w:rsid w:val="003103AA"/>
    <w:rsid w:val="00310B99"/>
    <w:rsid w:val="003127B5"/>
    <w:rsid w:val="0032618D"/>
    <w:rsid w:val="00332329"/>
    <w:rsid w:val="00334515"/>
    <w:rsid w:val="00344691"/>
    <w:rsid w:val="00347DD6"/>
    <w:rsid w:val="00353947"/>
    <w:rsid w:val="00360F5A"/>
    <w:rsid w:val="00361D8E"/>
    <w:rsid w:val="00362258"/>
    <w:rsid w:val="0036711D"/>
    <w:rsid w:val="00372B7B"/>
    <w:rsid w:val="003814AF"/>
    <w:rsid w:val="00394365"/>
    <w:rsid w:val="00397E70"/>
    <w:rsid w:val="003A34DE"/>
    <w:rsid w:val="003A65BE"/>
    <w:rsid w:val="003B1922"/>
    <w:rsid w:val="003B4424"/>
    <w:rsid w:val="003D0FC4"/>
    <w:rsid w:val="003D3A00"/>
    <w:rsid w:val="003E4E87"/>
    <w:rsid w:val="00403F2C"/>
    <w:rsid w:val="00405CD2"/>
    <w:rsid w:val="00407EBC"/>
    <w:rsid w:val="004121FC"/>
    <w:rsid w:val="004175D6"/>
    <w:rsid w:val="00430ABD"/>
    <w:rsid w:val="004319E4"/>
    <w:rsid w:val="00436A20"/>
    <w:rsid w:val="00483329"/>
    <w:rsid w:val="00491BE3"/>
    <w:rsid w:val="004D1588"/>
    <w:rsid w:val="004D4477"/>
    <w:rsid w:val="004D6778"/>
    <w:rsid w:val="004F6095"/>
    <w:rsid w:val="004F6103"/>
    <w:rsid w:val="00506F86"/>
    <w:rsid w:val="005123A9"/>
    <w:rsid w:val="005263B0"/>
    <w:rsid w:val="005354F4"/>
    <w:rsid w:val="0054153D"/>
    <w:rsid w:val="00541C30"/>
    <w:rsid w:val="00557575"/>
    <w:rsid w:val="00565792"/>
    <w:rsid w:val="0057016B"/>
    <w:rsid w:val="00573DE1"/>
    <w:rsid w:val="005818B3"/>
    <w:rsid w:val="005909A3"/>
    <w:rsid w:val="0059351E"/>
    <w:rsid w:val="00595DA7"/>
    <w:rsid w:val="005A55F1"/>
    <w:rsid w:val="005B60E4"/>
    <w:rsid w:val="005C401D"/>
    <w:rsid w:val="005C5999"/>
    <w:rsid w:val="005D4077"/>
    <w:rsid w:val="00617DED"/>
    <w:rsid w:val="006235D8"/>
    <w:rsid w:val="00631FE3"/>
    <w:rsid w:val="0063601C"/>
    <w:rsid w:val="00647889"/>
    <w:rsid w:val="00662E3C"/>
    <w:rsid w:val="00671601"/>
    <w:rsid w:val="00673C73"/>
    <w:rsid w:val="00686468"/>
    <w:rsid w:val="00692409"/>
    <w:rsid w:val="00696DAB"/>
    <w:rsid w:val="0069709F"/>
    <w:rsid w:val="006A0A3C"/>
    <w:rsid w:val="006A4936"/>
    <w:rsid w:val="006E1877"/>
    <w:rsid w:val="006E5AB7"/>
    <w:rsid w:val="0071014B"/>
    <w:rsid w:val="00716013"/>
    <w:rsid w:val="00732E3D"/>
    <w:rsid w:val="00741B62"/>
    <w:rsid w:val="00745985"/>
    <w:rsid w:val="00746420"/>
    <w:rsid w:val="00747344"/>
    <w:rsid w:val="00750C34"/>
    <w:rsid w:val="00756269"/>
    <w:rsid w:val="00756C59"/>
    <w:rsid w:val="0076347F"/>
    <w:rsid w:val="0077778B"/>
    <w:rsid w:val="00790C84"/>
    <w:rsid w:val="007C05A6"/>
    <w:rsid w:val="007C7BA9"/>
    <w:rsid w:val="007F52FE"/>
    <w:rsid w:val="008152AA"/>
    <w:rsid w:val="0082272E"/>
    <w:rsid w:val="00854FFF"/>
    <w:rsid w:val="00855C81"/>
    <w:rsid w:val="00856D65"/>
    <w:rsid w:val="008632E3"/>
    <w:rsid w:val="00882767"/>
    <w:rsid w:val="008852AD"/>
    <w:rsid w:val="008858B9"/>
    <w:rsid w:val="008B4347"/>
    <w:rsid w:val="008D618A"/>
    <w:rsid w:val="008D73EF"/>
    <w:rsid w:val="008D78F9"/>
    <w:rsid w:val="008E1796"/>
    <w:rsid w:val="008E464F"/>
    <w:rsid w:val="00900D67"/>
    <w:rsid w:val="00911804"/>
    <w:rsid w:val="009373EB"/>
    <w:rsid w:val="009438C7"/>
    <w:rsid w:val="00945443"/>
    <w:rsid w:val="00953616"/>
    <w:rsid w:val="00966897"/>
    <w:rsid w:val="00970351"/>
    <w:rsid w:val="0097296F"/>
    <w:rsid w:val="00981809"/>
    <w:rsid w:val="009819B2"/>
    <w:rsid w:val="00991698"/>
    <w:rsid w:val="0099716E"/>
    <w:rsid w:val="009A0326"/>
    <w:rsid w:val="009A27ED"/>
    <w:rsid w:val="009B3BC8"/>
    <w:rsid w:val="009B665C"/>
    <w:rsid w:val="009D1E27"/>
    <w:rsid w:val="009E530B"/>
    <w:rsid w:val="00A01B33"/>
    <w:rsid w:val="00A02D9A"/>
    <w:rsid w:val="00A343CA"/>
    <w:rsid w:val="00A4691A"/>
    <w:rsid w:val="00A51C38"/>
    <w:rsid w:val="00A63295"/>
    <w:rsid w:val="00A864DD"/>
    <w:rsid w:val="00AA66BE"/>
    <w:rsid w:val="00AB63EE"/>
    <w:rsid w:val="00AC0430"/>
    <w:rsid w:val="00AC4EB7"/>
    <w:rsid w:val="00AD1665"/>
    <w:rsid w:val="00AE2043"/>
    <w:rsid w:val="00AF3A03"/>
    <w:rsid w:val="00AF5BFE"/>
    <w:rsid w:val="00AF6FE8"/>
    <w:rsid w:val="00B01FBC"/>
    <w:rsid w:val="00B04B57"/>
    <w:rsid w:val="00B06803"/>
    <w:rsid w:val="00B068DA"/>
    <w:rsid w:val="00B07E53"/>
    <w:rsid w:val="00B10535"/>
    <w:rsid w:val="00B108FF"/>
    <w:rsid w:val="00B10A1D"/>
    <w:rsid w:val="00B14D8C"/>
    <w:rsid w:val="00B17208"/>
    <w:rsid w:val="00B220A8"/>
    <w:rsid w:val="00B336AD"/>
    <w:rsid w:val="00B50F64"/>
    <w:rsid w:val="00B5116B"/>
    <w:rsid w:val="00B772FC"/>
    <w:rsid w:val="00BA5FA5"/>
    <w:rsid w:val="00BB0FE1"/>
    <w:rsid w:val="00BE1227"/>
    <w:rsid w:val="00BE3376"/>
    <w:rsid w:val="00BF013C"/>
    <w:rsid w:val="00BF14EC"/>
    <w:rsid w:val="00BF2DC8"/>
    <w:rsid w:val="00C04229"/>
    <w:rsid w:val="00C134CC"/>
    <w:rsid w:val="00C22AA0"/>
    <w:rsid w:val="00C4175D"/>
    <w:rsid w:val="00C441DD"/>
    <w:rsid w:val="00C452DD"/>
    <w:rsid w:val="00C4786C"/>
    <w:rsid w:val="00C50F7C"/>
    <w:rsid w:val="00C6049C"/>
    <w:rsid w:val="00C605C7"/>
    <w:rsid w:val="00C6314B"/>
    <w:rsid w:val="00C737C7"/>
    <w:rsid w:val="00C773D2"/>
    <w:rsid w:val="00C870F6"/>
    <w:rsid w:val="00C9247B"/>
    <w:rsid w:val="00C96EF2"/>
    <w:rsid w:val="00CB3C40"/>
    <w:rsid w:val="00CC7D1F"/>
    <w:rsid w:val="00CD0555"/>
    <w:rsid w:val="00CE02D0"/>
    <w:rsid w:val="00CF54A9"/>
    <w:rsid w:val="00D03EE6"/>
    <w:rsid w:val="00D20A5A"/>
    <w:rsid w:val="00D22B89"/>
    <w:rsid w:val="00D30558"/>
    <w:rsid w:val="00D417A5"/>
    <w:rsid w:val="00D4462D"/>
    <w:rsid w:val="00D448D5"/>
    <w:rsid w:val="00D50847"/>
    <w:rsid w:val="00D54818"/>
    <w:rsid w:val="00D63DEA"/>
    <w:rsid w:val="00D65034"/>
    <w:rsid w:val="00D728A9"/>
    <w:rsid w:val="00D869BA"/>
    <w:rsid w:val="00D9152D"/>
    <w:rsid w:val="00DA1789"/>
    <w:rsid w:val="00DA2B8A"/>
    <w:rsid w:val="00DB4E69"/>
    <w:rsid w:val="00DD031D"/>
    <w:rsid w:val="00DD164B"/>
    <w:rsid w:val="00DE64BE"/>
    <w:rsid w:val="00DE73E1"/>
    <w:rsid w:val="00E158F5"/>
    <w:rsid w:val="00E31342"/>
    <w:rsid w:val="00E36A58"/>
    <w:rsid w:val="00E419B9"/>
    <w:rsid w:val="00E450CF"/>
    <w:rsid w:val="00E61BC9"/>
    <w:rsid w:val="00E62C57"/>
    <w:rsid w:val="00E6436D"/>
    <w:rsid w:val="00E76CEE"/>
    <w:rsid w:val="00E87FC4"/>
    <w:rsid w:val="00EA4928"/>
    <w:rsid w:val="00EB53D2"/>
    <w:rsid w:val="00EC57AD"/>
    <w:rsid w:val="00EC7DC6"/>
    <w:rsid w:val="00ED185F"/>
    <w:rsid w:val="00F2591E"/>
    <w:rsid w:val="00F37B98"/>
    <w:rsid w:val="00F423B9"/>
    <w:rsid w:val="00F44E7B"/>
    <w:rsid w:val="00F61BE6"/>
    <w:rsid w:val="00F86BFA"/>
    <w:rsid w:val="00F948F5"/>
    <w:rsid w:val="00F949E1"/>
    <w:rsid w:val="00FA40B3"/>
    <w:rsid w:val="00FD6843"/>
    <w:rsid w:val="00FE6502"/>
    <w:rsid w:val="00FF3A7B"/>
    <w:rsid w:val="01511039"/>
    <w:rsid w:val="02C8006C"/>
    <w:rsid w:val="060068F5"/>
    <w:rsid w:val="0E992948"/>
    <w:rsid w:val="0F3803A2"/>
    <w:rsid w:val="21131DEB"/>
    <w:rsid w:val="21905B79"/>
    <w:rsid w:val="2A3B184E"/>
    <w:rsid w:val="2DB43204"/>
    <w:rsid w:val="2EF6410E"/>
    <w:rsid w:val="323A581D"/>
    <w:rsid w:val="33E6071E"/>
    <w:rsid w:val="3762672C"/>
    <w:rsid w:val="38685317"/>
    <w:rsid w:val="38F505DA"/>
    <w:rsid w:val="3B07056F"/>
    <w:rsid w:val="401C20BC"/>
    <w:rsid w:val="41431821"/>
    <w:rsid w:val="42293D69"/>
    <w:rsid w:val="437454B8"/>
    <w:rsid w:val="44E20CE5"/>
    <w:rsid w:val="48245D19"/>
    <w:rsid w:val="4A2B5B6F"/>
    <w:rsid w:val="50076F05"/>
    <w:rsid w:val="532312DE"/>
    <w:rsid w:val="54E5088E"/>
    <w:rsid w:val="5A1D69CB"/>
    <w:rsid w:val="61080C3F"/>
    <w:rsid w:val="66124E2B"/>
    <w:rsid w:val="755C0E1B"/>
    <w:rsid w:val="77592595"/>
    <w:rsid w:val="78FB3EDC"/>
    <w:rsid w:val="7A501CA8"/>
    <w:rsid w:val="7A844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qFormat="1"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qFormat="1"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uiPriority="99" w:semiHidden="0"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qFormat="1"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8"/>
    <w:qFormat/>
    <w:uiPriority w:val="9"/>
    <w:pPr>
      <w:keepNext/>
      <w:keepLines/>
      <w:numPr>
        <w:ilvl w:val="0"/>
        <w:numId w:val="1"/>
      </w:numPr>
      <w:spacing w:before="180" w:after="180"/>
      <w:ind w:left="0" w:firstLine="0" w:firstLineChars="0"/>
      <w:outlineLvl w:val="0"/>
    </w:pPr>
    <w:rPr>
      <w:rFonts w:eastAsia="黑体"/>
      <w:b/>
      <w:bCs/>
      <w:kern w:val="44"/>
      <w:sz w:val="44"/>
      <w:szCs w:val="44"/>
    </w:rPr>
  </w:style>
  <w:style w:type="paragraph" w:styleId="3">
    <w:name w:val="heading 2"/>
    <w:basedOn w:val="1"/>
    <w:next w:val="1"/>
    <w:link w:val="28"/>
    <w:autoRedefine/>
    <w:unhideWhenUsed/>
    <w:qFormat/>
    <w:uiPriority w:val="9"/>
    <w:pPr>
      <w:keepNext/>
      <w:keepLines/>
      <w:numPr>
        <w:ilvl w:val="1"/>
        <w:numId w:val="1"/>
      </w:numPr>
      <w:spacing w:before="120" w:after="120"/>
      <w:ind w:left="0" w:firstLine="0" w:firstLineChars="0"/>
      <w:outlineLvl w:val="1"/>
    </w:pPr>
    <w:rPr>
      <w:rFonts w:eastAsia="楷体" w:cstheme="majorBidi"/>
      <w:b/>
      <w:bCs/>
      <w:sz w:val="32"/>
      <w:szCs w:val="32"/>
    </w:rPr>
  </w:style>
  <w:style w:type="paragraph" w:styleId="4">
    <w:name w:val="heading 3"/>
    <w:basedOn w:val="1"/>
    <w:next w:val="1"/>
    <w:link w:val="29"/>
    <w:autoRedefine/>
    <w:unhideWhenUsed/>
    <w:qFormat/>
    <w:uiPriority w:val="9"/>
    <w:pPr>
      <w:keepNext/>
      <w:keepLines/>
      <w:numPr>
        <w:ilvl w:val="2"/>
        <w:numId w:val="1"/>
      </w:numPr>
      <w:ind w:left="0" w:firstLine="0" w:firstLineChars="0"/>
      <w:outlineLvl w:val="2"/>
    </w:pPr>
    <w:rPr>
      <w:b/>
      <w:bCs/>
      <w:sz w:val="28"/>
      <w:szCs w:val="32"/>
    </w:rPr>
  </w:style>
  <w:style w:type="paragraph" w:styleId="5">
    <w:name w:val="heading 4"/>
    <w:basedOn w:val="1"/>
    <w:next w:val="1"/>
    <w:link w:val="30"/>
    <w:autoRedefine/>
    <w:unhideWhenUsed/>
    <w:qFormat/>
    <w:uiPriority w:val="9"/>
    <w:pPr>
      <w:keepNext/>
      <w:keepLines/>
      <w:numPr>
        <w:ilvl w:val="3"/>
        <w:numId w:val="1"/>
      </w:numPr>
      <w:spacing w:before="40" w:after="40"/>
      <w:ind w:left="0" w:firstLine="0" w:firstLineChars="0"/>
      <w:outlineLvl w:val="3"/>
    </w:pPr>
    <w:rPr>
      <w:rFonts w:cstheme="majorBidi"/>
      <w:b/>
      <w:bCs/>
      <w:szCs w:val="28"/>
    </w:rPr>
  </w:style>
  <w:style w:type="paragraph" w:styleId="6">
    <w:name w:val="heading 5"/>
    <w:basedOn w:val="1"/>
    <w:next w:val="1"/>
    <w:link w:val="31"/>
    <w:autoRedefine/>
    <w:unhideWhenUsed/>
    <w:qFormat/>
    <w:uiPriority w:val="9"/>
    <w:pPr>
      <w:keepNext/>
      <w:keepLines/>
      <w:numPr>
        <w:ilvl w:val="4"/>
        <w:numId w:val="1"/>
      </w:numPr>
      <w:adjustRightInd w:val="0"/>
      <w:ind w:left="0" w:firstLine="0" w:firstLineChars="0"/>
      <w:jc w:val="left"/>
      <w:outlineLvl w:val="4"/>
    </w:pPr>
    <w:rPr>
      <w:bCs/>
      <w:szCs w:val="28"/>
    </w:rPr>
  </w:style>
  <w:style w:type="paragraph" w:styleId="7">
    <w:name w:val="heading 6"/>
    <w:basedOn w:val="1"/>
    <w:next w:val="1"/>
    <w:link w:val="32"/>
    <w:autoRedefine/>
    <w:semiHidden/>
    <w:unhideWhenUsed/>
    <w:qFormat/>
    <w:uiPriority w:val="9"/>
    <w:pPr>
      <w:spacing w:before="2"/>
      <w:ind w:left="1060"/>
      <w:outlineLvl w:val="5"/>
    </w:pPr>
    <w:rPr>
      <w:rFonts w:ascii="宋体" w:hAnsi="宋体" w:cs="宋体"/>
      <w:b/>
      <w:bCs/>
      <w:szCs w:val="24"/>
      <w:lang w:val="zh-CN" w:bidi="zh-CN"/>
    </w:rPr>
  </w:style>
  <w:style w:type="paragraph" w:styleId="8">
    <w:name w:val="heading 7"/>
    <w:basedOn w:val="1"/>
    <w:next w:val="1"/>
    <w:autoRedefine/>
    <w:semiHidden/>
    <w:unhideWhenUsed/>
    <w:qFormat/>
    <w:uiPriority w:val="9"/>
    <w:pPr>
      <w:outlineLvl w:val="6"/>
    </w:pPr>
    <w:rPr>
      <w:rFonts w:ascii="宋体" w:hAnsi="宋体" w:cs="宋体"/>
      <w:b/>
      <w:bCs/>
      <w:szCs w:val="24"/>
    </w:rPr>
  </w:style>
  <w:style w:type="paragraph" w:styleId="9">
    <w:name w:val="heading 8"/>
    <w:basedOn w:val="1"/>
    <w:next w:val="1"/>
    <w:link w:val="39"/>
    <w:autoRedefine/>
    <w:semiHidden/>
    <w:unhideWhenUsed/>
    <w:qFormat/>
    <w:uiPriority w:val="9"/>
    <w:pPr>
      <w:keepNext/>
      <w:keepLines/>
      <w:spacing w:before="240" w:after="64" w:line="320" w:lineRule="auto"/>
      <w:outlineLvl w:val="7"/>
    </w:pPr>
    <w:rPr>
      <w:rFonts w:asciiTheme="majorHAnsi" w:hAnsiTheme="majorHAnsi" w:eastAsiaTheme="majorEastAsia" w:cstheme="majorBidi"/>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0">
    <w:name w:val="caption"/>
    <w:basedOn w:val="1"/>
    <w:next w:val="1"/>
    <w:link w:val="42"/>
    <w:unhideWhenUsed/>
    <w:qFormat/>
    <w:uiPriority w:val="35"/>
    <w:pPr>
      <w:ind w:firstLine="0" w:firstLineChars="0"/>
      <w:jc w:val="center"/>
    </w:pPr>
    <w:rPr>
      <w:rFonts w:eastAsia="黑体" w:asciiTheme="majorHAnsi" w:hAnsiTheme="majorHAnsi" w:cstheme="majorBidi"/>
      <w:sz w:val="20"/>
      <w:szCs w:val="20"/>
    </w:rPr>
  </w:style>
  <w:style w:type="paragraph" w:styleId="11">
    <w:name w:val="annotation text"/>
    <w:basedOn w:val="1"/>
    <w:link w:val="40"/>
    <w:semiHidden/>
    <w:unhideWhenUsed/>
    <w:qFormat/>
    <w:uiPriority w:val="99"/>
    <w:pPr>
      <w:jc w:val="left"/>
    </w:pPr>
  </w:style>
  <w:style w:type="paragraph" w:styleId="12">
    <w:name w:val="footer"/>
    <w:basedOn w:val="1"/>
    <w:link w:val="24"/>
    <w:unhideWhenUsed/>
    <w:qFormat/>
    <w:uiPriority w:val="99"/>
    <w:pPr>
      <w:tabs>
        <w:tab w:val="center" w:pos="4153"/>
        <w:tab w:val="right" w:pos="8306"/>
      </w:tabs>
      <w:snapToGrid w:val="0"/>
      <w:spacing w:line="240" w:lineRule="auto"/>
      <w:jc w:val="left"/>
    </w:pPr>
    <w:rPr>
      <w:sz w:val="18"/>
      <w:szCs w:val="18"/>
    </w:rPr>
  </w:style>
  <w:style w:type="paragraph" w:styleId="13">
    <w:name w:val="header"/>
    <w:basedOn w:val="1"/>
    <w:link w:val="33"/>
    <w:autoRedefine/>
    <w:unhideWhenUsed/>
    <w:qFormat/>
    <w:uiPriority w:val="99"/>
    <w:pPr>
      <w:pBdr>
        <w:bottom w:val="single" w:color="auto" w:sz="6" w:space="1"/>
      </w:pBdr>
      <w:tabs>
        <w:tab w:val="center" w:pos="4153"/>
        <w:tab w:val="right" w:pos="8306"/>
      </w:tabs>
      <w:snapToGrid w:val="0"/>
      <w:ind w:firstLine="360"/>
      <w:jc w:val="center"/>
    </w:pPr>
    <w:rPr>
      <w:sz w:val="18"/>
      <w:szCs w:val="18"/>
    </w:rPr>
  </w:style>
  <w:style w:type="paragraph" w:styleId="14">
    <w:name w:val="toc 1"/>
    <w:basedOn w:val="1"/>
    <w:next w:val="1"/>
    <w:autoRedefine/>
    <w:unhideWhenUsed/>
    <w:qFormat/>
    <w:uiPriority w:val="39"/>
  </w:style>
  <w:style w:type="paragraph" w:styleId="15">
    <w:name w:val="toc 2"/>
    <w:basedOn w:val="1"/>
    <w:next w:val="1"/>
    <w:autoRedefine/>
    <w:unhideWhenUsed/>
    <w:qFormat/>
    <w:uiPriority w:val="39"/>
    <w:pPr>
      <w:tabs>
        <w:tab w:val="left" w:pos="1680"/>
        <w:tab w:val="right" w:leader="dot" w:pos="9060"/>
      </w:tabs>
      <w:ind w:left="480" w:leftChars="200"/>
    </w:pPr>
  </w:style>
  <w:style w:type="paragraph" w:styleId="16">
    <w:name w:val="Title"/>
    <w:basedOn w:val="1"/>
    <w:next w:val="1"/>
    <w:link w:val="34"/>
    <w:autoRedefine/>
    <w:qFormat/>
    <w:uiPriority w:val="10"/>
    <w:pPr>
      <w:widowControl/>
      <w:ind w:firstLine="0" w:firstLineChars="0"/>
      <w:jc w:val="center"/>
    </w:pPr>
    <w:rPr>
      <w:rFonts w:ascii="华文中宋" w:eastAsia="华文中宋" w:cs="Times New Roman"/>
      <w:b/>
      <w:kern w:val="0"/>
      <w:sz w:val="44"/>
      <w:szCs w:val="4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semiHidden/>
    <w:unhideWhenUsed/>
    <w:qFormat/>
    <w:uiPriority w:val="99"/>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styleId="22">
    <w:name w:val="annotation reference"/>
    <w:basedOn w:val="19"/>
    <w:semiHidden/>
    <w:unhideWhenUsed/>
    <w:qFormat/>
    <w:uiPriority w:val="99"/>
    <w:rPr>
      <w:sz w:val="21"/>
      <w:szCs w:val="21"/>
    </w:rPr>
  </w:style>
  <w:style w:type="paragraph" w:styleId="23">
    <w:name w:val="List Paragraph"/>
    <w:basedOn w:val="1"/>
    <w:semiHidden/>
    <w:qFormat/>
    <w:uiPriority w:val="34"/>
    <w:pPr>
      <w:ind w:firstLine="420"/>
    </w:pPr>
  </w:style>
  <w:style w:type="character" w:customStyle="1" w:styleId="24">
    <w:name w:val="页脚 字符"/>
    <w:basedOn w:val="19"/>
    <w:link w:val="12"/>
    <w:qFormat/>
    <w:uiPriority w:val="99"/>
    <w:rPr>
      <w:rFonts w:ascii="Times New Roman" w:hAnsi="Times New Roman" w:eastAsia="宋体"/>
      <w:kern w:val="2"/>
      <w:sz w:val="18"/>
      <w:szCs w:val="18"/>
    </w:rPr>
  </w:style>
  <w:style w:type="paragraph" w:customStyle="1" w:styleId="25">
    <w:name w:val="tu"/>
    <w:basedOn w:val="1"/>
    <w:link w:val="26"/>
    <w:autoRedefine/>
    <w:qFormat/>
    <w:uiPriority w:val="94"/>
    <w:pPr>
      <w:keepNext/>
      <w:spacing w:line="240" w:lineRule="auto"/>
      <w:ind w:firstLine="0" w:firstLineChars="0"/>
      <w:jc w:val="center"/>
    </w:pPr>
    <w:rPr>
      <w:sz w:val="21"/>
    </w:rPr>
  </w:style>
  <w:style w:type="character" w:customStyle="1" w:styleId="26">
    <w:name w:val="tu 字符"/>
    <w:basedOn w:val="19"/>
    <w:link w:val="25"/>
    <w:qFormat/>
    <w:uiPriority w:val="94"/>
    <w:rPr>
      <w:rFonts w:ascii="Times New Roman" w:hAnsi="Times New Roman" w:eastAsia="宋体"/>
      <w:kern w:val="2"/>
      <w:sz w:val="21"/>
      <w:szCs w:val="22"/>
    </w:rPr>
  </w:style>
  <w:style w:type="paragraph" w:customStyle="1" w:styleId="27">
    <w:name w:val="B表格-莆田高新区"/>
    <w:basedOn w:val="2"/>
    <w:link w:val="44"/>
    <w:qFormat/>
    <w:uiPriority w:val="0"/>
    <w:pPr>
      <w:outlineLvl w:val="9"/>
    </w:pPr>
  </w:style>
  <w:style w:type="character" w:customStyle="1" w:styleId="28">
    <w:name w:val="标题 2 字符"/>
    <w:basedOn w:val="19"/>
    <w:link w:val="3"/>
    <w:autoRedefine/>
    <w:qFormat/>
    <w:uiPriority w:val="9"/>
    <w:rPr>
      <w:rFonts w:ascii="Times New Roman" w:hAnsi="Times New Roman" w:eastAsia="楷体" w:cstheme="majorBidi"/>
      <w:b/>
      <w:bCs/>
      <w:kern w:val="2"/>
      <w:sz w:val="32"/>
      <w:szCs w:val="32"/>
    </w:rPr>
  </w:style>
  <w:style w:type="character" w:customStyle="1" w:styleId="29">
    <w:name w:val="标题 3 字符"/>
    <w:basedOn w:val="19"/>
    <w:link w:val="4"/>
    <w:autoRedefine/>
    <w:qFormat/>
    <w:uiPriority w:val="9"/>
    <w:rPr>
      <w:rFonts w:ascii="Times New Roman" w:hAnsi="Times New Roman" w:eastAsia="宋体"/>
      <w:b/>
      <w:bCs/>
      <w:kern w:val="2"/>
      <w:sz w:val="28"/>
      <w:szCs w:val="32"/>
    </w:rPr>
  </w:style>
  <w:style w:type="character" w:customStyle="1" w:styleId="30">
    <w:name w:val="标题 4 字符"/>
    <w:basedOn w:val="19"/>
    <w:link w:val="5"/>
    <w:autoRedefine/>
    <w:qFormat/>
    <w:uiPriority w:val="9"/>
    <w:rPr>
      <w:rFonts w:ascii="Times New Roman" w:hAnsi="Times New Roman" w:eastAsia="宋体" w:cstheme="majorBidi"/>
      <w:b/>
      <w:bCs/>
      <w:kern w:val="2"/>
      <w:sz w:val="24"/>
      <w:szCs w:val="28"/>
    </w:rPr>
  </w:style>
  <w:style w:type="character" w:customStyle="1" w:styleId="31">
    <w:name w:val="标题 5 字符"/>
    <w:basedOn w:val="19"/>
    <w:link w:val="6"/>
    <w:autoRedefine/>
    <w:qFormat/>
    <w:uiPriority w:val="9"/>
    <w:rPr>
      <w:rFonts w:ascii="Times New Roman" w:hAnsi="Times New Roman" w:eastAsia="宋体"/>
      <w:bCs/>
      <w:kern w:val="2"/>
      <w:sz w:val="24"/>
      <w:szCs w:val="28"/>
    </w:rPr>
  </w:style>
  <w:style w:type="character" w:customStyle="1" w:styleId="32">
    <w:name w:val="标题 6 字符"/>
    <w:basedOn w:val="19"/>
    <w:link w:val="7"/>
    <w:autoRedefine/>
    <w:qFormat/>
    <w:uiPriority w:val="9"/>
    <w:rPr>
      <w:rFonts w:ascii="宋体" w:hAnsi="宋体" w:eastAsia="宋体" w:cs="宋体"/>
      <w:b/>
      <w:bCs/>
      <w:sz w:val="24"/>
      <w:szCs w:val="24"/>
      <w:lang w:val="zh-CN" w:bidi="zh-CN"/>
    </w:rPr>
  </w:style>
  <w:style w:type="character" w:customStyle="1" w:styleId="33">
    <w:name w:val="页眉 字符"/>
    <w:basedOn w:val="19"/>
    <w:link w:val="13"/>
    <w:autoRedefine/>
    <w:qFormat/>
    <w:uiPriority w:val="99"/>
    <w:rPr>
      <w:rFonts w:ascii="Times New Roman" w:hAnsi="Times New Roman" w:eastAsia="宋体"/>
      <w:kern w:val="2"/>
      <w:sz w:val="18"/>
      <w:szCs w:val="18"/>
    </w:rPr>
  </w:style>
  <w:style w:type="character" w:customStyle="1" w:styleId="34">
    <w:name w:val="标题 字符"/>
    <w:basedOn w:val="19"/>
    <w:link w:val="16"/>
    <w:autoRedefine/>
    <w:qFormat/>
    <w:uiPriority w:val="10"/>
    <w:rPr>
      <w:rFonts w:ascii="华文中宋" w:hAnsi="Times New Roman" w:eastAsia="华文中宋" w:cs="Times New Roman"/>
      <w:b/>
      <w:sz w:val="44"/>
      <w:szCs w:val="44"/>
    </w:rPr>
  </w:style>
  <w:style w:type="paragraph" w:customStyle="1" w:styleId="35">
    <w:name w:val="修订1"/>
    <w:autoRedefine/>
    <w:hidden/>
    <w:qFormat/>
    <w:uiPriority w:val="99"/>
    <w:rPr>
      <w:rFonts w:asciiTheme="minorHAnsi" w:hAnsiTheme="minorHAnsi" w:eastAsiaTheme="minorEastAsia" w:cstheme="minorBidi"/>
      <w:kern w:val="2"/>
      <w:sz w:val="21"/>
      <w:szCs w:val="22"/>
      <w:lang w:val="en-US" w:eastAsia="zh-CN" w:bidi="ar-SA"/>
    </w:rPr>
  </w:style>
  <w:style w:type="paragraph" w:customStyle="1" w:styleId="36">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7">
    <w:name w:val="修订21"/>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8">
    <w:name w:val="标题 1 字符"/>
    <w:link w:val="2"/>
    <w:autoRedefine/>
    <w:qFormat/>
    <w:uiPriority w:val="9"/>
    <w:rPr>
      <w:rFonts w:ascii="Times New Roman" w:hAnsi="Times New Roman" w:eastAsia="黑体"/>
      <w:b/>
      <w:bCs/>
      <w:kern w:val="44"/>
      <w:sz w:val="44"/>
      <w:szCs w:val="44"/>
    </w:rPr>
  </w:style>
  <w:style w:type="character" w:customStyle="1" w:styleId="39">
    <w:name w:val="标题 8 字符"/>
    <w:basedOn w:val="19"/>
    <w:link w:val="9"/>
    <w:autoRedefine/>
    <w:semiHidden/>
    <w:qFormat/>
    <w:uiPriority w:val="0"/>
    <w:rPr>
      <w:rFonts w:asciiTheme="majorHAnsi" w:hAnsiTheme="majorHAnsi" w:eastAsiaTheme="majorEastAsia" w:cstheme="majorBidi"/>
    </w:rPr>
  </w:style>
  <w:style w:type="character" w:customStyle="1" w:styleId="40">
    <w:name w:val="批注文字 字符"/>
    <w:basedOn w:val="19"/>
    <w:link w:val="11"/>
    <w:semiHidden/>
    <w:qFormat/>
    <w:uiPriority w:val="99"/>
    <w:rPr>
      <w:rFonts w:ascii="Times New Roman" w:hAnsi="Times New Roman" w:eastAsia="宋体"/>
      <w:kern w:val="2"/>
      <w:sz w:val="24"/>
      <w:szCs w:val="22"/>
    </w:rPr>
  </w:style>
  <w:style w:type="paragraph" w:customStyle="1" w:styleId="41">
    <w:name w:val="B题注与下段同页"/>
    <w:basedOn w:val="10"/>
    <w:link w:val="43"/>
    <w:qFormat/>
    <w:uiPriority w:val="0"/>
    <w:pPr>
      <w:keepNext/>
    </w:pPr>
  </w:style>
  <w:style w:type="character" w:customStyle="1" w:styleId="42">
    <w:name w:val="题注 字符"/>
    <w:basedOn w:val="19"/>
    <w:link w:val="10"/>
    <w:qFormat/>
    <w:uiPriority w:val="35"/>
    <w:rPr>
      <w:rFonts w:eastAsia="黑体" w:asciiTheme="majorHAnsi" w:hAnsiTheme="majorHAnsi" w:cstheme="majorBidi"/>
      <w:kern w:val="2"/>
    </w:rPr>
  </w:style>
  <w:style w:type="character" w:customStyle="1" w:styleId="43">
    <w:name w:val="B题注与下段同页 字符"/>
    <w:basedOn w:val="42"/>
    <w:link w:val="41"/>
    <w:qFormat/>
    <w:uiPriority w:val="0"/>
    <w:rPr>
      <w:rFonts w:eastAsia="黑体" w:asciiTheme="majorHAnsi" w:hAnsiTheme="majorHAnsi" w:cstheme="majorBidi"/>
      <w:kern w:val="2"/>
    </w:rPr>
  </w:style>
  <w:style w:type="character" w:customStyle="1" w:styleId="44">
    <w:name w:val="B表格-莆田高新区 Char"/>
    <w:link w:val="27"/>
    <w:qFormat/>
    <w:uiPriority w:val="0"/>
    <w:rPr>
      <w:rFonts w:ascii="Times New Roman" w:hAnsi="Times New Roman" w:eastAsia="黑体"/>
      <w:b/>
      <w:bCs/>
      <w:kern w:val="44"/>
      <w:sz w:val="44"/>
      <w:szCs w:val="44"/>
    </w:rPr>
  </w:style>
  <w:style w:type="paragraph" w:customStyle="1" w:styleId="45">
    <w:name w:val="样式 标题 4标题 4（241）¶Î段H4h4 sub sub heading. (A.)款标题1.1.1.1条..."/>
    <w:basedOn w:val="5"/>
    <w:autoRedefine/>
    <w:qFormat/>
    <w:uiPriority w:val="0"/>
    <w:pPr>
      <w:numPr>
        <w:numId w:val="2"/>
      </w:numPr>
      <w:tabs>
        <w:tab w:val="left" w:pos="0"/>
        <w:tab w:val="clear" w:pos="851"/>
      </w:tabs>
      <w:adjustRightInd w:val="0"/>
      <w:spacing w:before="120" w:beforeLines="50" w:after="120" w:afterLines="50" w:line="240" w:lineRule="auto"/>
      <w:jc w:val="left"/>
    </w:pPr>
    <w:rPr>
      <w:rFonts w:eastAsia="黑体" w:cs="宋体"/>
      <w:b w:val="0"/>
      <w:sz w:val="28"/>
      <w:szCs w:val="20"/>
    </w:rPr>
  </w:style>
  <w:style w:type="character" w:customStyle="1" w:styleId="46">
    <w:name w:val="font21"/>
    <w:basedOn w:val="19"/>
    <w:qFormat/>
    <w:uiPriority w:val="0"/>
    <w:rPr>
      <w:rFonts w:hint="eastAsia" w:ascii="宋体" w:hAnsi="宋体" w:eastAsia="宋体" w:cs="宋体"/>
      <w:color w:val="000000"/>
      <w:sz w:val="22"/>
      <w:szCs w:val="22"/>
      <w:u w:val="none"/>
    </w:rPr>
  </w:style>
  <w:style w:type="character" w:customStyle="1" w:styleId="47">
    <w:name w:val="font11"/>
    <w:basedOn w:val="19"/>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A5D72B-29E1-4CEB-A05C-5A9E29BAA22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Pages>
  <Words>1636</Words>
  <Characters>1773</Characters>
  <Lines>18</Lines>
  <Paragraphs>5</Paragraphs>
  <TotalTime>25</TotalTime>
  <ScaleCrop>false</ScaleCrop>
  <LinksUpToDate>false</LinksUpToDate>
  <CharactersWithSpaces>1781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2024-06-26T02:14:00Z</dcterms:created>
  <dc:creator>Administrator</dc:creator>
  <cp:lastModifiedBy>zirr-</cp:lastModifiedBy>
  <cp:lastPrinted>2025-03-26T08:05:00Z</cp:lastPrinted>
  <dcterms:modified xsi:type="dcterms:W3CDTF">2025-03-31T02:56:11Z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F2C1BA0F7B044E2EA4F915A426062004_13</vt:lpwstr>
  </property>
  <property fmtid="{D5CDD505-2E9C-101B-9397-08002B2CF9AE}" pid="4" name="KSOTemplateDocerSaveRecord">
    <vt:lpwstr>eyJoZGlkIjoiNzZkZWE2YzQxNDNlZjU2NWRhZDY0YmQzOWZhOWQ1NTEiLCJ1c2VySWQiOiI1MDU2MTg0ODIifQ==</vt:lpwstr>
  </property>
</Properties>
</file>