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cs="黑体"/>
          <w:sz w:val="32"/>
          <w:szCs w:val="32"/>
        </w:rPr>
      </w:pPr>
      <w:r>
        <w:rPr>
          <w:rFonts w:hint="eastAsia" w:ascii="黑体" w:hAnsi="黑体" w:eastAsia="黑体" w:cs="黑体"/>
          <w:sz w:val="32"/>
          <w:szCs w:val="32"/>
        </w:rPr>
        <w:t>附件：</w:t>
      </w:r>
    </w:p>
    <w:p>
      <w:pPr>
        <w:spacing w:line="560" w:lineRule="exact"/>
        <w:jc w:val="left"/>
        <w:rPr>
          <w:rFonts w:ascii="方正小标宋简体" w:hAnsi="微软雅黑" w:eastAsia="方正小标宋简体"/>
          <w:sz w:val="44"/>
          <w:szCs w:val="44"/>
        </w:rPr>
      </w:pPr>
    </w:p>
    <w:p>
      <w:pPr>
        <w:spacing w:line="560" w:lineRule="exact"/>
        <w:jc w:val="center"/>
        <w:rPr>
          <w:rFonts w:ascii="方正小标宋简体" w:hAnsi="微软雅黑" w:eastAsia="方正小标宋简体"/>
          <w:sz w:val="44"/>
          <w:szCs w:val="44"/>
        </w:rPr>
      </w:pPr>
      <w:r>
        <w:rPr>
          <w:rFonts w:hint="eastAsia" w:ascii="方正小标宋简体" w:hAnsi="微软雅黑" w:eastAsia="方正小标宋简体"/>
          <w:sz w:val="44"/>
          <w:szCs w:val="44"/>
        </w:rPr>
        <w:t>漳港安平广场周边片区土地征收成片开发方案</w:t>
      </w:r>
    </w:p>
    <w:p>
      <w:pPr>
        <w:spacing w:line="560" w:lineRule="exact"/>
        <w:jc w:val="center"/>
        <w:rPr>
          <w:rFonts w:ascii="方正小标宋简体" w:hAnsi="微软雅黑" w:eastAsia="方正小标宋简体"/>
          <w:sz w:val="44"/>
          <w:szCs w:val="44"/>
        </w:rPr>
      </w:pPr>
      <w:r>
        <w:rPr>
          <w:rFonts w:hint="eastAsia" w:ascii="方正小标宋简体" w:hAnsi="微软雅黑" w:eastAsia="方正小标宋简体"/>
          <w:sz w:val="44"/>
          <w:szCs w:val="44"/>
        </w:rPr>
        <w:t>（征求意见稿）</w:t>
      </w:r>
    </w:p>
    <w:p>
      <w:pPr>
        <w:spacing w:line="560" w:lineRule="exact"/>
        <w:jc w:val="center"/>
        <w:rPr>
          <w:rFonts w:ascii="方正小标宋简体" w:hAnsi="微软雅黑" w:eastAsia="方正小标宋简体"/>
          <w:sz w:val="44"/>
          <w:szCs w:val="44"/>
        </w:rPr>
      </w:pP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一、编制依据</w:t>
      </w:r>
    </w:p>
    <w:p>
      <w:pPr>
        <w:ind w:firstLine="640" w:firstLineChars="200"/>
        <w:rPr>
          <w:rFonts w:ascii="Times New Roman" w:hAnsi="Times New Roman" w:eastAsia="仿宋_GB2312"/>
          <w:sz w:val="32"/>
          <w:szCs w:val="32"/>
        </w:rPr>
      </w:pPr>
      <w:r>
        <w:rPr>
          <w:rFonts w:hint="eastAsia" w:ascii="仿宋_GB2312" w:hAnsi="宋体" w:eastAsia="仿宋_GB2312"/>
          <w:sz w:val="32"/>
          <w:szCs w:val="32"/>
        </w:rPr>
        <w:t>依据《中华人民共和国土地管理法》（2019年</w:t>
      </w:r>
      <w:r>
        <w:rPr>
          <w:rFonts w:ascii="仿宋_GB2312" w:hAnsi="宋体" w:eastAsia="仿宋_GB2312"/>
          <w:sz w:val="32"/>
          <w:szCs w:val="32"/>
        </w:rPr>
        <w:t>修正版</w:t>
      </w:r>
      <w:r>
        <w:rPr>
          <w:rFonts w:hint="eastAsia" w:ascii="仿宋_GB2312" w:hAnsi="宋体" w:eastAsia="仿宋_GB2312"/>
          <w:sz w:val="32"/>
          <w:szCs w:val="32"/>
        </w:rPr>
        <w:t>）、《自然资源部关于印发</w:t>
      </w:r>
      <w:r>
        <w:rPr>
          <w:rFonts w:ascii="仿宋_GB2312" w:hAnsi="宋体" w:eastAsia="仿宋_GB2312"/>
          <w:sz w:val="32"/>
          <w:szCs w:val="32"/>
        </w:rPr>
        <w:t>&lt;土地征收成片开发标准（试行）&gt;的通知》（自然资规〔2020〕5号）</w:t>
      </w:r>
      <w:r>
        <w:rPr>
          <w:rFonts w:hint="eastAsia" w:ascii="仿宋_GB2312" w:hAnsi="宋体" w:eastAsia="仿宋_GB2312"/>
          <w:sz w:val="32"/>
          <w:szCs w:val="32"/>
        </w:rPr>
        <w:t>、</w:t>
      </w:r>
      <w:bookmarkStart w:id="0" w:name="_Hlk62547865"/>
      <w:r>
        <w:rPr>
          <w:rFonts w:hint="eastAsia" w:ascii="仿宋_GB2312" w:hAnsi="宋体" w:eastAsia="仿宋_GB2312"/>
          <w:sz w:val="32"/>
          <w:szCs w:val="32"/>
        </w:rPr>
        <w:t>《福建省自然资源厅关于印发〈福建省土地征收成片开发方案报批实施细则（试行）〉的通知》（闽自然资发〔</w:t>
      </w:r>
      <w:r>
        <w:rPr>
          <w:rFonts w:ascii="仿宋_GB2312" w:hAnsi="宋体" w:eastAsia="仿宋_GB2312"/>
          <w:sz w:val="32"/>
          <w:szCs w:val="32"/>
        </w:rPr>
        <w:t>2021〕3号）</w:t>
      </w:r>
      <w:r>
        <w:rPr>
          <w:rFonts w:hint="eastAsia" w:ascii="仿宋_GB2312" w:hAnsi="宋体" w:eastAsia="仿宋_GB2312"/>
          <w:sz w:val="32"/>
          <w:szCs w:val="32"/>
        </w:rPr>
        <w:t>、</w:t>
      </w:r>
      <w:r>
        <w:rPr>
          <w:rFonts w:hint="eastAsia" w:ascii="Times New Roman" w:hAnsi="Times New Roman" w:eastAsia="仿宋_GB2312"/>
          <w:sz w:val="32"/>
          <w:szCs w:val="32"/>
        </w:rPr>
        <w:t>《自然资源部办公厅关于印发〈国土空间调查、规划、用途管制用地用海分类指南（试行）〉》（自然资办发〔</w:t>
      </w:r>
      <w:r>
        <w:rPr>
          <w:rFonts w:ascii="Times New Roman" w:hAnsi="Times New Roman" w:eastAsia="仿宋_GB2312"/>
          <w:sz w:val="32"/>
          <w:szCs w:val="32"/>
        </w:rPr>
        <w:t>2020〕51号）</w:t>
      </w:r>
      <w:r>
        <w:rPr>
          <w:rFonts w:hint="eastAsia" w:ascii="仿宋_GB2312" w:hAnsi="宋体" w:eastAsia="仿宋_GB2312"/>
          <w:sz w:val="32"/>
          <w:szCs w:val="32"/>
        </w:rPr>
        <w:t>、</w:t>
      </w:r>
      <w:bookmarkEnd w:id="0"/>
      <w:r>
        <w:rPr>
          <w:rFonts w:hint="eastAsia" w:ascii="仿宋_GB2312" w:hAnsi="宋体" w:eastAsia="仿宋_GB2312"/>
          <w:sz w:val="32"/>
          <w:szCs w:val="32"/>
        </w:rPr>
        <w:t>《福建省自然资源厅关于印发〈福建省土地征收成片开发方案报批实施细则（试行）〉的通知》（闽自然资发〔</w:t>
      </w:r>
      <w:r>
        <w:rPr>
          <w:rFonts w:ascii="仿宋_GB2312" w:hAnsi="宋体" w:eastAsia="仿宋_GB2312"/>
          <w:sz w:val="32"/>
          <w:szCs w:val="32"/>
        </w:rPr>
        <w:t>2021〕3号）</w:t>
      </w:r>
      <w:r>
        <w:rPr>
          <w:rFonts w:hint="eastAsia" w:ascii="仿宋_GB2312" w:hAnsi="宋体" w:eastAsia="仿宋_GB2312"/>
          <w:sz w:val="32"/>
          <w:szCs w:val="32"/>
        </w:rPr>
        <w:t>、《福建省土地征收成片开发方案编制参考指南</w:t>
      </w:r>
      <w:r>
        <w:rPr>
          <w:rFonts w:ascii="仿宋_GB2312" w:hAnsi="宋体" w:eastAsia="仿宋_GB2312"/>
          <w:sz w:val="32"/>
          <w:szCs w:val="32"/>
        </w:rPr>
        <w:t>(试行)》（闽自然资发〔2021〕6号）</w:t>
      </w:r>
      <w:r>
        <w:rPr>
          <w:rFonts w:hint="eastAsia" w:ascii="仿宋_GB2312" w:hAnsi="宋体" w:eastAsia="仿宋_GB2312"/>
          <w:sz w:val="32"/>
          <w:szCs w:val="32"/>
        </w:rPr>
        <w:t>、《长乐市土地利用总体规划（</w:t>
      </w:r>
      <w:r>
        <w:rPr>
          <w:rFonts w:ascii="仿宋_GB2312" w:hAnsi="宋体" w:eastAsia="仿宋_GB2312"/>
          <w:sz w:val="32"/>
          <w:szCs w:val="32"/>
        </w:rPr>
        <w:t>2006-2020年）调整完善方案》</w:t>
      </w:r>
      <w:r>
        <w:rPr>
          <w:rFonts w:hint="eastAsia" w:ascii="仿宋_GB2312" w:hAnsi="宋体" w:eastAsia="仿宋_GB2312"/>
          <w:sz w:val="32"/>
          <w:szCs w:val="32"/>
        </w:rPr>
        <w:t>编制《漳港安平广场周边片区土地征收成片开发方案》。</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二、基本情况</w:t>
      </w:r>
    </w:p>
    <w:p>
      <w:pPr>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本方案涉及漳港街道的漳港社区、门楼村，共</w:t>
      </w:r>
      <w:r>
        <w:rPr>
          <w:rFonts w:ascii="Times New Roman" w:hAnsi="Times New Roman" w:eastAsia="仿宋_GB2312"/>
          <w:color w:val="000000" w:themeColor="text1"/>
          <w:sz w:val="32"/>
          <w:szCs w:val="32"/>
          <w14:textFill>
            <w14:solidFill>
              <w14:schemeClr w14:val="tx1"/>
            </w14:solidFill>
          </w14:textFill>
        </w:rPr>
        <w:t>1个街道2个村（社区），涉及8个国有单位，不涉及省级和国家级开发区。</w:t>
      </w:r>
    </w:p>
    <w:p>
      <w:pPr>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根据实地勘测调查，本方案成片开发范围总面积</w:t>
      </w:r>
      <w:r>
        <w:rPr>
          <w:rFonts w:ascii="Times New Roman" w:hAnsi="Times New Roman" w:eastAsia="仿宋_GB2312"/>
          <w:color w:val="000000" w:themeColor="text1"/>
          <w:sz w:val="32"/>
          <w:szCs w:val="32"/>
          <w14:textFill>
            <w14:solidFill>
              <w14:schemeClr w14:val="tx1"/>
            </w14:solidFill>
          </w14:textFill>
        </w:rPr>
        <w:t>6.1634</w:t>
      </w:r>
      <w:r>
        <w:rPr>
          <w:rFonts w:hint="eastAsia" w:ascii="Times New Roman" w:hAnsi="Times New Roman" w:eastAsia="仿宋_GB2312"/>
          <w:color w:val="000000" w:themeColor="text1"/>
          <w:sz w:val="32"/>
          <w:szCs w:val="32"/>
          <w14:textFill>
            <w14:solidFill>
              <w14:schemeClr w14:val="tx1"/>
            </w14:solidFill>
          </w14:textFill>
        </w:rPr>
        <w:t>公顷，其中：农用地</w:t>
      </w:r>
      <w:r>
        <w:rPr>
          <w:rFonts w:ascii="Times New Roman" w:hAnsi="Times New Roman" w:eastAsia="仿宋_GB2312"/>
          <w:color w:val="000000" w:themeColor="text1"/>
          <w:sz w:val="32"/>
          <w:szCs w:val="32"/>
          <w14:textFill>
            <w14:solidFill>
              <w14:schemeClr w14:val="tx1"/>
            </w14:solidFill>
          </w14:textFill>
        </w:rPr>
        <w:t>0.8313公顷（其中：耕地0.7465公顷），建设用地5.3321公顷，</w:t>
      </w:r>
      <w:r>
        <w:rPr>
          <w:rFonts w:hint="eastAsia" w:ascii="Times New Roman" w:hAnsi="Times New Roman" w:eastAsia="仿宋_GB2312"/>
          <w:color w:val="000000" w:themeColor="text1"/>
          <w:sz w:val="32"/>
          <w:szCs w:val="32"/>
          <w14:textFill>
            <w14:solidFill>
              <w14:schemeClr w14:val="tx1"/>
            </w14:solidFill>
          </w14:textFill>
        </w:rPr>
        <w:t>不涉及</w:t>
      </w:r>
      <w:r>
        <w:rPr>
          <w:rFonts w:ascii="Times New Roman" w:hAnsi="Times New Roman" w:eastAsia="仿宋_GB2312"/>
          <w:color w:val="000000" w:themeColor="text1"/>
          <w:sz w:val="32"/>
          <w:szCs w:val="32"/>
          <w14:textFill>
            <w14:solidFill>
              <w14:schemeClr w14:val="tx1"/>
            </w14:solidFill>
          </w14:textFill>
        </w:rPr>
        <w:t>未利用地。</w:t>
      </w:r>
    </w:p>
    <w:p>
      <w:pPr>
        <w:pStyle w:val="2"/>
        <w:numPr>
          <w:ilvl w:val="0"/>
          <w:numId w:val="0"/>
        </w:numPr>
        <w:spacing w:line="560" w:lineRule="exact"/>
        <w:ind w:firstLine="640" w:firstLineChars="200"/>
        <w:rPr>
          <w:rFonts w:ascii="黑体" w:hAnsi="黑体" w:eastAsia="黑体"/>
          <w:b w:val="0"/>
          <w:szCs w:val="32"/>
        </w:rPr>
      </w:pPr>
      <w:r>
        <w:rPr>
          <w:rFonts w:ascii="黑体" w:hAnsi="黑体" w:eastAsia="黑体"/>
          <w:b w:val="0"/>
          <w:szCs w:val="32"/>
        </w:rPr>
        <w:t xml:space="preserve"> </w:t>
      </w:r>
      <w:r>
        <w:rPr>
          <w:rFonts w:hint="eastAsia" w:ascii="黑体" w:hAnsi="黑体" w:eastAsia="黑体"/>
          <w:b w:val="0"/>
          <w:szCs w:val="32"/>
        </w:rPr>
        <w:t>三、项目的必要性</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片区的开发是完善临空经济区综合配套、提升城市品质的需要，是临空经济示范区配套服务的重要空间，也是临空产业发展的支撑保障。本片区的开发有利于改善漳港城镇面貌，提升宜居环境，完善区域交通路网和配套设施。</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四、规划土地用途分析</w:t>
      </w:r>
    </w:p>
    <w:p>
      <w:pPr>
        <w:widowControl/>
        <w:ind w:firstLine="640" w:firstLineChars="200"/>
        <w:rPr>
          <w:rFonts w:ascii="仿宋_GB2312" w:hAnsi="宋体" w:eastAsia="仿宋_GB2312"/>
          <w:sz w:val="32"/>
          <w:szCs w:val="32"/>
        </w:rPr>
      </w:pPr>
      <w:r>
        <w:rPr>
          <w:rFonts w:hint="eastAsia" w:ascii="Times New Roman" w:hAnsi="Times New Roman" w:eastAsia="仿宋_GB2312"/>
          <w:sz w:val="32"/>
          <w:szCs w:val="32"/>
        </w:rPr>
        <w:t>本方案用地总面积</w:t>
      </w:r>
      <w:r>
        <w:rPr>
          <w:rFonts w:ascii="Times New Roman" w:hAnsi="Times New Roman" w:eastAsia="仿宋_GB2312"/>
          <w:sz w:val="32"/>
          <w:szCs w:val="32"/>
        </w:rPr>
        <w:t>6.1634公顷，主要以商业服务业用地用途为主。其中居住用地用途面积0.8696公顷，实现城镇住宅功能；商业服务业用地用途面积2.8098公顷，实现商业功能；公共管理与公共服务用地用途面积0.2783公顷，实现行政办公功能；交通运输用地用途面积1.8005公顷，实现交通运输；绿地与开敞空间用地用途面积0.4052公顷，实现绿化功能。</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五、公益性用地</w:t>
      </w:r>
      <w:r>
        <w:rPr>
          <w:rFonts w:ascii="黑体" w:hAnsi="黑体" w:eastAsia="黑体"/>
          <w:b w:val="0"/>
          <w:szCs w:val="32"/>
        </w:rPr>
        <w:t>情况</w:t>
      </w:r>
    </w:p>
    <w:p>
      <w:pPr>
        <w:ind w:firstLine="640" w:firstLineChars="200"/>
        <w:rPr>
          <w:rFonts w:ascii="仿宋_GB2312" w:hAnsi="宋体" w:eastAsia="仿宋_GB2312"/>
          <w:sz w:val="32"/>
          <w:szCs w:val="32"/>
        </w:rPr>
      </w:pPr>
      <w:r>
        <w:rPr>
          <w:rFonts w:hint="eastAsia" w:ascii="Times New Roman" w:hAnsi="Times New Roman" w:eastAsia="仿宋_GB2312"/>
          <w:sz w:val="32"/>
          <w:szCs w:val="32"/>
        </w:rPr>
        <w:t>公益性用地包含公共管理与公共服务用地用途、交通运输用地用途、绿地与开敞空间用地用途等，合计</w:t>
      </w:r>
      <w:r>
        <w:rPr>
          <w:rFonts w:ascii="Times New Roman" w:hAnsi="Times New Roman" w:eastAsia="仿宋_GB2312"/>
          <w:sz w:val="32"/>
          <w:szCs w:val="32"/>
        </w:rPr>
        <w:t>2.4840公顷，占总用地面积的40.30%，符合自然资规〔2020〕5号文件规定。</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六</w:t>
      </w:r>
      <w:r>
        <w:rPr>
          <w:rFonts w:ascii="黑体" w:hAnsi="黑体" w:eastAsia="黑体"/>
          <w:b w:val="0"/>
          <w:szCs w:val="32"/>
        </w:rPr>
        <w:t>、规划符合情况</w:t>
      </w:r>
    </w:p>
    <w:p>
      <w:pPr>
        <w:spacing w:line="560" w:lineRule="exact"/>
        <w:ind w:firstLine="640" w:firstLineChars="200"/>
        <w:rPr>
          <w:rFonts w:ascii="仿宋_GB2312" w:hAnsi="宋体" w:eastAsia="仿宋_GB2312"/>
          <w:sz w:val="32"/>
          <w:szCs w:val="32"/>
        </w:rPr>
      </w:pPr>
      <w:r>
        <w:rPr>
          <w:rFonts w:ascii="仿宋_GB2312" w:hAnsi="宋体" w:eastAsia="仿宋_GB2312"/>
          <w:sz w:val="32"/>
          <w:szCs w:val="32"/>
        </w:rPr>
        <w:t xml:space="preserve">本方案符合国民经济和社会发展规划的发展定位、要求，有利于完成规划目标、任务，已纳入国民经济和社会发展年度计划。 </w:t>
      </w:r>
      <w:r>
        <w:rPr>
          <w:rFonts w:hint="eastAsia" w:ascii="仿宋_GB2312" w:hAnsi="宋体" w:eastAsia="仿宋_GB2312"/>
          <w:sz w:val="32"/>
          <w:szCs w:val="32"/>
        </w:rPr>
        <w:t>本方案位于土地利用总体规划的允许建设区和有条件建设区，已纳入上报的城镇开发边界集中建设区，福州市人民政府承诺将土地征收成片开发范围纳入国土空间规划最终确定的城镇开发边界内的集中建设区。</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七</w:t>
      </w:r>
      <w:r>
        <w:rPr>
          <w:rFonts w:ascii="黑体" w:hAnsi="黑体" w:eastAsia="黑体"/>
          <w:b w:val="0"/>
          <w:szCs w:val="32"/>
        </w:rPr>
        <w:t>、</w:t>
      </w:r>
      <w:r>
        <w:rPr>
          <w:rFonts w:hint="eastAsia" w:ascii="黑体" w:hAnsi="黑体" w:eastAsia="黑体"/>
          <w:b w:val="0"/>
          <w:szCs w:val="32"/>
        </w:rPr>
        <w:t>永久基本农田及生态保护情况</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成片开发范围内不涉及永久基本农田、陆域生态保护红线等，不涉及历史文化名城、名镇、名村及传统村落，不涉及各级文物保护单位、不可移动文物登记点及已公布历史建筑。符合成片开发项目送审报批的要求。</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八</w:t>
      </w:r>
      <w:r>
        <w:rPr>
          <w:rFonts w:ascii="黑体" w:hAnsi="黑体" w:eastAsia="黑体"/>
          <w:b w:val="0"/>
          <w:szCs w:val="32"/>
        </w:rPr>
        <w:t>、</w:t>
      </w:r>
      <w:r>
        <w:rPr>
          <w:rFonts w:hint="eastAsia" w:ascii="黑体" w:hAnsi="黑体" w:eastAsia="黑体"/>
          <w:b w:val="0"/>
          <w:szCs w:val="32"/>
        </w:rPr>
        <w:t>实施计划</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本方案</w:t>
      </w:r>
      <w:r>
        <w:rPr>
          <w:rFonts w:ascii="仿宋_GB2312" w:hAnsi="宋体" w:eastAsia="仿宋_GB2312"/>
          <w:sz w:val="32"/>
          <w:szCs w:val="32"/>
        </w:rPr>
        <w:t>计划实施周期为202</w:t>
      </w:r>
      <w:r>
        <w:rPr>
          <w:rFonts w:hint="eastAsia" w:ascii="仿宋_GB2312" w:hAnsi="宋体" w:eastAsia="仿宋_GB2312"/>
          <w:sz w:val="32"/>
          <w:szCs w:val="32"/>
          <w:lang w:val="en-US" w:eastAsia="zh-CN"/>
        </w:rPr>
        <w:t>2</w:t>
      </w:r>
      <w:r>
        <w:rPr>
          <w:rFonts w:ascii="仿宋_GB2312" w:hAnsi="宋体" w:eastAsia="仿宋_GB2312"/>
          <w:sz w:val="32"/>
          <w:szCs w:val="32"/>
        </w:rPr>
        <w:t>-202</w:t>
      </w:r>
      <w:r>
        <w:rPr>
          <w:rFonts w:hint="eastAsia" w:ascii="仿宋_GB2312" w:hAnsi="宋体" w:eastAsia="仿宋_GB2312"/>
          <w:sz w:val="32"/>
          <w:szCs w:val="32"/>
          <w:lang w:val="en-US" w:eastAsia="zh-CN"/>
        </w:rPr>
        <w:t>4</w:t>
      </w:r>
      <w:r>
        <w:rPr>
          <w:rFonts w:ascii="仿宋_GB2312" w:hAnsi="宋体" w:eastAsia="仿宋_GB2312"/>
          <w:sz w:val="32"/>
          <w:szCs w:val="32"/>
        </w:rPr>
        <w:t>年，202</w:t>
      </w:r>
      <w:r>
        <w:rPr>
          <w:rFonts w:hint="eastAsia" w:ascii="仿宋_GB2312" w:hAnsi="宋体" w:eastAsia="仿宋_GB2312"/>
          <w:sz w:val="32"/>
          <w:szCs w:val="32"/>
          <w:lang w:val="en-US" w:eastAsia="zh-CN"/>
        </w:rPr>
        <w:t>4</w:t>
      </w:r>
      <w:bookmarkStart w:id="1" w:name="_GoBack"/>
      <w:bookmarkEnd w:id="1"/>
      <w:r>
        <w:rPr>
          <w:rFonts w:ascii="仿宋_GB2312" w:hAnsi="宋体" w:eastAsia="仿宋_GB2312"/>
          <w:sz w:val="32"/>
          <w:szCs w:val="32"/>
        </w:rPr>
        <w:t>年内实施完毕</w:t>
      </w:r>
      <w:r>
        <w:rPr>
          <w:rFonts w:hint="eastAsia" w:ascii="仿宋_GB2312" w:hAnsi="宋体" w:eastAsia="仿宋_GB2312"/>
          <w:sz w:val="32"/>
          <w:szCs w:val="32"/>
        </w:rPr>
        <w:t>。</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九、效益评估</w:t>
      </w:r>
    </w:p>
    <w:p>
      <w:pPr>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（一）土地利用效益：本片区的建设可以在空间上连续、大面积、系统性地供给城镇生产、生活的各类服务功能，实现统一规划、开发、建设与管理，充分发挥片区的集聚效益，提高滨海新城土地资源配置效率。</w:t>
      </w:r>
    </w:p>
    <w:p>
      <w:pPr>
        <w:ind w:firstLine="640" w:firstLineChars="200"/>
        <w:rPr>
          <w:rFonts w:ascii="仿宋_GB2312" w:hAnsi="宋体" w:eastAsia="仿宋_GB2312"/>
          <w:bCs/>
          <w:sz w:val="32"/>
          <w:szCs w:val="32"/>
        </w:rPr>
      </w:pPr>
      <w:r>
        <w:rPr>
          <w:rFonts w:hint="eastAsia" w:ascii="仿宋_GB2312" w:hAnsi="宋体" w:eastAsia="仿宋_GB2312"/>
          <w:bCs/>
          <w:sz w:val="32"/>
          <w:szCs w:val="32"/>
        </w:rPr>
        <w:t>（二）经济效益：本片区将建设成集居住、商业、商务、行政办公等功能为一体的综合片区，是临空经济区重要的生活配套区，其建设对促进临空经济区产城融合，吸引产业人口具有重要意义。</w:t>
      </w:r>
    </w:p>
    <w:p>
      <w:pPr>
        <w:ind w:firstLine="640" w:firstLineChars="200"/>
        <w:rPr>
          <w:rFonts w:ascii="仿宋_GB2312" w:hAnsi="宋体" w:eastAsia="仿宋_GB2312"/>
          <w:bCs/>
          <w:sz w:val="32"/>
          <w:szCs w:val="32"/>
        </w:rPr>
      </w:pPr>
      <w:r>
        <w:rPr>
          <w:rFonts w:hint="eastAsia" w:ascii="仿宋_GB2312" w:hAnsi="宋体" w:eastAsia="仿宋_GB2312"/>
          <w:bCs/>
          <w:sz w:val="32"/>
          <w:szCs w:val="32"/>
        </w:rPr>
        <w:t>（三）社会效益：有利于保障临空经济区高品质居住需求。此外，本片区的成片开发将提升区内交通的便利性、提高临空经济区核心区南部组团的生活服务功能。</w:t>
      </w:r>
    </w:p>
    <w:p>
      <w:pPr>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（四）生态效益：本片区内规划的生态绿化用地</w:t>
      </w:r>
      <w:r>
        <w:rPr>
          <w:rFonts w:ascii="仿宋_GB2312" w:hAnsi="宋体" w:eastAsia="仿宋_GB2312"/>
          <w:bCs/>
          <w:sz w:val="32"/>
          <w:szCs w:val="32"/>
        </w:rPr>
        <w:t>在改善城市环境、减少降低噪音等方面能起到一定作用。</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十、结论</w:t>
      </w:r>
    </w:p>
    <w:p>
      <w:pPr>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《漳港安平广场周边片区土地征收成片开发方案》符合土地征收成片开发的标准。</w:t>
      </w:r>
    </w:p>
    <w:p>
      <w:pPr>
        <w:widowControl/>
        <w:spacing w:line="560" w:lineRule="exact"/>
        <w:jc w:val="left"/>
        <w:rPr>
          <w:rFonts w:hint="eastAsia" w:ascii="仿宋_GB2312" w:hAnsi="宋体" w:eastAsia="仿宋_GB2312"/>
          <w:bCs/>
          <w:sz w:val="32"/>
          <w:szCs w:val="32"/>
          <w:lang w:eastAsia="zh-CN"/>
        </w:rPr>
      </w:pPr>
      <w:r>
        <w:rPr>
          <w:rFonts w:ascii="仿宋_GB2312" w:hAnsi="宋体" w:eastAsia="仿宋_GB2312"/>
          <w:bCs/>
          <w:sz w:val="32"/>
          <w:szCs w:val="32"/>
        </w:rPr>
        <w:br w:type="page"/>
      </w:r>
      <w:r>
        <w:rPr>
          <w:rFonts w:hint="eastAsia" w:ascii="仿宋_GB2312" w:hAnsi="宋体" w:eastAsia="仿宋_GB2312"/>
          <w:bCs/>
          <w:sz w:val="32"/>
          <w:szCs w:val="32"/>
        </w:rPr>
        <w:t>附图：</w:t>
      </w:r>
      <w:r>
        <w:rPr>
          <w:rFonts w:hint="eastAsia" w:ascii="仿宋_GB2312" w:hAnsi="宋体" w:eastAsia="仿宋_GB2312"/>
          <w:bCs/>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仿宋_GB2312" w:hAnsi="宋体" w:eastAsia="仿宋_GB2312"/>
          <w:bCs/>
          <w:sz w:val="32"/>
          <w:szCs w:val="32"/>
        </w:rPr>
        <w:instrText xml:space="preserve">ADDIN CNKISM.UserStyle</w:instrText>
      </w:r>
      <w:r>
        <w:rPr>
          <w:rFonts w:hint="eastAsia" w:ascii="仿宋_GB2312" w:hAnsi="宋体" w:eastAsia="仿宋_GB2312"/>
          <w:bCs/>
          <w:sz w:val="32"/>
          <w:szCs w:val="32"/>
        </w:rPr>
        <w:fldChar w:fldCharType="end"/>
      </w:r>
      <w:r>
        <w:rPr>
          <w:rFonts w:hint="eastAsia" w:ascii="仿宋_GB2312" w:hAnsi="宋体" w:eastAsia="仿宋_GB2312"/>
          <w:bCs/>
          <w:sz w:val="32"/>
          <w:szCs w:val="32"/>
        </w:rPr>
        <w:t>成片开发位置示意图</w:t>
      </w:r>
    </w:p>
    <w:p>
      <w:pPr>
        <w:spacing w:line="560" w:lineRule="exact"/>
        <w:rPr>
          <w:rFonts w:ascii="仿宋_GB2312" w:hAnsi="宋体" w:eastAsia="仿宋_GB2312"/>
          <w:bCs/>
          <w:sz w:val="32"/>
          <w:szCs w:val="32"/>
        </w:rPr>
      </w:pPr>
      <w:r>
        <w:rPr>
          <w:rFonts w:hint="eastAsia" w:ascii="仿宋_GB2312" w:hAnsi="宋体" w:eastAsia="仿宋_GB2312"/>
          <w:bCs/>
          <w:sz w:val="32"/>
          <w:szCs w:val="32"/>
          <w:lang w:eastAsia="zh-CN"/>
        </w:rPr>
        <w:drawing>
          <wp:anchor distT="0" distB="0" distL="114300" distR="114300" simplePos="0" relativeHeight="251659264" behindDoc="0" locked="0" layoutInCell="1" allowOverlap="1">
            <wp:simplePos x="0" y="0"/>
            <wp:positionH relativeFrom="column">
              <wp:posOffset>22225</wp:posOffset>
            </wp:positionH>
            <wp:positionV relativeFrom="paragraph">
              <wp:posOffset>31750</wp:posOffset>
            </wp:positionV>
            <wp:extent cx="5447030" cy="7703185"/>
            <wp:effectExtent l="0" t="0" r="1270" b="12065"/>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5"/>
                    <a:stretch>
                      <a:fillRect/>
                    </a:stretch>
                  </pic:blipFill>
                  <pic:spPr>
                    <a:xfrm>
                      <a:off x="0" y="0"/>
                      <a:ext cx="5447030" cy="7703185"/>
                    </a:xfrm>
                    <a:prstGeom prst="rect">
                      <a:avLst/>
                    </a:prstGeom>
                  </pic:spPr>
                </pic:pic>
              </a:graphicData>
            </a:graphic>
          </wp:anchor>
        </w:drawing>
      </w:r>
    </w:p>
    <w:sectPr>
      <w:footerReference r:id="rId3" w:type="default"/>
      <w:pgSz w:w="11906" w:h="16838"/>
      <w:pgMar w:top="1985" w:right="1588" w:bottom="2098"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仿宋_GB2312" w:hAnsi="仿宋_GB2312" w:eastAsia="仿宋_GB2312" w:cs="仿宋_GB2312"/>
                              <w:sz w:val="28"/>
                              <w:szCs w:val="28"/>
                            </w:rPr>
                            <w:id w:val="58834674"/>
                          </w:sdtPr>
                          <w:sdtEndPr>
                            <w:rPr>
                              <w:rFonts w:hint="eastAsia" w:ascii="仿宋_GB2312" w:hAnsi="仿宋_GB2312" w:eastAsia="仿宋_GB2312" w:cs="仿宋_GB2312"/>
                              <w:sz w:val="28"/>
                              <w:szCs w:val="28"/>
                            </w:rPr>
                          </w:sdtEndPr>
                          <w:sdtContent>
                            <w:p>
                              <w:pPr>
                                <w:pStyle w:val="5"/>
                                <w:jc w:val="cente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lang w:val="zh-CN"/>
                                </w:rPr>
                                <w:t>-</w:t>
                              </w:r>
                              <w:r>
                                <w:rPr>
                                  <w:rFonts w:ascii="仿宋_GB2312" w:hAnsi="仿宋_GB2312" w:eastAsia="仿宋_GB2312" w:cs="仿宋_GB2312"/>
                                  <w:sz w:val="28"/>
                                  <w:szCs w:val="28"/>
                                </w:rPr>
                                <w:t xml:space="preserve"> 4 -</w:t>
                              </w:r>
                              <w:r>
                                <w:rPr>
                                  <w:rFonts w:hint="eastAsia" w:ascii="仿宋_GB2312" w:hAnsi="仿宋_GB2312" w:eastAsia="仿宋_GB2312" w:cs="仿宋_GB2312"/>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rPr>
                        <w:rFonts w:hint="eastAsia" w:ascii="仿宋_GB2312" w:hAnsi="仿宋_GB2312" w:eastAsia="仿宋_GB2312" w:cs="仿宋_GB2312"/>
                        <w:sz w:val="28"/>
                        <w:szCs w:val="28"/>
                      </w:rPr>
                      <w:id w:val="58834674"/>
                    </w:sdtPr>
                    <w:sdtEndPr>
                      <w:rPr>
                        <w:rFonts w:hint="eastAsia" w:ascii="仿宋_GB2312" w:hAnsi="仿宋_GB2312" w:eastAsia="仿宋_GB2312" w:cs="仿宋_GB2312"/>
                        <w:sz w:val="28"/>
                        <w:szCs w:val="28"/>
                      </w:rPr>
                    </w:sdtEndPr>
                    <w:sdtContent>
                      <w:p>
                        <w:pPr>
                          <w:pStyle w:val="5"/>
                          <w:jc w:val="cente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lang w:val="zh-CN"/>
                          </w:rPr>
                          <w:t>-</w:t>
                        </w:r>
                        <w:r>
                          <w:rPr>
                            <w:rFonts w:ascii="仿宋_GB2312" w:hAnsi="仿宋_GB2312" w:eastAsia="仿宋_GB2312" w:cs="仿宋_GB2312"/>
                            <w:sz w:val="28"/>
                            <w:szCs w:val="28"/>
                          </w:rPr>
                          <w:t xml:space="preserve"> 4 -</w:t>
                        </w:r>
                        <w:r>
                          <w:rPr>
                            <w:rFonts w:hint="eastAsia" w:ascii="仿宋_GB2312" w:hAnsi="仿宋_GB2312" w:eastAsia="仿宋_GB2312" w:cs="仿宋_GB2312"/>
                            <w:sz w:val="28"/>
                            <w:szCs w:val="28"/>
                          </w:rPr>
                          <w:fldChar w:fldCharType="end"/>
                        </w:r>
                      </w:p>
                    </w:sdtContent>
                  </w:sdt>
                  <w:p/>
                </w:txbxContent>
              </v:textbox>
            </v:shape>
          </w:pict>
        </mc:Fallback>
      </mc:AlternateConten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3563CF"/>
    <w:multiLevelType w:val="multilevel"/>
    <w:tmpl w:val="5A3563CF"/>
    <w:lvl w:ilvl="0" w:tentative="0">
      <w:start w:val="1"/>
      <w:numFmt w:val="chineseCountingThousand"/>
      <w:pStyle w:val="2"/>
      <w:lvlText w:val="%1、"/>
      <w:lvlJc w:val="left"/>
      <w:pPr>
        <w:ind w:left="420" w:hanging="420"/>
      </w:pPr>
    </w:lvl>
    <w:lvl w:ilvl="1" w:tentative="0">
      <w:start w:val="1"/>
      <w:numFmt w:val="chineseCountingThousand"/>
      <w:lvlText w:val="(%2)"/>
      <w:lvlJc w:val="left"/>
      <w:pPr>
        <w:ind w:left="1500" w:hanging="1080"/>
      </w:pPr>
      <w:rPr>
        <w:rFonts w:hint="default"/>
      </w:rPr>
    </w:lvl>
    <w:lvl w:ilvl="2" w:tentative="0">
      <w:start w:val="1"/>
      <w:numFmt w:val="decimal"/>
      <w:lvlText w:val="（%3）"/>
      <w:lvlJc w:val="left"/>
      <w:pPr>
        <w:ind w:left="1590" w:hanging="750"/>
      </w:pPr>
      <w:rPr>
        <w:rFonts w:ascii="宋体" w:hAnsi="宋体" w:eastAsia="宋体" w:cstheme="minorBidi"/>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6CE"/>
    <w:rsid w:val="0001648C"/>
    <w:rsid w:val="00092A71"/>
    <w:rsid w:val="000D625A"/>
    <w:rsid w:val="000E1D34"/>
    <w:rsid w:val="001003E4"/>
    <w:rsid w:val="001124C3"/>
    <w:rsid w:val="0017500E"/>
    <w:rsid w:val="00185ADC"/>
    <w:rsid w:val="00192A04"/>
    <w:rsid w:val="001B343A"/>
    <w:rsid w:val="001B3812"/>
    <w:rsid w:val="001E3A33"/>
    <w:rsid w:val="00203CA3"/>
    <w:rsid w:val="00205DAA"/>
    <w:rsid w:val="00281003"/>
    <w:rsid w:val="002900E7"/>
    <w:rsid w:val="002C118E"/>
    <w:rsid w:val="002D182C"/>
    <w:rsid w:val="002D63E5"/>
    <w:rsid w:val="002D695C"/>
    <w:rsid w:val="00324166"/>
    <w:rsid w:val="00362F0D"/>
    <w:rsid w:val="0039709A"/>
    <w:rsid w:val="003C013F"/>
    <w:rsid w:val="003C1698"/>
    <w:rsid w:val="003D5CCE"/>
    <w:rsid w:val="003D6A6A"/>
    <w:rsid w:val="003F2701"/>
    <w:rsid w:val="004115CE"/>
    <w:rsid w:val="004222B9"/>
    <w:rsid w:val="0045559D"/>
    <w:rsid w:val="0047022B"/>
    <w:rsid w:val="004B3819"/>
    <w:rsid w:val="004C3CEC"/>
    <w:rsid w:val="004E52D9"/>
    <w:rsid w:val="004F7B5C"/>
    <w:rsid w:val="00592D1D"/>
    <w:rsid w:val="005C46A5"/>
    <w:rsid w:val="005F2900"/>
    <w:rsid w:val="0062343E"/>
    <w:rsid w:val="006A1E58"/>
    <w:rsid w:val="006E058D"/>
    <w:rsid w:val="006E54EA"/>
    <w:rsid w:val="00741F64"/>
    <w:rsid w:val="007C1789"/>
    <w:rsid w:val="007C664D"/>
    <w:rsid w:val="007E5E8F"/>
    <w:rsid w:val="007F5F66"/>
    <w:rsid w:val="0080566A"/>
    <w:rsid w:val="0081107F"/>
    <w:rsid w:val="008206CE"/>
    <w:rsid w:val="00837B0E"/>
    <w:rsid w:val="00840B86"/>
    <w:rsid w:val="00854B1E"/>
    <w:rsid w:val="00875513"/>
    <w:rsid w:val="00876F89"/>
    <w:rsid w:val="008C2457"/>
    <w:rsid w:val="008D15AD"/>
    <w:rsid w:val="008D681F"/>
    <w:rsid w:val="008E4700"/>
    <w:rsid w:val="00980643"/>
    <w:rsid w:val="009E7626"/>
    <w:rsid w:val="00A3488C"/>
    <w:rsid w:val="00A70559"/>
    <w:rsid w:val="00AA3880"/>
    <w:rsid w:val="00AA6605"/>
    <w:rsid w:val="00AB0671"/>
    <w:rsid w:val="00AC134A"/>
    <w:rsid w:val="00B35D53"/>
    <w:rsid w:val="00B37B2B"/>
    <w:rsid w:val="00B40891"/>
    <w:rsid w:val="00B44426"/>
    <w:rsid w:val="00B4767A"/>
    <w:rsid w:val="00BC391E"/>
    <w:rsid w:val="00BE3644"/>
    <w:rsid w:val="00C220EA"/>
    <w:rsid w:val="00C24E90"/>
    <w:rsid w:val="00C91473"/>
    <w:rsid w:val="00C968E3"/>
    <w:rsid w:val="00CC6411"/>
    <w:rsid w:val="00CD02E1"/>
    <w:rsid w:val="00CF55B1"/>
    <w:rsid w:val="00D32A4E"/>
    <w:rsid w:val="00D42F39"/>
    <w:rsid w:val="00D83EC3"/>
    <w:rsid w:val="00D87007"/>
    <w:rsid w:val="00D936B6"/>
    <w:rsid w:val="00E01AF7"/>
    <w:rsid w:val="00E814F1"/>
    <w:rsid w:val="00E95CDA"/>
    <w:rsid w:val="00EA51D6"/>
    <w:rsid w:val="00EA7E2C"/>
    <w:rsid w:val="00F14B00"/>
    <w:rsid w:val="00F57216"/>
    <w:rsid w:val="00F72FDB"/>
    <w:rsid w:val="00F744E6"/>
    <w:rsid w:val="00F76A8F"/>
    <w:rsid w:val="00F86FAC"/>
    <w:rsid w:val="00FB42D5"/>
    <w:rsid w:val="00FE4166"/>
    <w:rsid w:val="03F71FF4"/>
    <w:rsid w:val="0D0E136C"/>
    <w:rsid w:val="27A80F84"/>
    <w:rsid w:val="2AD14BC8"/>
    <w:rsid w:val="4E267909"/>
    <w:rsid w:val="682956B5"/>
    <w:rsid w:val="7AE86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numPr>
        <w:ilvl w:val="0"/>
        <w:numId w:val="1"/>
      </w:numPr>
      <w:spacing w:line="578" w:lineRule="auto"/>
      <w:outlineLvl w:val="0"/>
    </w:pPr>
    <w:rPr>
      <w:rFonts w:eastAsia="微软雅黑"/>
      <w:b/>
      <w:bCs/>
      <w:kern w:val="44"/>
      <w:sz w:val="32"/>
      <w:szCs w:val="4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6"/>
    <w:semiHidden/>
    <w:unhideWhenUsed/>
    <w:qFormat/>
    <w:uiPriority w:val="99"/>
    <w:pPr>
      <w:jc w:val="left"/>
    </w:pPr>
  </w:style>
  <w:style w:type="paragraph" w:styleId="4">
    <w:name w:val="Balloon Text"/>
    <w:basedOn w:val="1"/>
    <w:link w:val="18"/>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3"/>
    <w:next w:val="3"/>
    <w:link w:val="17"/>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semiHidden/>
    <w:unhideWhenUsed/>
    <w:qFormat/>
    <w:uiPriority w:val="99"/>
    <w:rPr>
      <w:sz w:val="21"/>
      <w:szCs w:val="21"/>
    </w:rPr>
  </w:style>
  <w:style w:type="character" w:customStyle="1" w:styleId="13">
    <w:name w:val="标题 1 字符"/>
    <w:basedOn w:val="11"/>
    <w:link w:val="2"/>
    <w:qFormat/>
    <w:uiPriority w:val="9"/>
    <w:rPr>
      <w:rFonts w:eastAsia="微软雅黑"/>
      <w:b/>
      <w:bCs/>
      <w:kern w:val="44"/>
      <w:sz w:val="32"/>
      <w:szCs w:val="44"/>
    </w:rPr>
  </w:style>
  <w:style w:type="character" w:customStyle="1" w:styleId="14">
    <w:name w:val="页脚 字符"/>
    <w:basedOn w:val="11"/>
    <w:link w:val="5"/>
    <w:qFormat/>
    <w:uiPriority w:val="99"/>
    <w:rPr>
      <w:sz w:val="18"/>
      <w:szCs w:val="18"/>
    </w:rPr>
  </w:style>
  <w:style w:type="character" w:customStyle="1" w:styleId="15">
    <w:name w:val="页眉 字符"/>
    <w:basedOn w:val="11"/>
    <w:link w:val="6"/>
    <w:qFormat/>
    <w:uiPriority w:val="99"/>
    <w:rPr>
      <w:sz w:val="18"/>
      <w:szCs w:val="18"/>
    </w:rPr>
  </w:style>
  <w:style w:type="character" w:customStyle="1" w:styleId="16">
    <w:name w:val="批注文字 字符"/>
    <w:basedOn w:val="11"/>
    <w:link w:val="3"/>
    <w:semiHidden/>
    <w:qFormat/>
    <w:uiPriority w:val="99"/>
    <w:rPr>
      <w:kern w:val="2"/>
      <w:sz w:val="21"/>
      <w:szCs w:val="22"/>
    </w:rPr>
  </w:style>
  <w:style w:type="character" w:customStyle="1" w:styleId="17">
    <w:name w:val="批注主题 字符"/>
    <w:basedOn w:val="16"/>
    <w:link w:val="8"/>
    <w:semiHidden/>
    <w:qFormat/>
    <w:uiPriority w:val="99"/>
    <w:rPr>
      <w:b/>
      <w:bCs/>
      <w:kern w:val="2"/>
      <w:sz w:val="21"/>
      <w:szCs w:val="22"/>
    </w:rPr>
  </w:style>
  <w:style w:type="character" w:customStyle="1" w:styleId="18">
    <w:name w:val="批注框文本 字符"/>
    <w:basedOn w:val="11"/>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28AC9D-2468-439E-8214-0E088B8B2060}">
  <ds:schemaRefs/>
</ds:datastoreItem>
</file>

<file path=docProps/app.xml><?xml version="1.0" encoding="utf-8"?>
<Properties xmlns="http://schemas.openxmlformats.org/officeDocument/2006/extended-properties" xmlns:vt="http://schemas.openxmlformats.org/officeDocument/2006/docPropsVTypes">
  <Template>Normal.dotm</Template>
  <Company>fzghy</Company>
  <Pages>5</Pages>
  <Words>1465</Words>
  <Characters>161</Characters>
  <Lines>1</Lines>
  <Paragraphs>3</Paragraphs>
  <TotalTime>82</TotalTime>
  <ScaleCrop>false</ScaleCrop>
  <LinksUpToDate>false</LinksUpToDate>
  <CharactersWithSpaces>1623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2021-06-20T07:55:00Z</dcterms:created>
  <dc:creator>刘龙华</dc:creator>
  <cp:lastModifiedBy>ㅤㅤㅤㅤㅤㅤㅤㅤ</cp:lastModifiedBy>
  <cp:lastPrinted>2021-06-02T10:30:00Z</cp:lastPrinted>
  <dcterms:modified xsi:type="dcterms:W3CDTF">2022-01-14T07:12:42Z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1BC042E9AB9B4457B796B5A33C0F9181</vt:lpwstr>
  </property>
</Properties>
</file>