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3"/>
        <w:tblW w:w="14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42"/>
        <w:gridCol w:w="3260"/>
        <w:gridCol w:w="2038"/>
        <w:gridCol w:w="2160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1月1日-1月15日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世纪之星网吧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金峰纺织城24座107号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长乐逸品网络科技发展有限公司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长乐市漳港街道永安路277号滨海望郡1幢1层2号商业店面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福建省长乐第三中学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长乐市古槐镇中街村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长乐市邮政局首占支局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首占镇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中国民生银行福州长乐支行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长乐市航城街道龙门村吴航路486-502号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国美长山湖店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长乐市广场中路39号长山湖购物广场负一层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福建省源安超市有限公司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长乐市航城街道长源花园1#楼一层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福建省长乐市金峰中心小学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长乐市金峰镇金峰中心小学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长乐金峰无忧空间休闲中心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长乐市金峰镇宏达商场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福建永荣锦江股份有限公司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福州市长乐区空港工业区（湖南镇马山片区）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福建省长乐市营前中心小学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福建鑫航家具有限公司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福州市长乐区鹤上镇滨江商贸城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福建省长乐市振源纺织有限公司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长乐市鹤上镇峰陈村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福建省长乐立峰纺织有限公司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漳港街道渡桥村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长乐市农村信用社营前分社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营前街道东街路13号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长乐市富阳经济合作社（关停）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长乐市首占镇上洋村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赤屿小学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（搬离）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长乐市首占镇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福建省宏捷物流有限公司（关停）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营前街道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福建省长乐市同昇纺织有限公司（关停）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长乐市鹤上镇新览村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福建艾唯服饰有限公司（关停）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福建省长乐市漳港漳阴路1号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长乐市丰元酒店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吴航街道南山路国豪大厦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至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4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层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354A"/>
    <w:rsid w:val="731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2021-01-20T09:00:00Z</dcterms:created>
  <dc:creator>美仙</dc:creator>
  <cp:lastModifiedBy>美仙</cp:lastModifiedBy>
  <dcterms:modified xsi:type="dcterms:W3CDTF">2021-01-20T09:00:37Z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