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tbl>
      <w:tblPr>
        <w:tblStyle w:val="2"/>
        <w:tblW w:w="1408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149"/>
        <w:gridCol w:w="3789"/>
        <w:gridCol w:w="1559"/>
        <w:gridCol w:w="2127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Courier New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Courier New"/>
                <w:b/>
                <w:bCs/>
                <w:kern w:val="0"/>
                <w:sz w:val="32"/>
                <w:szCs w:val="32"/>
              </w:rPr>
              <w:t>福州市长乐区消防救援大队“双随机、一公开”消防监督抽查结果汇总表</w:t>
            </w:r>
            <w:r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Courier New"/>
                <w:b/>
                <w:bCs/>
                <w:kern w:val="0"/>
                <w:sz w:val="32"/>
                <w:szCs w:val="32"/>
              </w:rPr>
              <w:t>11月1日-11月15日</w:t>
            </w:r>
            <w:r>
              <w:rPr>
                <w:rFonts w:ascii="Courier New" w:hAnsi="Courier New" w:cs="Courier New"/>
                <w:b/>
                <w:bCs/>
                <w:kern w:val="0"/>
                <w:sz w:val="32"/>
                <w:szCs w:val="32"/>
              </w:rPr>
              <w:t>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</w:rPr>
              <w:t>检查对象名称</w:t>
            </w:r>
          </w:p>
        </w:tc>
        <w:tc>
          <w:tcPr>
            <w:tcW w:w="3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检查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</w:rPr>
              <w:t>实施检查机构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交通银行长乐支行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长乐市西洋南路2号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2020-11-02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东渡小学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长乐市玉田镇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2020-11-02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长山湖（长乐）国际酒店有限公司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福州市长乐区航城街道广场路19号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2020-11-02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长乐航城馥足坊大桶水足浴服务部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福州市长乐区航城镇朝阳路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2020-11-02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坑田小学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长乐市玉田镇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福建瑞恒商业管理有限公司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福州市长乐区航城街道广场南路888号永荣广场第4层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福州外语外贸学院.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长乐市首占新区育环路28号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长乐古槐宏捷木制品厂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福建省福州市长乐市古槐镇高楼村上吴顶63之4号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长乐职业中专学校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长乐市航城街道里仁厚德1号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长乐市航城星辰商务酒店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福州市长乐区航城街道大同区7栋14号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福州星奥运动器材有限公司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福建省长乐市滨海工业区古槐镇仙桥村路段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福州市长乐区奎桥网吧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郑和路1号奎桥不夜城一层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兴业银行长乐支行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长乐市邮政大楼东裙楼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长乐航城居悦精品酒店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福州市长乐区航城街道龙门村379号（吴航路渤海楼地上四至六层）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2020-11-11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福州航盛饲料有限公司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长乐市营前街道黄石村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2020-10-28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未发现违法行为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哇哈哈幼儿园（关停）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长乐市营前镇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福建鸽王塑胶有限公司（关停）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航城街道里仁工业区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福建开思网宇科技有限公司长乐市感恩旺旺网吧（关停）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长乐市古槐感恩市场二层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福建省长乐市富艺家具有限公司航城分公司（关停）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福州市长乐区航城街道南进城路装璜批发市场B-13店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长乐营前李建章白酒店（关停）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长乐市营前街道海星村新兴路137号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洞头小学（搬迁）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长乐市营前镇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福建省胜力实业有限公司（关停）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长乐市玉田镇玉田村中泰御景7#07店面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sz w:val="20"/>
                <w:szCs w:val="20"/>
              </w:rPr>
              <w:t>长乐市农村信用合作联社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（关停）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sz w:val="20"/>
                <w:szCs w:val="20"/>
              </w:rPr>
              <w:t>朝阳中路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193</w:t>
            </w:r>
            <w:r>
              <w:rPr>
                <w:rFonts w:hint="eastAsia" w:ascii="Courier New" w:hAnsi="Courier New" w:cs="Courier New"/>
                <w:color w:val="FF000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00" w:lineRule="exact"/>
              <w:jc w:val="center"/>
              <w:rPr>
                <w:rFonts w:ascii="Courier New" w:hAnsi="Courier New" w:cs="Courier New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福州市长乐区消防救援大队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Courier New" w:hAnsi="Courier New" w:cs="Courier New"/>
                <w:color w:val="FF0000"/>
                <w:kern w:val="0"/>
                <w:sz w:val="20"/>
                <w:szCs w:val="20"/>
              </w:rPr>
              <w:t>因客观原因无法开展检查</w:t>
            </w:r>
          </w:p>
        </w:tc>
      </w:tr>
    </w:tbl>
    <w:p>
      <w:pPr>
        <w:tabs>
          <w:tab w:val="left" w:pos="11550"/>
        </w:tabs>
        <w:spacing w:line="300" w:lineRule="exact"/>
        <w:rPr>
          <w:rFonts w:hint="eastAsia"/>
        </w:rPr>
      </w:pPr>
    </w:p>
    <w:p/>
    <w:sectPr>
      <w:pgSz w:w="16838" w:h="11906" w:orient="landscape"/>
      <w:pgMar w:top="1276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944D3"/>
    <w:rsid w:val="208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2020-11-20T02:52:00Z</dcterms:created>
  <dc:creator>美仙</dc:creator>
  <cp:lastModifiedBy>美仙</cp:lastModifiedBy>
  <dcterms:modified xsi:type="dcterms:W3CDTF">2020-11-20T02:52:38Z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