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3384">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小标宋简体" w:hAnsi="方正小标宋简体" w:eastAsia="方正小标宋简体" w:cs="方正小标宋简体"/>
          <w:spacing w:val="0"/>
          <w:w w:val="100"/>
          <w:lang w:val="en-US" w:eastAsia="zh-CN"/>
        </w:rPr>
      </w:pPr>
      <w:r>
        <w:rPr>
          <w:rFonts w:hint="eastAsia" w:ascii="方正小标宋简体" w:hAnsi="方正小标宋简体" w:eastAsia="方正小标宋简体" w:cs="方正小标宋简体"/>
          <w:spacing w:val="0"/>
          <w:w w:val="100"/>
        </w:rPr>
        <w:t>福州市长乐区市场监督管理局</w:t>
      </w:r>
    </w:p>
    <w:p w14:paraId="7FEC24EF">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rPr>
          <w:rFonts w:hint="eastAsia" w:ascii="方正小标宋简体" w:hAnsi="方正小标宋简体" w:eastAsia="方正小标宋简体" w:cs="方正小标宋简体"/>
          <w:spacing w:val="0"/>
          <w:w w:val="100"/>
        </w:rPr>
      </w:pPr>
      <w:r>
        <w:rPr>
          <w:rFonts w:hint="eastAsia" w:ascii="方正小标宋简体" w:hAnsi="方正小标宋简体" w:eastAsia="方正小标宋简体" w:cs="方正小标宋简体"/>
          <w:spacing w:val="0"/>
          <w:w w:val="100"/>
        </w:rPr>
        <w:t>行政处罚决定书</w:t>
      </w:r>
    </w:p>
    <w:p w14:paraId="1D03BECF">
      <w:pPr>
        <w:keepNext w:val="0"/>
        <w:keepLines w:val="0"/>
        <w:pageBreakBefore w:val="0"/>
        <w:widowControl/>
        <w:tabs>
          <w:tab w:val="left" w:pos="2725"/>
        </w:tabs>
        <w:kinsoku w:val="0"/>
        <w:wordWrap/>
        <w:overflowPunct/>
        <w:topLinePunct w:val="0"/>
        <w:autoSpaceDE w:val="0"/>
        <w:autoSpaceDN w:val="0"/>
        <w:bidi w:val="0"/>
        <w:adjustRightInd w:val="0"/>
        <w:snapToGrid w:val="0"/>
        <w:spacing w:before="157" w:beforeLines="50" w:after="157" w:afterLines="50" w:line="440" w:lineRule="exact"/>
        <w:jc w:val="center"/>
        <w:textAlignment w:val="baseline"/>
        <w:rPr>
          <w:rFonts w:hint="eastAsia" w:ascii="仿宋" w:hAnsi="仿宋" w:eastAsia="仿宋" w:cs="仿宋"/>
          <w:spacing w:val="0"/>
          <w:w w:val="100"/>
          <w:sz w:val="32"/>
          <w:szCs w:val="32"/>
        </w:rPr>
      </w:pPr>
      <w:r>
        <w:rPr>
          <w:rFonts w:hint="eastAsia" w:ascii="仿宋" w:hAnsi="仿宋" w:eastAsia="仿宋" w:cs="仿宋"/>
          <w:spacing w:val="0"/>
          <w:w w:val="100"/>
          <w:sz w:val="32"/>
          <w:szCs w:val="32"/>
          <w:lang w:val="en-US" w:eastAsia="zh-CN"/>
        </w:rPr>
        <w:t>长市监处罚〔2024〕529号</w:t>
      </w:r>
    </w:p>
    <w:p w14:paraId="0AFF5BCC">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color w:val="000000"/>
          <w:kern w:val="2"/>
          <w:sz w:val="32"/>
          <w:szCs w:val="32"/>
          <w:u w:val="none" w:color="auto"/>
          <w:lang w:val="en-US" w:eastAsia="zh-CN" w:bidi="ar"/>
        </w:rPr>
      </w:pPr>
      <w:r>
        <w:rPr>
          <w:rFonts w:hint="eastAsia" w:ascii="仿宋" w:hAnsi="仿宋" w:eastAsia="仿宋" w:cs="仿宋"/>
          <w:color w:val="000000"/>
          <w:kern w:val="2"/>
          <w:sz w:val="32"/>
          <w:szCs w:val="32"/>
          <w:u w:val="none" w:color="auto"/>
          <w:lang w:val="en-US" w:eastAsia="zh-CN" w:bidi="ar"/>
        </w:rPr>
        <w:t>当事人：</w:t>
      </w:r>
      <w:r>
        <w:rPr>
          <w:rFonts w:hint="eastAsia" w:ascii="仿宋" w:hAnsi="仿宋" w:eastAsia="仿宋" w:cs="仿宋"/>
          <w:sz w:val="32"/>
          <w:szCs w:val="32"/>
          <w:lang w:val="en-US" w:eastAsia="zh-CN"/>
        </w:rPr>
        <w:t>安东梅</w:t>
      </w:r>
      <w:bookmarkStart w:id="3" w:name="_GoBack"/>
      <w:bookmarkEnd w:id="3"/>
    </w:p>
    <w:p w14:paraId="1CC86457">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color w:val="000000"/>
          <w:kern w:val="2"/>
          <w:sz w:val="32"/>
          <w:szCs w:val="32"/>
          <w:u w:val="none" w:color="auto"/>
          <w:lang w:val="en-US" w:eastAsia="zh-CN" w:bidi="ar"/>
        </w:rPr>
      </w:pPr>
    </w:p>
    <w:p w14:paraId="04A2044B">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default" w:ascii="仿宋" w:hAnsi="仿宋" w:eastAsia="仿宋" w:cs="仿宋"/>
          <w:b w:val="0"/>
          <w:bCs/>
          <w:sz w:val="32"/>
          <w:szCs w:val="32"/>
          <w:lang w:val="en-US" w:eastAsia="zh-CN"/>
        </w:rPr>
      </w:pPr>
      <w:r>
        <w:rPr>
          <w:rFonts w:hint="eastAsia" w:ascii="仿宋" w:hAnsi="仿宋" w:eastAsia="仿宋" w:cs="仿宋"/>
          <w:sz w:val="32"/>
          <w:szCs w:val="32"/>
          <w:lang w:val="en-US" w:eastAsia="zh-CN"/>
        </w:rPr>
        <w:t>2024年6月24日，本局收到举报人邓**反映关于长乐康民医院护士安东梅在微信朋友圈无证无照非法销售食品的投诉举报材料。经核查，当事人安东梅的行为涉嫌违反《中华人民共和国食品安全法》第六十七条第一款的规定，涉嫌构成《中华人民共和国食品安全法》第一百二十五条第一款第（二）项规定的违法行为，本局于2024年7月12日立案调查。执法人员对当事人安东梅、</w:t>
      </w:r>
      <w:r>
        <w:rPr>
          <w:rFonts w:hint="eastAsia" w:ascii="仿宋" w:hAnsi="仿宋" w:eastAsia="仿宋" w:cs="仿宋"/>
          <w:b w:val="0"/>
          <w:bCs/>
          <w:sz w:val="32"/>
          <w:szCs w:val="32"/>
          <w:lang w:val="en-US" w:eastAsia="zh-CN"/>
        </w:rPr>
        <w:t>举报人邓**</w:t>
      </w:r>
      <w:r>
        <w:rPr>
          <w:rFonts w:hint="eastAsia" w:ascii="仿宋" w:hAnsi="仿宋" w:eastAsia="仿宋" w:cs="仿宋"/>
          <w:sz w:val="32"/>
          <w:szCs w:val="32"/>
          <w:lang w:val="en-US" w:eastAsia="zh-CN"/>
        </w:rPr>
        <w:t>进行询问调查，</w:t>
      </w:r>
      <w:r>
        <w:rPr>
          <w:rFonts w:hint="eastAsia" w:ascii="仿宋" w:hAnsi="仿宋" w:eastAsia="仿宋" w:cs="仿宋"/>
          <w:b w:val="0"/>
          <w:bCs/>
          <w:sz w:val="32"/>
          <w:szCs w:val="32"/>
          <w:lang w:val="en-US" w:eastAsia="zh-CN"/>
        </w:rPr>
        <w:t>向涉案产品供货者所在地彝良县市场监督发起协助调查函，并对举报人提供的涉案</w:t>
      </w:r>
      <w:r>
        <w:rPr>
          <w:rFonts w:hint="default" w:ascii="仿宋" w:hAnsi="仿宋" w:eastAsia="仿宋" w:cs="仿宋"/>
          <w:b w:val="0"/>
          <w:bCs/>
          <w:sz w:val="32"/>
          <w:szCs w:val="32"/>
          <w:lang w:val="en-US" w:eastAsia="zh-CN"/>
        </w:rPr>
        <w:t>产品</w:t>
      </w:r>
      <w:r>
        <w:rPr>
          <w:rFonts w:hint="eastAsia" w:ascii="仿宋" w:hAnsi="仿宋" w:eastAsia="仿宋" w:cs="仿宋"/>
          <w:b w:val="0"/>
          <w:bCs/>
          <w:sz w:val="32"/>
          <w:szCs w:val="32"/>
          <w:lang w:val="en-US" w:eastAsia="zh-CN"/>
        </w:rPr>
        <w:t>取样</w:t>
      </w:r>
      <w:r>
        <w:rPr>
          <w:rFonts w:hint="default" w:ascii="仿宋" w:hAnsi="仿宋" w:eastAsia="仿宋" w:cs="仿宋"/>
          <w:b w:val="0"/>
          <w:bCs/>
          <w:sz w:val="32"/>
          <w:szCs w:val="32"/>
          <w:lang w:val="en-US" w:eastAsia="zh-CN"/>
        </w:rPr>
        <w:t>送检。</w:t>
      </w:r>
      <w:r>
        <w:rPr>
          <w:rFonts w:hint="eastAsia" w:ascii="仿宋" w:hAnsi="仿宋" w:eastAsia="仿宋" w:cs="仿宋"/>
          <w:b w:val="0"/>
          <w:bCs/>
          <w:sz w:val="32"/>
          <w:szCs w:val="32"/>
          <w:lang w:val="en-US" w:eastAsia="zh-CN"/>
        </w:rPr>
        <w:t>执法人员围绕举报人提供的案件线索，对当事人存在的违法行为逐项排查，确定其违法事实。2024年11月11日案件调查终结。</w:t>
      </w:r>
    </w:p>
    <w:p w14:paraId="28529ED8">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eastAsia="zh-CN"/>
        </w:rPr>
        <w:t>经查，当事人自</w:t>
      </w:r>
      <w:r>
        <w:rPr>
          <w:rFonts w:hint="eastAsia" w:ascii="仿宋" w:hAnsi="仿宋" w:eastAsia="仿宋" w:cs="仿宋"/>
          <w:b w:val="0"/>
          <w:sz w:val="32"/>
          <w:szCs w:val="32"/>
          <w:lang w:val="en-US" w:eastAsia="zh-CN"/>
        </w:rPr>
        <w:t>2022年7月起通过其个人微信入网销售减肥产品，主要包含白芸豆纤维片、倩美人牌控咔甩旨片、婉丽翩翩轻盈盈花青素固体饮料、白芸豆脂流奶茶固体饮料等预包装食品。当事人采取无现货销售模式，所售产品均为当事人根据购买者的需求，向上游经销商卿先义（当事人</w:t>
      </w:r>
      <w:r>
        <w:rPr>
          <w:rFonts w:hint="eastAsia" w:ascii="仿宋" w:hAnsi="仿宋" w:eastAsia="仿宋" w:cs="仿宋"/>
          <w:b w:val="0"/>
          <w:sz w:val="32"/>
          <w:szCs w:val="32"/>
          <w:lang w:eastAsia="zh-CN"/>
        </w:rPr>
        <w:t>称其为卿光义，经核实本名为卿先义</w:t>
      </w:r>
      <w:r>
        <w:rPr>
          <w:rFonts w:hint="eastAsia" w:ascii="仿宋" w:hAnsi="仿宋" w:eastAsia="仿宋" w:cs="仿宋"/>
          <w:b w:val="0"/>
          <w:sz w:val="32"/>
          <w:szCs w:val="32"/>
          <w:lang w:val="en-US" w:eastAsia="zh-CN"/>
        </w:rPr>
        <w:t>）购买，并委托卿先义直接发货至消费者的收货地址。卿先义在向消费者发货白芸豆纤维片、倩美人牌控咔甩旨片、白芸豆脂流奶茶固体饮料时，同时会搭配三款无厂名、厂址、生产许可证号等信息的三无赠品：1.白芸豆纤维片搭配赠品为粉色盒子包装，标有“PARTNER”和“非卖品”字样，内含30片糖果；2.控咔甩旨片搭配赠品为白色盒子包装，标有“PARTNER”字样，内含30片粉色心形糖果；3.白芸豆脂流奶茶固体饮料搭配赠品为橘色盒子包装，标有“小蛮腰”字样，内含28片粉色心形糖果。当事人所售产品及赠品均为预包装食品。</w:t>
      </w:r>
    </w:p>
    <w:p w14:paraId="4A52E6D9">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2024年10月28日，经当事人、举报人邓**确认，本局委托厦门泓益检测有限公司对举报人提供的涉案产品（其中2盒为白色盒子包装，包装上有“PARTNER”字样，含外包装重量50克；1盒为橙色盒子包装，包装上有“小蛮腰”字样，含外包装重量28克）进行</w:t>
      </w:r>
      <w:r>
        <w:rPr>
          <w:rFonts w:hint="eastAsia" w:ascii="仿宋" w:hAnsi="仿宋" w:eastAsia="仿宋" w:cs="仿宋"/>
          <w:b w:val="0"/>
          <w:bCs/>
          <w:sz w:val="32"/>
          <w:szCs w:val="32"/>
          <w:lang w:val="en-US" w:eastAsia="zh-CN"/>
        </w:rPr>
        <w:t>取样</w:t>
      </w:r>
      <w:r>
        <w:rPr>
          <w:rFonts w:hint="default" w:ascii="仿宋" w:hAnsi="仿宋" w:eastAsia="仿宋" w:cs="仿宋"/>
          <w:b w:val="0"/>
          <w:bCs/>
          <w:sz w:val="32"/>
          <w:szCs w:val="32"/>
          <w:lang w:val="en-US" w:eastAsia="zh-CN"/>
        </w:rPr>
        <w:t>送检</w:t>
      </w:r>
      <w:r>
        <w:rPr>
          <w:rFonts w:hint="eastAsia" w:ascii="仿宋" w:hAnsi="仿宋" w:eastAsia="仿宋" w:cs="仿宋"/>
          <w:b w:val="0"/>
          <w:sz w:val="32"/>
          <w:szCs w:val="32"/>
          <w:lang w:val="en-US" w:eastAsia="zh-CN"/>
        </w:rPr>
        <w:t>。2024年11月11日，本局收到厦门泓益检测有限公司关于上述两款产品的《测试报告》（编号分别为：[2024]XHY(F)-100930、[2024]XHY(F)-100929），检测项目为“西布曲明”，两款产品的实测值均为“未检出”。</w:t>
      </w:r>
    </w:p>
    <w:p w14:paraId="47A29718">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当事人未取得营业执照，未进行仅销售预包装食品的食品经营者备案。当事人仅能提供白芸豆纤维片、倩美人牌控咔甩旨片两款产品的检验合格报告，无法提供其曾销售的所有产品的进货单据或检验合格报告等进货查验材料。截至案发，当事人共从卿先义处购进10单共计19盒预包装食品，具体为：白芸豆纤维片4盒、白芸豆脂流奶茶固体饮料3套（6盒）、控咔甩旨片5盒、轻盈盈花青素固体饮料4盒，购进总金额为4330元；除其中1盒白芸豆纤维片（购进金额为280元）赠予当事人的姐姐安*外，均已售出，共售出9单共计18盒食品，累计销售金额为6983元。当事人无照经营的违法经营额为6983元，违法所得为2933元。当事人对上述违法事实无异议。</w:t>
      </w:r>
    </w:p>
    <w:p w14:paraId="422D155A">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黑体" w:hAnsi="黑体" w:eastAsia="黑体" w:cs="黑体"/>
          <w:color w:val="000000"/>
          <w:kern w:val="2"/>
          <w:sz w:val="32"/>
          <w:szCs w:val="32"/>
          <w:u w:val="none" w:color="auto"/>
          <w:lang w:val="en-US" w:eastAsia="zh-CN" w:bidi="ar"/>
        </w:rPr>
      </w:pPr>
      <w:r>
        <w:rPr>
          <w:rFonts w:hint="eastAsia" w:ascii="黑体" w:hAnsi="黑体" w:eastAsia="黑体" w:cs="黑体"/>
          <w:color w:val="000000"/>
          <w:kern w:val="2"/>
          <w:sz w:val="32"/>
          <w:szCs w:val="32"/>
          <w:u w:val="none" w:color="auto"/>
          <w:lang w:val="en-US" w:eastAsia="zh-CN" w:bidi="ar"/>
        </w:rPr>
        <w:t>上述事实，主要有以下证据证明：</w:t>
      </w:r>
    </w:p>
    <w:p w14:paraId="52BD8522">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 xml:space="preserve">1.投诉举报转办单、举报人邓**出具的《投诉举报信》各1份，证明案件的来源。                   </w:t>
      </w:r>
    </w:p>
    <w:p w14:paraId="1143E004">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2.当事人安东梅出具的其本人的《身份证》复印件1份，长乐区卫生健康局出具安东梅执业信息截图一张，证明当事人的基本情况。</w:t>
      </w:r>
    </w:p>
    <w:p w14:paraId="2DEB8CCA">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3.2024年7月5日对当事人的执业地点的现场检查笔录1份、证据提取单1张、现场照片1张，证明现场检查情况。</w:t>
      </w:r>
    </w:p>
    <w:p w14:paraId="1A621B3C">
      <w:pPr>
        <w:keepNext w:val="0"/>
        <w:keepLines w:val="0"/>
        <w:pageBreakBefore w:val="0"/>
        <w:numPr>
          <w:ilvl w:val="0"/>
          <w:numId w:val="0"/>
        </w:numPr>
        <w:kinsoku w:val="0"/>
        <w:wordWrap w:val="0"/>
        <w:overflowPunct/>
        <w:topLinePunct w:val="0"/>
        <w:autoSpaceDE w:val="0"/>
        <w:autoSpaceDN w:val="0"/>
        <w:bidi w:val="0"/>
        <w:adjustRightInd w:val="0"/>
        <w:snapToGrid w:val="0"/>
        <w:spacing w:line="440" w:lineRule="exact"/>
        <w:ind w:left="0" w:leftChars="0" w:right="0" w:rightChars="0" w:firstLine="640" w:firstLineChars="200"/>
        <w:jc w:val="left"/>
        <w:textAlignment w:val="baseline"/>
        <w:outlineLvl w:val="9"/>
        <w:rPr>
          <w:rFonts w:hint="default" w:ascii="仿宋" w:hAnsi="仿宋" w:eastAsia="仿宋" w:cs="仿宋"/>
          <w:b w:val="0"/>
          <w:sz w:val="32"/>
          <w:szCs w:val="32"/>
          <w:lang w:val="en-US" w:eastAsia="zh-CN"/>
        </w:rPr>
      </w:pPr>
      <w:r>
        <w:rPr>
          <w:rFonts w:hint="eastAsia" w:ascii="仿宋" w:hAnsi="仿宋" w:eastAsia="仿宋" w:cs="仿宋"/>
          <w:b w:val="0"/>
          <w:sz w:val="32"/>
          <w:szCs w:val="32"/>
          <w:lang w:val="en-US" w:eastAsia="zh-CN"/>
        </w:rPr>
        <w:t>4.2024年7月5日、7月31日、9月10日、10月17日对当事人的询问笔录共5份，证据提取单47张，当事人微信信息照片1张、检验检测报告复印件2张证明当事人采购、入网销售食品的相关情况。</w:t>
      </w:r>
    </w:p>
    <w:p w14:paraId="6C4F6366">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5.2024年10月10日对举报人邓**的询问笔录1份，证明当事人向邓**销售食品的相关情况。</w:t>
      </w:r>
    </w:p>
    <w:p w14:paraId="4B642161">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6.本局向彝良县市场监督管理局发起的协助调查函2份（日期：2024年7月8日、2024年9月13日）及彝良县市场监督管理局的复函2份（日期：2024年7月26日、2024年9月18日）、处罚决定书（彝市监处罚〔2024〕116 号）1份，证明涉案产品来源相关情况。</w:t>
      </w:r>
    </w:p>
    <w:p w14:paraId="0476C647">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7.《委托书》1份、《测试报告》（编号分别为：[2024]</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XHY(F)-100930、[2024]</w:t>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XHY(F)-100929）2份、检验机构资质证明材料1份，证明当事人销售的减肥产品搭配的粉色心形糖果片未添加“西布曲明成分”。</w:t>
      </w:r>
    </w:p>
    <w:p w14:paraId="7B75DF4D">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8.光盘一枚，用以存储两种规格的“赠品”取样送检时当事人与举报人见证的视频以及11月11日执法人员致电举报人邓**的视频。</w:t>
      </w:r>
    </w:p>
    <w:p w14:paraId="62B8E898">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color w:val="333333"/>
          <w:kern w:val="0"/>
          <w:sz w:val="32"/>
          <w:szCs w:val="32"/>
        </w:rPr>
      </w:pPr>
      <w:r>
        <w:rPr>
          <w:rFonts w:hint="eastAsia" w:ascii="仿宋" w:hAnsi="仿宋" w:eastAsia="仿宋" w:cs="仿宋"/>
          <w:sz w:val="32"/>
          <w:szCs w:val="32"/>
        </w:rPr>
        <w:t>以上证据和笔录均由当事人及相关人员签名盖章认可。</w:t>
      </w:r>
    </w:p>
    <w:p w14:paraId="4F145001">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color w:val="000000"/>
          <w:kern w:val="2"/>
          <w:sz w:val="32"/>
          <w:szCs w:val="32"/>
          <w:u w:val="none" w:color="auto"/>
          <w:lang w:val="en-US" w:eastAsia="zh-CN" w:bidi="ar"/>
        </w:rPr>
      </w:pPr>
      <w:r>
        <w:rPr>
          <w:rFonts w:hint="eastAsia" w:ascii="仿宋" w:hAnsi="仿宋" w:eastAsia="仿宋" w:cs="仿宋"/>
          <w:color w:val="auto"/>
          <w:kern w:val="2"/>
          <w:sz w:val="32"/>
          <w:szCs w:val="32"/>
          <w:highlight w:val="none"/>
          <w:u w:val="none" w:color="auto"/>
          <w:lang w:val="en-US" w:eastAsia="zh-CN" w:bidi="ar"/>
        </w:rPr>
        <w:t>2024年12月4日，本局依法向当事人直接送达《行政处罚告知书》（长市监罚告[2024]执30号），告知当事人拟作出的行政处罚内容以及事实、理由、依据，并告知当事人依法享有陈述、申辩的权利。当事人在法定期间未提出陈述申辩意见。</w:t>
      </w:r>
    </w:p>
    <w:p w14:paraId="0D309EB1">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黑体" w:hAnsi="黑体" w:eastAsia="黑体" w:cs="黑体"/>
          <w:color w:val="000000"/>
          <w:kern w:val="2"/>
          <w:sz w:val="32"/>
          <w:szCs w:val="32"/>
          <w:u w:val="none" w:color="auto"/>
          <w:lang w:val="en-US" w:eastAsia="zh-CN" w:bidi="ar"/>
        </w:rPr>
      </w:pPr>
      <w:r>
        <w:rPr>
          <w:rFonts w:hint="eastAsia" w:ascii="黑体" w:hAnsi="黑体" w:eastAsia="黑体" w:cs="黑体"/>
          <w:color w:val="000000"/>
          <w:kern w:val="2"/>
          <w:sz w:val="32"/>
          <w:szCs w:val="32"/>
          <w:u w:val="none" w:color="auto"/>
          <w:lang w:val="en-US" w:eastAsia="zh-CN" w:bidi="ar"/>
        </w:rPr>
        <w:t>本局认为：</w:t>
      </w:r>
    </w:p>
    <w:p w14:paraId="54B5CDD2">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当事人未经设立登记从事经营活动的违法行为，违反了《中华人民共和国市场主体登记管理条例》第三条的规定，当事人从事涉及人身健康的食品经营活动，且三无食品已售出，已造成社会危害后果，不属于《福建省市场监管领域行政执法裁量四张清单（修订）》中不予行政处罚的事项，应当依据《中华人民共和国市场主体登记管理条例》第四十三条的规定进行处罚。该违法行为罚则为没收违法所得，处罚幅度固定，因此不涉及自由裁量。</w:t>
      </w:r>
      <w:r>
        <w:rPr>
          <w:rFonts w:hint="eastAsia" w:ascii="仿宋" w:hAnsi="仿宋" w:eastAsia="仿宋" w:cs="仿宋"/>
          <w:b w:val="0"/>
          <w:bCs w:val="0"/>
          <w:sz w:val="32"/>
          <w:szCs w:val="32"/>
          <w:lang w:val="en-US" w:eastAsia="zh-CN"/>
        </w:rPr>
        <w:br w:type="textWrapping"/>
      </w:r>
      <w:r>
        <w:rPr>
          <w:rFonts w:hint="eastAsia" w:ascii="仿宋" w:hAnsi="仿宋" w:eastAsia="仿宋" w:cs="仿宋"/>
          <w:b w:val="0"/>
          <w:bCs w:val="0"/>
          <w:sz w:val="32"/>
          <w:szCs w:val="32"/>
          <w:lang w:val="en-US" w:eastAsia="zh-CN"/>
        </w:rPr>
        <w:t xml:space="preserve">    2.当事人未进行仅销售预包装食品备案而开展仅销售预包装食品经营活动的违法行为，属于《食品经营许可和备案管理办法》第四条第二款第（二）项规定的不需要取得食品经营许可的情形，但违反了《食品经营许可和备案管理办法》第五条第一款的规定，应当依据《食品经营许可和备案管理办法》第五十九条第一款的规定，责令当事人限期改正上述违法行为。</w:t>
      </w:r>
    </w:p>
    <w:p w14:paraId="23AF0078">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sz w:val="32"/>
          <w:szCs w:val="32"/>
          <w:lang w:val="en-US" w:eastAsia="zh-CN"/>
        </w:rPr>
      </w:pPr>
      <w:r>
        <w:rPr>
          <w:rFonts w:hint="eastAsia" w:ascii="仿宋" w:hAnsi="仿宋" w:eastAsia="仿宋" w:cs="仿宋"/>
          <w:b w:val="0"/>
          <w:sz w:val="32"/>
          <w:szCs w:val="32"/>
          <w:lang w:val="en-US" w:eastAsia="zh-CN"/>
        </w:rPr>
        <w:t>3.当事人销售控咔甩旨片中搭配的赠品粉色心形糖果片，证实确为无厂名、厂址、生产许可证号等信息的三无产品，其行为违反了《中华人民共和国食品安全法》第六十七条第一款</w:t>
      </w:r>
      <w:bookmarkStart w:id="0" w:name="tiao_67_kuan_1_xiang_2"/>
      <w:bookmarkEnd w:id="0"/>
      <w:r>
        <w:rPr>
          <w:rFonts w:hint="eastAsia" w:ascii="仿宋" w:hAnsi="仿宋" w:eastAsia="仿宋" w:cs="仿宋"/>
          <w:b w:val="0"/>
          <w:sz w:val="32"/>
          <w:szCs w:val="32"/>
          <w:lang w:val="en-US" w:eastAsia="zh-CN"/>
        </w:rPr>
        <w:t>的规定，属于经营标签不符合规定的食品的违法行为，应当依据《中华人民共和国食品安全法》第一百二十五条第一款第（二）项的规定进行处罚。当事人经营的三无产品为赠品，且在上下游环节中均无该产品的售价，市场中亦不存在同类产品，因此该赠品的价值无法确定，当事人经营标签不符合规定的食品的违法行为的货值金额、违法所得无法计算。</w:t>
      </w:r>
      <w:r>
        <w:rPr>
          <w:rFonts w:hint="eastAsia" w:ascii="仿宋" w:hAnsi="仿宋" w:eastAsia="仿宋" w:cs="仿宋"/>
          <w:b w:val="0"/>
          <w:bCs w:val="0"/>
          <w:sz w:val="32"/>
          <w:szCs w:val="32"/>
          <w:lang w:val="en-US" w:eastAsia="zh-CN"/>
        </w:rPr>
        <w:t>当事人经营标签不符合规定的食品的违法行为，不适用《福州市市场监管领域不予行政处罚裁量清单（2023年版）》、《福建省市场监管领域行政执法裁量四张清单（修订）》中关于不予处罚、减轻处罚的规定。案发后，当事人积极配合市场监管部门调查，如实陈述违法事实并主动提供证据材料的，</w:t>
      </w:r>
      <w:r>
        <w:rPr>
          <w:rFonts w:hint="eastAsia" w:ascii="仿宋" w:hAnsi="仿宋" w:eastAsia="仿宋" w:cs="仿宋"/>
          <w:b w:val="0"/>
          <w:bCs w:val="0"/>
          <w:sz w:val="32"/>
          <w:szCs w:val="32"/>
          <w:highlight w:val="none"/>
          <w:lang w:val="en-US" w:eastAsia="zh-CN"/>
        </w:rPr>
        <w:t>其情形符合《福建省市场监督管理局关于行政处罚裁量权的适用规则》第十一条第（二）项关于“可以依法从轻或者减轻行政处罚”的规定。本局决定对当事人经营标签不符合规定的食品的违法行为从轻处罚。</w:t>
      </w:r>
    </w:p>
    <w:p w14:paraId="55EBC160">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sz w:val="32"/>
          <w:szCs w:val="32"/>
          <w:lang w:val="en-US" w:eastAsia="zh-CN"/>
        </w:rPr>
        <w:t>4.当事人无法提供其曾销售的所有产品的进货单据或检验合格报告等进货查验材料违反了《中华人民共和国食品安全法》第五十三条的规定，属于进货时未查验许可证和相关证明文件，或者未按规定建立并遵守进货查验记录制度的违法行为，应当依据《中华人民共和国食品安全法》第一百二十六条第一款第（三）项的规定进行处罚。</w:t>
      </w:r>
    </w:p>
    <w:p w14:paraId="21258828">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黑体" w:hAnsi="黑体" w:eastAsia="黑体" w:cs="黑体"/>
          <w:color w:val="000000"/>
          <w:kern w:val="2"/>
          <w:sz w:val="32"/>
          <w:szCs w:val="32"/>
          <w:u w:val="none" w:color="auto"/>
          <w:lang w:val="en-US" w:eastAsia="zh-CN" w:bidi="ar"/>
        </w:rPr>
      </w:pPr>
      <w:r>
        <w:rPr>
          <w:rFonts w:hint="eastAsia" w:ascii="黑体" w:hAnsi="黑体" w:eastAsia="黑体" w:cs="黑体"/>
          <w:color w:val="000000"/>
          <w:kern w:val="2"/>
          <w:sz w:val="32"/>
          <w:szCs w:val="32"/>
          <w:u w:val="none" w:color="auto"/>
          <w:lang w:val="en-US" w:eastAsia="zh-CN" w:bidi="ar"/>
        </w:rPr>
        <w:t>综上：</w:t>
      </w:r>
    </w:p>
    <w:p w14:paraId="0FD59DCA">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当事人未经设立登记从事经营活动的行为违反了《中华人民共和国市场主体登记管理条例》第三条的规定，依据《中华人民共和国市场主体登记管理条例》第四十三条的规定，本局决定责令当事人立即改正未经设立登记从事经营活动的违法行为，并对当事人作如下处罚：没收违法所得2933元。</w:t>
      </w:r>
    </w:p>
    <w:p w14:paraId="5BFAF3C2">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lang w:val="en-US" w:eastAsia="zh-CN"/>
        </w:rPr>
        <w:t>（二）当事人未进行仅销售预包装食品备案而开展预包装食品经营活动的行为违反了《食品经营许可和备案管理办法》第五条第一款的规定，</w:t>
      </w:r>
      <w:r>
        <w:rPr>
          <w:rFonts w:hint="eastAsia" w:ascii="仿宋" w:hAnsi="仿宋" w:eastAsia="仿宋" w:cs="仿宋"/>
          <w:b w:val="0"/>
          <w:bCs w:val="0"/>
          <w:sz w:val="32"/>
          <w:szCs w:val="32"/>
          <w:highlight w:val="none"/>
          <w:lang w:val="en-US" w:eastAsia="zh-CN"/>
        </w:rPr>
        <w:t>依据《食品经营许可和备案管理办法》第五十九条第一款的规定，本局决定责令当事人改正未进行仅销售预包装食品备案而开展预包装食品经营活动的行为。</w:t>
      </w:r>
    </w:p>
    <w:p w14:paraId="09DB49E1">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（三）当事人经营标签不符合规定的食品的行为违反了《中华人民共和国食品安全法》第六十七条第一款的规定，依据《中华人民共和国食品安全法》第一百二十五条第一款第（二）项和</w:t>
      </w:r>
      <w:r>
        <w:rPr>
          <w:rFonts w:hint="eastAsia" w:ascii="仿宋_GB2312" w:hAnsi="仿宋_GB2312" w:eastAsia="仿宋_GB2312" w:cs="仿宋_GB2312"/>
          <w:bCs/>
          <w:kern w:val="2"/>
          <w:sz w:val="32"/>
          <w:szCs w:val="32"/>
          <w:lang w:val="en-US" w:eastAsia="zh-CN"/>
        </w:rPr>
        <w:t>《中华人民共和国行政处罚法》第二十八条第一款</w:t>
      </w:r>
      <w:r>
        <w:rPr>
          <w:rFonts w:hint="eastAsia" w:ascii="仿宋" w:hAnsi="仿宋" w:eastAsia="仿宋" w:cs="仿宋"/>
          <w:b w:val="0"/>
          <w:bCs w:val="0"/>
          <w:sz w:val="32"/>
          <w:szCs w:val="32"/>
          <w:highlight w:val="none"/>
          <w:lang w:val="en-US" w:eastAsia="zh-CN"/>
        </w:rPr>
        <w:t>的规定，参照《福州市市场监督管理系统适用</w:t>
      </w:r>
      <w:r>
        <w:rPr>
          <w:rFonts w:hint="eastAsia" w:ascii="宋体" w:hAnsi="宋体" w:eastAsia="宋体" w:cs="宋体"/>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中华人民共和国食品安全法</w:t>
      </w:r>
      <w:r>
        <w:rPr>
          <w:rFonts w:hint="eastAsia" w:ascii="宋体" w:hAnsi="宋体" w:eastAsia="宋体" w:cs="宋体"/>
          <w:b w:val="0"/>
          <w:bCs w:val="0"/>
          <w:sz w:val="32"/>
          <w:szCs w:val="32"/>
          <w:highlight w:val="none"/>
          <w:lang w:val="en-US" w:eastAsia="zh-CN"/>
        </w:rPr>
        <w:t>〉</w:t>
      </w:r>
      <w:r>
        <w:rPr>
          <w:rFonts w:hint="eastAsia" w:ascii="仿宋" w:hAnsi="仿宋" w:eastAsia="仿宋" w:cs="仿宋"/>
          <w:b w:val="0"/>
          <w:bCs w:val="0"/>
          <w:sz w:val="32"/>
          <w:szCs w:val="32"/>
          <w:highlight w:val="none"/>
          <w:lang w:val="en-US" w:eastAsia="zh-CN"/>
        </w:rPr>
        <w:t>行政处罚裁量基准》序号4从轻情节C档的规定，本局决定责令当事人立即改正经营标签不符合规定的食品的违法行为，并对当事人作如下处罚：罚款5000元。</w:t>
      </w:r>
    </w:p>
    <w:p w14:paraId="373CBD45">
      <w:pPr>
        <w:keepNext w:val="0"/>
        <w:keepLines w:val="0"/>
        <w:pageBreakBefore w:val="0"/>
        <w:numPr>
          <w:ilvl w:val="0"/>
          <w:numId w:val="0"/>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（四）当事人进</w:t>
      </w:r>
      <w:r>
        <w:rPr>
          <w:rFonts w:hint="eastAsia" w:ascii="仿宋" w:hAnsi="仿宋" w:eastAsia="仿宋" w:cs="仿宋"/>
          <w:b w:val="0"/>
          <w:sz w:val="32"/>
          <w:szCs w:val="32"/>
          <w:lang w:val="en-US" w:eastAsia="zh-CN"/>
        </w:rPr>
        <w:t>货时未查验许可证和相关证明文件的行为违反了《中华人民共和国食品安全法》第五十三条的规定，</w:t>
      </w:r>
      <w:r>
        <w:rPr>
          <w:rFonts w:hint="eastAsia" w:ascii="仿宋" w:hAnsi="仿宋" w:eastAsia="仿宋" w:cs="仿宋"/>
          <w:sz w:val="32"/>
          <w:szCs w:val="32"/>
          <w:highlight w:val="none"/>
          <w:lang w:val="en-US" w:eastAsia="zh-CN"/>
        </w:rPr>
        <w:t>依据《中华人民共和国食品安全法》第一百二十六条第一款第（三）项的规定，本局决定责令当事人立即改正进货时未查验许可证和相关证明文件或者未按规定建立并遵守进货查验记录制度的违法行为，并对当事人作如下处罚：警告。</w:t>
      </w:r>
    </w:p>
    <w:p w14:paraId="2B677AD0">
      <w:pPr>
        <w:keepNext w:val="0"/>
        <w:keepLines w:val="0"/>
        <w:pageBreakBefore w:val="0"/>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sz w:val="32"/>
          <w:szCs w:val="32"/>
          <w:highlight w:val="none"/>
          <w:lang w:val="en-US" w:eastAsia="zh-CN"/>
        </w:rPr>
        <w:t>综上，</w:t>
      </w:r>
      <w:r>
        <w:rPr>
          <w:rFonts w:hint="eastAsia" w:ascii="仿宋" w:hAnsi="仿宋" w:eastAsia="仿宋" w:cs="仿宋"/>
          <w:b w:val="0"/>
          <w:bCs w:val="0"/>
          <w:sz w:val="32"/>
          <w:szCs w:val="32"/>
          <w:highlight w:val="none"/>
          <w:lang w:val="en-US" w:eastAsia="zh-CN"/>
        </w:rPr>
        <w:t>现责令当事人改正上述违法行为，并决定处罚如下：</w:t>
      </w:r>
    </w:p>
    <w:p w14:paraId="5591906F">
      <w:pPr>
        <w:keepNext w:val="0"/>
        <w:keepLines w:val="0"/>
        <w:pageBreakBefore w:val="0"/>
        <w:numPr>
          <w:ilvl w:val="0"/>
          <w:numId w:val="1"/>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没收违法所得2933元；</w:t>
      </w:r>
    </w:p>
    <w:p w14:paraId="53A617A8">
      <w:pPr>
        <w:keepNext w:val="0"/>
        <w:keepLines w:val="0"/>
        <w:pageBreakBefore w:val="0"/>
        <w:numPr>
          <w:ilvl w:val="0"/>
          <w:numId w:val="1"/>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罚款5000元；</w:t>
      </w:r>
    </w:p>
    <w:p w14:paraId="62954B0C">
      <w:pPr>
        <w:keepNext w:val="0"/>
        <w:keepLines w:val="0"/>
        <w:pageBreakBefore w:val="0"/>
        <w:numPr>
          <w:ilvl w:val="0"/>
          <w:numId w:val="1"/>
        </w:numPr>
        <w:kinsoku w:val="0"/>
        <w:overflowPunct/>
        <w:topLinePunct w:val="0"/>
        <w:autoSpaceDE w:val="0"/>
        <w:autoSpaceDN w:val="0"/>
        <w:bidi w:val="0"/>
        <w:adjustRightInd w:val="0"/>
        <w:snapToGrid w:val="0"/>
        <w:spacing w:line="440" w:lineRule="exact"/>
        <w:ind w:left="0" w:leftChars="0" w:right="0" w:rightChars="0" w:firstLine="640" w:firstLineChars="200"/>
        <w:textAlignment w:val="baseline"/>
        <w:outlineLvl w:val="9"/>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警告。</w:t>
      </w:r>
    </w:p>
    <w:p w14:paraId="35265C6C">
      <w:pPr>
        <w:keepNext w:val="0"/>
        <w:keepLines w:val="0"/>
        <w:pageBreakBefore w:val="0"/>
        <w:widowControl w:val="0"/>
        <w:suppressLineNumbers w:val="0"/>
        <w:kinsoku w:val="0"/>
        <w:wordWrap/>
        <w:overflowPunct/>
        <w:topLinePunct w:val="0"/>
        <w:autoSpaceDE w:val="0"/>
        <w:autoSpaceDN w:val="0"/>
        <w:bidi w:val="0"/>
        <w:adjustRightInd w:val="0"/>
        <w:snapToGrid w:val="0"/>
        <w:spacing w:beforeAutospacing="0" w:afterAutospacing="0" w:line="440" w:lineRule="exact"/>
        <w:ind w:left="0" w:leftChars="0" w:right="0" w:rightChars="0" w:firstLine="640" w:firstLineChars="200"/>
        <w:jc w:val="both"/>
        <w:textAlignment w:val="baseline"/>
        <w:outlineLvl w:val="9"/>
        <w:rPr>
          <w:rFonts w:hint="eastAsia" w:ascii="仿宋" w:hAnsi="仿宋" w:eastAsia="仿宋" w:cs="仿宋"/>
          <w:color w:val="000000"/>
          <w:kern w:val="2"/>
          <w:sz w:val="32"/>
          <w:szCs w:val="32"/>
          <w:u w:val="none" w:color="auto"/>
          <w:lang w:val="en-US" w:eastAsia="zh-CN" w:bidi="ar"/>
        </w:rPr>
      </w:pPr>
      <w:r>
        <w:rPr>
          <w:rFonts w:hint="eastAsia" w:ascii="仿宋" w:hAnsi="仿宋" w:eastAsia="仿宋" w:cs="仿宋"/>
          <w:color w:val="000000"/>
          <w:kern w:val="2"/>
          <w:sz w:val="32"/>
          <w:szCs w:val="32"/>
          <w:u w:val="none" w:color="auto"/>
          <w:lang w:val="en-US" w:eastAsia="zh-CN" w:bidi="ar"/>
        </w:rPr>
        <w:t>当事人应当自收到本行政处罚决定书之日起十五日内，凭本决定书随附的缴款通知书缴纳罚款（罚没款）。逾期不缴纳罚款的，根据《中华人民共和国行政处罚法》第七十二条第（一）项的规定，每日可以按罚款数额的百分之三加处罚款，并将依法申请人民法院强制执行。</w:t>
      </w:r>
    </w:p>
    <w:p w14:paraId="41F51148">
      <w:pPr>
        <w:keepNext w:val="0"/>
        <w:keepLines w:val="0"/>
        <w:pageBreakBefore w:val="0"/>
        <w:widowControl/>
        <w:kinsoku/>
        <w:wordWrap/>
        <w:overflowPunct/>
        <w:topLinePunct w:val="0"/>
        <w:autoSpaceDE w:val="0"/>
        <w:autoSpaceDN w:val="0"/>
        <w:bidi w:val="0"/>
        <w:adjustRightInd w:val="0"/>
        <w:snapToGrid w:val="0"/>
        <w:spacing w:line="440" w:lineRule="exact"/>
        <w:ind w:left="0" w:leftChars="0" w:right="0" w:rightChars="0" w:firstLine="640" w:firstLineChars="200"/>
        <w:jc w:val="left"/>
        <w:textAlignment w:val="baseline"/>
        <w:outlineLvl w:val="9"/>
        <w:rPr>
          <w:rFonts w:hint="eastAsia" w:ascii="仿宋" w:hAnsi="仿宋" w:eastAsia="仿宋" w:cs="仿宋"/>
          <w:bCs/>
          <w:sz w:val="32"/>
          <w:szCs w:val="32"/>
          <w:lang w:val="en-US" w:eastAsia="zh-CN"/>
        </w:rPr>
      </w:pPr>
      <w:r>
        <w:rPr>
          <w:rFonts w:hint="eastAsia" w:ascii="仿宋" w:hAnsi="仿宋" w:eastAsia="仿宋" w:cs="仿宋"/>
          <w:color w:val="000000"/>
          <w:kern w:val="2"/>
          <w:sz w:val="32"/>
          <w:szCs w:val="32"/>
          <w:u w:val="none" w:color="auto"/>
          <w:lang w:val="en-US" w:eastAsia="zh-CN" w:bidi="ar"/>
        </w:rPr>
        <w:t>如对本行政处罚决定不服，可以在收到本决定书之日起六十日内先向福州市长乐区人民政府申请复议，对复议决定不服的，可以依法向福州市台江区人民法院提起行政诉讼。</w:t>
      </w:r>
      <w:r>
        <w:rPr>
          <w:rFonts w:hint="eastAsia" w:ascii="仿宋" w:hAnsi="仿宋" w:eastAsia="仿宋" w:cs="仿宋"/>
          <w:bCs/>
          <w:sz w:val="32"/>
          <w:szCs w:val="32"/>
          <w:lang w:val="en-US" w:eastAsia="zh-CN"/>
        </w:rPr>
        <w:t>申请行政复议或者提起行政诉讼期间，行政处罚不停止执行。</w:t>
      </w:r>
    </w:p>
    <w:p w14:paraId="11DFB0FA">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620" w:firstLineChars="200"/>
        <w:textAlignment w:val="baseline"/>
        <w:rPr>
          <w:rFonts w:ascii="楷体" w:hAnsi="楷体" w:eastAsia="楷体" w:cs="楷体"/>
          <w:color w:val="231F20"/>
          <w:spacing w:val="0"/>
          <w:w w:val="100"/>
          <w:sz w:val="31"/>
          <w:szCs w:val="31"/>
          <w14:textOutline w14:w="5626" w14:cap="sq" w14:cmpd="sng" w14:algn="ctr">
            <w14:solidFill>
              <w14:srgbClr w14:val="231F20"/>
            </w14:solidFill>
            <w14:prstDash w14:val="solid"/>
            <w14:bevel/>
          </w14:textOutline>
        </w:rPr>
      </w:pPr>
    </w:p>
    <w:p w14:paraId="4673E146">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2B5CFAE4">
      <w:pPr>
        <w:keepNext w:val="0"/>
        <w:keepLines w:val="0"/>
        <w:pageBreakBefore w:val="0"/>
        <w:overflowPunct/>
        <w:topLinePunct w:val="0"/>
        <w:autoSpaceDE w:val="0"/>
        <w:autoSpaceDN w:val="0"/>
        <w:adjustRightInd w:val="0"/>
        <w:snapToGrid w:val="0"/>
        <w:spacing w:line="440" w:lineRule="exact"/>
        <w:rPr>
          <w:rFonts w:hint="default" w:ascii="Microsoft JhengHei" w:eastAsia="宋体"/>
          <w:spacing w:val="0"/>
          <w:w w:val="100"/>
          <w:lang w:val="en-US" w:eastAsia="zh-CN"/>
        </w:rPr>
      </w:pPr>
    </w:p>
    <w:p w14:paraId="4451EF38">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7E945950">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76AC6B66">
      <w:pPr>
        <w:keepNext w:val="0"/>
        <w:keepLines w:val="0"/>
        <w:pageBreakBefore w:val="0"/>
        <w:overflowPunct/>
        <w:topLinePunct w:val="0"/>
        <w:autoSpaceDE w:val="0"/>
        <w:autoSpaceDN w:val="0"/>
        <w:adjustRightInd w:val="0"/>
        <w:snapToGrid w:val="0"/>
        <w:spacing w:line="440" w:lineRule="exact"/>
        <w:rPr>
          <w:rFonts w:hint="default" w:ascii="Microsoft JhengHei" w:eastAsia="宋体"/>
          <w:color w:val="FF0000"/>
          <w:spacing w:val="0"/>
          <w:w w:val="100"/>
          <w:lang w:val="en-US" w:eastAsia="zh-CN"/>
        </w:rPr>
      </w:pPr>
      <w:bookmarkStart w:id="1" w:name="thts1"/>
      <w:r>
        <w:rPr>
          <w:rFonts w:ascii="仿宋" w:hAnsi="仿宋" w:eastAsia="仿宋" w:cs="仿宋"/>
          <w:sz w:val="32"/>
        </w:rPr>
        <w:t xml:space="preserve"> </w:t>
      </w:r>
      <w:bookmarkEnd w:id="1"/>
    </w:p>
    <w:p w14:paraId="5D8714A7">
      <w:pPr>
        <w:keepNext w:val="0"/>
        <w:keepLines w:val="0"/>
        <w:pageBreakBefore w:val="0"/>
        <w:widowControl/>
        <w:tabs>
          <w:tab w:val="left" w:pos="5667"/>
        </w:tabs>
        <w:kinsoku w:val="0"/>
        <w:wordWrap w:val="0"/>
        <w:overflowPunct/>
        <w:topLinePunct w:val="0"/>
        <w:autoSpaceDE w:val="0"/>
        <w:autoSpaceDN w:val="0"/>
        <w:bidi/>
        <w:adjustRightInd w:val="0"/>
        <w:snapToGrid w:val="0"/>
        <w:spacing w:line="440" w:lineRule="exact"/>
        <w:ind w:left="0" w:leftChars="0" w:right="840" w:rightChars="400" w:firstLine="0" w:firstLineChars="0"/>
        <w:jc w:val="left"/>
        <w:textAlignment w:val="baseline"/>
        <w:rPr>
          <w:rFonts w:hint="eastAsia"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福州市长乐区市场监督管理局</w:t>
      </w:r>
      <w:r>
        <w:rPr>
          <w:rFonts w:ascii="仿宋" w:hAnsi="仿宋" w:eastAsia="仿宋" w:cs="仿宋"/>
          <w:sz w:val="32"/>
        </w:rPr>
        <w:t xml:space="preserve">   </w:t>
      </w:r>
    </w:p>
    <w:p w14:paraId="51AEE2F0">
      <w:pPr>
        <w:keepNext w:val="0"/>
        <w:keepLines w:val="0"/>
        <w:pageBreakBefore w:val="0"/>
        <w:widowControl/>
        <w:tabs>
          <w:tab w:val="left" w:pos="5667"/>
        </w:tabs>
        <w:kinsoku w:val="0"/>
        <w:wordWrap/>
        <w:overflowPunct/>
        <w:topLinePunct w:val="0"/>
        <w:autoSpaceDE w:val="0"/>
        <w:autoSpaceDN w:val="0"/>
        <w:bidi/>
        <w:adjustRightInd w:val="0"/>
        <w:snapToGrid w:val="0"/>
        <w:spacing w:line="440" w:lineRule="exact"/>
        <w:ind w:left="0" w:leftChars="0" w:right="0" w:firstLine="1650" w:firstLineChars="1500"/>
        <w:jc w:val="left"/>
        <w:textAlignment w:val="baseline"/>
        <w:rPr>
          <w:rFonts w:hint="default" w:ascii="仿宋" w:hAnsi="仿宋" w:eastAsia="仿宋" w:cs="仿宋"/>
          <w:spacing w:val="0"/>
          <w:w w:val="100"/>
          <w:sz w:val="32"/>
          <w:szCs w:val="32"/>
          <w:lang w:val="en-US" w:eastAsia="zh-CN"/>
        </w:rPr>
      </w:pPr>
      <w:r>
        <w:rPr>
          <w:rFonts w:ascii="仿宋" w:hAnsi="仿宋" w:eastAsia="仿宋" w:cs="仿宋"/>
          <w:color w:val="FFFFFF" w:themeColor="background1"/>
          <w:spacing w:val="0"/>
          <w:w w:val="100"/>
          <w:sz w:val="11"/>
          <w:szCs w:val="11"/>
          <w14:textFill>
            <w14:solidFill>
              <w14:schemeClr w14:val="bg1"/>
            </w14:solidFill>
          </w14:textFill>
        </w:rPr>
        <w:t>（</w:t>
      </w:r>
      <w:r>
        <w:rPr>
          <w:rFonts w:hint="eastAsia" w:ascii="仿宋" w:hAnsi="仿宋" w:eastAsia="仿宋" w:cs="仿宋"/>
          <w:color w:val="FFFFFF" w:themeColor="background1"/>
          <w:spacing w:val="0"/>
          <w:w w:val="100"/>
          <w:sz w:val="11"/>
          <w:szCs w:val="11"/>
          <w:lang w:eastAsia="zh-CN"/>
          <w14:textFill>
            <w14:solidFill>
              <w14:schemeClr w14:val="bg1"/>
            </w14:solidFill>
          </w14:textFill>
        </w:rPr>
        <w:t>sealdwy</w:t>
      </w:r>
      <w:r>
        <w:rPr>
          <w:rFonts w:ascii="仿宋" w:hAnsi="仿宋" w:eastAsia="仿宋" w:cs="仿宋"/>
          <w:color w:val="FFFFFF" w:themeColor="background1"/>
          <w:spacing w:val="0"/>
          <w:w w:val="100"/>
          <w:sz w:val="11"/>
          <w:szCs w:val="11"/>
          <w14:textFill>
            <w14:solidFill>
              <w14:schemeClr w14:val="bg1"/>
            </w14:solidFill>
          </w14:textFill>
        </w:rPr>
        <w:t>）</w:t>
      </w:r>
      <w:r>
        <w:rPr>
          <w:rFonts w:ascii="仿宋" w:hAnsi="仿宋" w:eastAsia="仿宋" w:cs="仿宋"/>
          <w:color w:val="000000" w:themeColor="text1"/>
          <w:spacing w:val="0"/>
          <w:w w:val="100"/>
          <w:sz w:val="21"/>
          <w:szCs w:val="21"/>
          <w14:textFill>
            <w14:solidFill>
              <w14:schemeClr w14:val="tx1"/>
            </w14:solidFill>
          </w14:textFill>
        </w:rPr>
        <w:t xml:space="preserve"> </w:t>
      </w:r>
    </w:p>
    <w:p w14:paraId="4C045675">
      <w:pPr>
        <w:keepNext w:val="0"/>
        <w:keepLines w:val="0"/>
        <w:pageBreakBefore w:val="0"/>
        <w:widowControl/>
        <w:kinsoku w:val="0"/>
        <w:wordWrap w:val="0"/>
        <w:overflowPunct/>
        <w:topLinePunct w:val="0"/>
        <w:autoSpaceDE w:val="0"/>
        <w:autoSpaceDN w:val="0"/>
        <w:bidi/>
        <w:adjustRightInd w:val="0"/>
        <w:snapToGrid w:val="0"/>
        <w:spacing w:line="440" w:lineRule="exact"/>
        <w:ind w:right="840" w:rightChars="400" w:firstLine="0" w:firstLineChars="0"/>
        <w:jc w:val="left"/>
        <w:textAlignment w:val="baseline"/>
        <w:rPr>
          <w:rFonts w:hint="default" w:ascii="仿宋" w:hAnsi="仿宋" w:eastAsia="仿宋" w:cs="仿宋"/>
          <w:spacing w:val="0"/>
          <w:w w:val="100"/>
          <w:sz w:val="32"/>
          <w:szCs w:val="32"/>
          <w:lang w:val="en-US" w:eastAsia="zh-CN"/>
        </w:rPr>
      </w:pPr>
      <w:r>
        <w:rPr>
          <w:rFonts w:hint="eastAsia" w:ascii="仿宋" w:hAnsi="仿宋" w:eastAsia="仿宋" w:cs="仿宋"/>
          <w:spacing w:val="0"/>
          <w:w w:val="100"/>
          <w:sz w:val="32"/>
          <w:szCs w:val="32"/>
          <w:lang w:val="en-US" w:eastAsia="zh-CN"/>
        </w:rPr>
        <w:t>2024年12月12日</w:t>
      </w:r>
      <w:r>
        <w:rPr>
          <w:rFonts w:ascii="仿宋" w:hAnsi="仿宋" w:eastAsia="仿宋" w:cs="仿宋"/>
          <w:sz w:val="32"/>
        </w:rPr>
        <w:t xml:space="preserve">       </w:t>
      </w:r>
    </w:p>
    <w:p w14:paraId="36529A59">
      <w:pPr>
        <w:keepNext w:val="0"/>
        <w:keepLines w:val="0"/>
        <w:pageBreakBefore w:val="0"/>
        <w:overflowPunct/>
        <w:topLinePunct w:val="0"/>
        <w:autoSpaceDE w:val="0"/>
        <w:autoSpaceDN w:val="0"/>
        <w:adjustRightInd w:val="0"/>
        <w:snapToGrid w:val="0"/>
        <w:spacing w:line="440" w:lineRule="exact"/>
        <w:rPr>
          <w:rFonts w:hint="default" w:ascii="Microsoft JhengHei" w:eastAsia="宋体"/>
          <w:color w:val="FF0000"/>
          <w:spacing w:val="0"/>
          <w:w w:val="100"/>
          <w:lang w:val="en-US" w:eastAsia="zh-CN"/>
        </w:rPr>
      </w:pPr>
      <w:bookmarkStart w:id="2" w:name="thts2"/>
      <w:r>
        <w:rPr>
          <w:rFonts w:ascii="仿宋" w:hAnsi="仿宋" w:eastAsia="仿宋" w:cs="仿宋"/>
          <w:sz w:val="32"/>
        </w:rPr>
        <w:t xml:space="preserve"> </w:t>
      </w:r>
      <w:bookmarkEnd w:id="2"/>
    </w:p>
    <w:p w14:paraId="76958697">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42D85579">
      <w:pPr>
        <w:keepNext w:val="0"/>
        <w:keepLines w:val="0"/>
        <w:pageBreakBefore w:val="0"/>
        <w:overflowPunct/>
        <w:topLinePunct w:val="0"/>
        <w:autoSpaceDE w:val="0"/>
        <w:autoSpaceDN w:val="0"/>
        <w:adjustRightInd w:val="0"/>
        <w:snapToGrid w:val="0"/>
        <w:spacing w:before="105" w:line="440" w:lineRule="exact"/>
        <w:ind w:firstLine="403"/>
        <w:jc w:val="center"/>
        <w:rPr>
          <w:rFonts w:hint="default" w:ascii="黑体" w:hAnsi="黑体" w:eastAsia="黑体" w:cs="黑体"/>
          <w:color w:val="231F20"/>
          <w:spacing w:val="0"/>
          <w:w w:val="100"/>
          <w:sz w:val="32"/>
          <w:szCs w:val="32"/>
          <w:lang w:val="en-US" w:eastAsia="zh-CN"/>
        </w:rPr>
      </w:pPr>
    </w:p>
    <w:p w14:paraId="7E743EF0">
      <w:pPr>
        <w:keepNext w:val="0"/>
        <w:keepLines w:val="0"/>
        <w:pageBreakBefore w:val="0"/>
        <w:overflowPunct/>
        <w:topLinePunct w:val="0"/>
        <w:autoSpaceDE w:val="0"/>
        <w:autoSpaceDN w:val="0"/>
        <w:adjustRightInd w:val="0"/>
        <w:snapToGrid w:val="0"/>
        <w:spacing w:before="105" w:line="440" w:lineRule="exact"/>
        <w:ind w:firstLine="403"/>
        <w:jc w:val="center"/>
        <w:rPr>
          <w:rFonts w:ascii="黑体" w:hAnsi="黑体" w:eastAsia="黑体" w:cs="黑体"/>
          <w:color w:val="231F20"/>
          <w:spacing w:val="0"/>
          <w:w w:val="100"/>
          <w:sz w:val="32"/>
          <w:szCs w:val="32"/>
        </w:rPr>
      </w:pPr>
    </w:p>
    <w:p w14:paraId="774465D1">
      <w:pPr>
        <w:keepNext w:val="0"/>
        <w:keepLines w:val="0"/>
        <w:pageBreakBefore w:val="0"/>
        <w:overflowPunct/>
        <w:topLinePunct w:val="0"/>
        <w:autoSpaceDE w:val="0"/>
        <w:autoSpaceDN w:val="0"/>
        <w:adjustRightInd w:val="0"/>
        <w:snapToGrid w:val="0"/>
        <w:spacing w:before="105" w:line="440" w:lineRule="exact"/>
        <w:ind w:firstLine="403"/>
        <w:jc w:val="center"/>
        <w:rPr>
          <w:rFonts w:hint="eastAsia" w:ascii="仿宋" w:hAnsi="仿宋" w:eastAsia="仿宋" w:cs="仿宋"/>
          <w:b/>
          <w:bCs/>
          <w:spacing w:val="0"/>
          <w:w w:val="100"/>
          <w:sz w:val="28"/>
          <w:szCs w:val="28"/>
          <w:u w:val="none"/>
          <w:lang w:val="en-US" w:eastAsia="zh-CN"/>
        </w:rPr>
      </w:pPr>
      <w:r>
        <w:rPr>
          <w:rFonts w:hint="eastAsia" w:ascii="仿宋" w:hAnsi="仿宋" w:eastAsia="仿宋" w:cs="仿宋"/>
          <w:b/>
          <w:bCs/>
          <w:spacing w:val="0"/>
          <w:w w:val="100"/>
          <w:sz w:val="28"/>
          <w:szCs w:val="28"/>
          <w:u w:val="none"/>
          <w:lang w:val="en-US" w:eastAsia="zh-CN"/>
        </w:rPr>
        <w:t>（市场监督管理部门将依法向社会公开行政处罚决定信息）</w:t>
      </w:r>
    </w:p>
    <w:p w14:paraId="42945E81">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68A59FF6">
      <w:pPr>
        <w:keepNext w:val="0"/>
        <w:keepLines w:val="0"/>
        <w:pageBreakBefore w:val="0"/>
        <w:overflowPunct/>
        <w:topLinePunct w:val="0"/>
        <w:autoSpaceDE w:val="0"/>
        <w:autoSpaceDN w:val="0"/>
        <w:adjustRightInd w:val="0"/>
        <w:snapToGrid w:val="0"/>
        <w:spacing w:line="440" w:lineRule="exact"/>
        <w:rPr>
          <w:rFonts w:ascii="Microsoft JhengHei"/>
          <w:spacing w:val="0"/>
          <w:w w:val="100"/>
        </w:rPr>
      </w:pPr>
    </w:p>
    <w:p w14:paraId="65C582B8">
      <w:pPr>
        <w:keepNext w:val="0"/>
        <w:keepLines w:val="0"/>
        <w:pageBreakBefore w:val="0"/>
        <w:overflowPunct/>
        <w:topLinePunct w:val="0"/>
        <w:autoSpaceDE w:val="0"/>
        <w:autoSpaceDN w:val="0"/>
        <w:adjustRightInd w:val="0"/>
        <w:snapToGrid w:val="0"/>
        <w:spacing w:line="440" w:lineRule="exact"/>
        <w:textAlignment w:val="center"/>
        <w:rPr>
          <w:spacing w:val="0"/>
          <w:w w:val="100"/>
        </w:rPr>
      </w:pPr>
      <w:r>
        <w:rPr>
          <w:spacing w:val="0"/>
          <w:w w:val="100"/>
        </w:rPr>
        <w:drawing>
          <wp:inline distT="0" distB="0" distL="0" distR="0">
            <wp:extent cx="5550535" cy="15875"/>
            <wp:effectExtent l="0" t="0" r="12065" b="6985"/>
            <wp:docPr id="229" name="IM 229"/>
            <wp:cNvGraphicFramePr/>
            <a:graphic xmlns:a="http://schemas.openxmlformats.org/drawingml/2006/main">
              <a:graphicData uri="http://schemas.openxmlformats.org/drawingml/2006/picture">
                <pic:pic xmlns:pic="http://schemas.openxmlformats.org/drawingml/2006/picture">
                  <pic:nvPicPr>
                    <pic:cNvPr id="229" name="IM 229"/>
                    <pic:cNvPicPr/>
                  </pic:nvPicPr>
                  <pic:blipFill>
                    <a:blip r:embed="rId6"/>
                    <a:stretch>
                      <a:fillRect/>
                    </a:stretch>
                  </pic:blipFill>
                  <pic:spPr>
                    <a:xfrm>
                      <a:off x="0" y="0"/>
                      <a:ext cx="5550535" cy="16509"/>
                    </a:xfrm>
                    <a:prstGeom prst="rect">
                      <a:avLst/>
                    </a:prstGeom>
                  </pic:spPr>
                </pic:pic>
              </a:graphicData>
            </a:graphic>
          </wp:inline>
        </w:drawing>
      </w:r>
    </w:p>
    <w:p w14:paraId="59BFCC38">
      <w:pPr>
        <w:keepNext w:val="0"/>
        <w:keepLines w:val="0"/>
        <w:pageBreakBefore w:val="0"/>
        <w:overflowPunct/>
        <w:topLinePunct w:val="0"/>
        <w:autoSpaceDE w:val="0"/>
        <w:autoSpaceDN w:val="0"/>
        <w:adjustRightInd w:val="0"/>
        <w:snapToGrid w:val="0"/>
        <w:spacing w:before="106" w:line="440" w:lineRule="exact"/>
        <w:ind w:firstLine="231"/>
        <w:rPr>
          <w:spacing w:val="0"/>
          <w:w w:val="100"/>
        </w:rPr>
      </w:pPr>
      <w:r>
        <w:rPr>
          <w:rFonts w:ascii="仿宋" w:hAnsi="仿宋" w:eastAsia="仿宋" w:cs="仿宋"/>
          <w:spacing w:val="0"/>
          <w:w w:val="100"/>
          <w:sz w:val="32"/>
          <w:szCs w:val="32"/>
        </w:rPr>
        <w:t>本文书一</w:t>
      </w:r>
      <w:r>
        <w:rPr>
          <w:rFonts w:ascii="仿宋" w:hAnsi="仿宋" w:eastAsia="仿宋" w:cs="仿宋"/>
          <w:spacing w:val="0"/>
          <w:w w:val="100"/>
          <w:sz w:val="32"/>
          <w:szCs w:val="32"/>
          <w:u w:val="none"/>
        </w:rPr>
        <w:t>式</w:t>
      </w:r>
      <w:r>
        <w:rPr>
          <w:rFonts w:hint="eastAsia" w:ascii="仿宋" w:hAnsi="仿宋" w:eastAsia="仿宋" w:cs="仿宋"/>
          <w:spacing w:val="0"/>
          <w:w w:val="100"/>
          <w:sz w:val="32"/>
          <w:szCs w:val="32"/>
          <w:u w:val="none"/>
          <w:lang w:val="en-US" w:eastAsia="zh-CN"/>
        </w:rPr>
        <w:t>二</w:t>
      </w:r>
      <w:r>
        <w:rPr>
          <w:rFonts w:ascii="仿宋" w:hAnsi="仿宋" w:eastAsia="仿宋" w:cs="仿宋"/>
          <w:spacing w:val="0"/>
          <w:w w:val="100"/>
          <w:sz w:val="32"/>
          <w:szCs w:val="32"/>
          <w:u w:val="none"/>
        </w:rPr>
        <w:t>份，</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份送达，</w:t>
      </w:r>
      <w:r>
        <w:rPr>
          <w:rFonts w:hint="eastAsia" w:ascii="仿宋" w:hAnsi="仿宋" w:eastAsia="仿宋" w:cs="仿宋"/>
          <w:spacing w:val="0"/>
          <w:w w:val="100"/>
          <w:sz w:val="32"/>
          <w:szCs w:val="32"/>
          <w:u w:val="none"/>
          <w:lang w:val="en-US" w:eastAsia="zh-CN"/>
        </w:rPr>
        <w:t>一</w:t>
      </w:r>
      <w:r>
        <w:rPr>
          <w:rFonts w:ascii="仿宋" w:hAnsi="仿宋" w:eastAsia="仿宋" w:cs="仿宋"/>
          <w:spacing w:val="0"/>
          <w:w w:val="100"/>
          <w:sz w:val="32"/>
          <w:szCs w:val="32"/>
          <w:u w:val="none"/>
        </w:rPr>
        <w:t>份归档</w:t>
      </w:r>
      <w:r>
        <w:rPr>
          <w:rFonts w:hint="eastAsia" w:ascii="仿宋" w:hAnsi="仿宋" w:eastAsia="仿宋" w:cs="仿宋"/>
          <w:spacing w:val="0"/>
          <w:w w:val="100"/>
          <w:sz w:val="32"/>
          <w:szCs w:val="32"/>
          <w:u w:val="none"/>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9CF36">
    <w:pPr>
      <w:spacing w:line="196" w:lineRule="exact"/>
      <w:rPr>
        <w:rFonts w:ascii="宋体" w:hAnsi="宋体" w:eastAsia="宋体" w:cs="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DBE67">
    <w:pPr>
      <w:spacing w:line="14" w:lineRule="auto"/>
      <w:rPr>
        <w:rFonts w:ascii="Microsoft JhengHei"/>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972D0B6"/>
    <w:multiLevelType w:val="singleLevel"/>
    <w:tmpl w:val="7972D0B6"/>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000000"/>
    <w:rsid w:val="00523EB0"/>
    <w:rsid w:val="016A6FD7"/>
    <w:rsid w:val="04293CFB"/>
    <w:rsid w:val="09594501"/>
    <w:rsid w:val="0B3440E4"/>
    <w:rsid w:val="0D447276"/>
    <w:rsid w:val="0DBD22EC"/>
    <w:rsid w:val="0DC12675"/>
    <w:rsid w:val="114C2FAE"/>
    <w:rsid w:val="11621A79"/>
    <w:rsid w:val="14515DD5"/>
    <w:rsid w:val="1F6A6E01"/>
    <w:rsid w:val="23AD74CB"/>
    <w:rsid w:val="24B9255E"/>
    <w:rsid w:val="25227A45"/>
    <w:rsid w:val="253A7874"/>
    <w:rsid w:val="264E7E89"/>
    <w:rsid w:val="27181761"/>
    <w:rsid w:val="289A78F2"/>
    <w:rsid w:val="296F5223"/>
    <w:rsid w:val="29B35913"/>
    <w:rsid w:val="2A306760"/>
    <w:rsid w:val="2BEB12ED"/>
    <w:rsid w:val="2C545A11"/>
    <w:rsid w:val="2F8512FC"/>
    <w:rsid w:val="30175A94"/>
    <w:rsid w:val="353F631E"/>
    <w:rsid w:val="37FEAF53"/>
    <w:rsid w:val="39B20F40"/>
    <w:rsid w:val="3AFB3A56"/>
    <w:rsid w:val="3AFE1F63"/>
    <w:rsid w:val="3BF75330"/>
    <w:rsid w:val="3DFE9903"/>
    <w:rsid w:val="3E8D1F7B"/>
    <w:rsid w:val="3FFF0A3B"/>
    <w:rsid w:val="414D154E"/>
    <w:rsid w:val="41913B31"/>
    <w:rsid w:val="42E27DDC"/>
    <w:rsid w:val="44185E43"/>
    <w:rsid w:val="452A2718"/>
    <w:rsid w:val="464F5D68"/>
    <w:rsid w:val="474F4272"/>
    <w:rsid w:val="47BA0375"/>
    <w:rsid w:val="47EFE3B5"/>
    <w:rsid w:val="4B8B339F"/>
    <w:rsid w:val="4C564BEA"/>
    <w:rsid w:val="4D724A1E"/>
    <w:rsid w:val="526470DD"/>
    <w:rsid w:val="53553D5C"/>
    <w:rsid w:val="54ED50CA"/>
    <w:rsid w:val="55F46D30"/>
    <w:rsid w:val="591F781C"/>
    <w:rsid w:val="5BF3746A"/>
    <w:rsid w:val="5BFE0E11"/>
    <w:rsid w:val="5C58107B"/>
    <w:rsid w:val="5C7B2FBB"/>
    <w:rsid w:val="5C86208C"/>
    <w:rsid w:val="5DFF21DD"/>
    <w:rsid w:val="5E457324"/>
    <w:rsid w:val="63676048"/>
    <w:rsid w:val="63D74F7B"/>
    <w:rsid w:val="658B24C1"/>
    <w:rsid w:val="65CE23AE"/>
    <w:rsid w:val="66C739CD"/>
    <w:rsid w:val="69293CA2"/>
    <w:rsid w:val="6A252073"/>
    <w:rsid w:val="6AB959E6"/>
    <w:rsid w:val="6BE5323D"/>
    <w:rsid w:val="6C2FFAF6"/>
    <w:rsid w:val="6F842A78"/>
    <w:rsid w:val="72AF2EBE"/>
    <w:rsid w:val="72BD7A32"/>
    <w:rsid w:val="735F9C0B"/>
    <w:rsid w:val="751B33A8"/>
    <w:rsid w:val="75CABD3E"/>
    <w:rsid w:val="77365F93"/>
    <w:rsid w:val="78AFDC6A"/>
    <w:rsid w:val="78D37FAF"/>
    <w:rsid w:val="795B53DC"/>
    <w:rsid w:val="7A08324D"/>
    <w:rsid w:val="7BFD7336"/>
    <w:rsid w:val="7C091DFF"/>
    <w:rsid w:val="7C337D02"/>
    <w:rsid w:val="7D0A7D18"/>
    <w:rsid w:val="7DA55C93"/>
    <w:rsid w:val="7F3525AC"/>
    <w:rsid w:val="7F7D0C75"/>
    <w:rsid w:val="7FB9F6F8"/>
    <w:rsid w:val="7FCF02B0"/>
    <w:rsid w:val="9BDDB21C"/>
    <w:rsid w:val="9EBA9FD0"/>
    <w:rsid w:val="9F347544"/>
    <w:rsid w:val="B76B6BFD"/>
    <w:rsid w:val="E5E76881"/>
    <w:rsid w:val="F757507D"/>
    <w:rsid w:val="FB778793"/>
    <w:rsid w:val="FEFD0995"/>
    <w:rsid w:val="FFEFC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line="199" w:lineRule="auto"/>
      <w:jc w:val="center"/>
      <w:outlineLvl w:val="0"/>
    </w:pPr>
    <w:rPr>
      <w:rFonts w:ascii="Microsoft JhengHei" w:hAnsi="Microsoft JhengHei" w:eastAsia="Microsoft JhengHei" w:cs="Microsoft JhengHei"/>
      <w:spacing w:val="-2"/>
      <w:sz w:val="44"/>
      <w:szCs w:val="44"/>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3743</Words>
  <Characters>3983</Characters>
  <Lines>0</Lines>
  <Paragraphs>0</Paragraphs>
  <TotalTime>20</TotalTime>
  <ScaleCrop>false</ScaleCrop>
  <LinksUpToDate>false</LinksUpToDate>
  <CharactersWithSpaces>4022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2024-02-29T10:14:00Z</dcterms:created>
  <dc:creator>admin</dc:creator>
  <cp:lastModifiedBy>LWT</cp:lastModifiedBy>
  <cp:lastPrinted>2025-02-20T09:12:00Z</cp:lastPrinted>
  <dcterms:modified xsi:type="dcterms:W3CDTF">2025-02-21T01:12:51Z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418C01DBAB86420BB5E3D98C8368170E_12</vt:lpwstr>
  </property>
  <property fmtid="{D5CDD505-2E9C-101B-9397-08002B2CF9AE}" pid="4" name="KSOTemplateDocerSaveRecord">
    <vt:lpwstr>eyJoZGlkIjoiM2MwYjdlMmEyODQxNDkyNzJmOGY0NTAyMTYzMTFhMDAiLCJ1c2VySWQiOiI0NzI5MTU3ODIifQ==</vt:lpwstr>
  </property>
</Properties>
</file>