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附件</w:t>
      </w:r>
      <w:r>
        <w:rPr>
          <w:rFonts w:hint="eastAsia" w:ascii="仿宋_GB2312" w:hAnsi="仿宋_GB2312" w:cs="仿宋_GB231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</w:rPr>
        <w:t>：</w:t>
      </w:r>
    </w:p>
    <w:p>
      <w:pPr>
        <w:spacing w:line="520" w:lineRule="exact"/>
      </w:pPr>
    </w:p>
    <w:p>
      <w:pPr>
        <w:pStyle w:val="8"/>
        <w:spacing w:line="520" w:lineRule="exact"/>
        <w:rPr>
          <w:rFonts w:ascii="方正小标宋简体" w:hAnsi="方正小标宋简体" w:cs="方正小标宋简体"/>
        </w:rPr>
      </w:pPr>
      <w:r>
        <w:rPr>
          <w:rFonts w:hint="eastAsia" w:ascii="方正小标宋简体" w:hAnsi="方正小标宋简体" w:cs="方正小标宋简体"/>
        </w:rPr>
        <w:t>202</w:t>
      </w:r>
      <w:r>
        <w:rPr>
          <w:rFonts w:hint="eastAsia" w:ascii="方正小标宋简体" w:hAnsi="方正小标宋简体" w:cs="方正小标宋简体"/>
          <w:lang w:val="en-US" w:eastAsia="zh-CN"/>
        </w:rPr>
        <w:t>4</w:t>
      </w:r>
      <w:r>
        <w:rPr>
          <w:rFonts w:hint="eastAsia" w:ascii="方正小标宋简体" w:hAnsi="方正小标宋简体" w:cs="方正小标宋简体"/>
        </w:rPr>
        <w:t>年福州滨海新城高速公路(一期)鹤上北山、沙京片区项目</w:t>
      </w:r>
      <w:r>
        <w:rPr>
          <w:rFonts w:hint="eastAsia" w:ascii="仿宋_GB2312"/>
          <w:lang w:val="en-US" w:eastAsia="zh-CN"/>
        </w:rPr>
        <w:t>中南樾府</w:t>
      </w:r>
      <w:r>
        <w:rPr>
          <w:rFonts w:hint="eastAsia" w:ascii="方正小标宋简体" w:hAnsi="方正小标宋简体" w:cs="方正小标宋简体"/>
        </w:rPr>
        <w:t>安置房源分割方案</w:t>
      </w:r>
    </w:p>
    <w:p>
      <w:pPr>
        <w:spacing w:line="520" w:lineRule="exact"/>
        <w:ind w:firstLine="640" w:firstLineChars="200"/>
        <w:rPr>
          <w:rFonts w:ascii="仿宋_GB2312"/>
        </w:rPr>
      </w:pP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hint="eastAsia" w:ascii="仿宋_GB2312"/>
          <w:lang w:val="en-US" w:eastAsia="zh-CN"/>
        </w:rPr>
        <w:t>目前鹤上镇</w:t>
      </w:r>
      <w:r>
        <w:rPr>
          <w:rFonts w:hint="eastAsia" w:ascii="方正小标宋简体" w:hAnsi="方正小标宋简体" w:cs="方正小标宋简体"/>
        </w:rPr>
        <w:t>福州滨海新城高速公路(一期)鹤上北山、沙京片区</w:t>
      </w:r>
      <w:r>
        <w:rPr>
          <w:rFonts w:hint="eastAsia" w:ascii="方正小标宋简体" w:hAnsi="方正小标宋简体" w:cs="方正小标宋简体"/>
          <w:lang w:val="en-US" w:eastAsia="zh-CN"/>
        </w:rPr>
        <w:t>项目的涉迁户</w:t>
      </w:r>
      <w:r>
        <w:rPr>
          <w:rFonts w:hint="eastAsia" w:ascii="仿宋_GB2312"/>
          <w:lang w:val="en-US" w:eastAsia="zh-CN"/>
        </w:rPr>
        <w:t>已改签至中南樾府135㎡4套</w:t>
      </w:r>
      <w:r>
        <w:rPr>
          <w:rFonts w:hint="eastAsia" w:ascii="仿宋_GB2312" w:hAnsi="Segoe UI Symbol" w:cs="Segoe UI Symbol"/>
          <w:lang w:val="en-US" w:eastAsia="zh-CN"/>
        </w:rPr>
        <w:t>。</w:t>
      </w:r>
      <w:r>
        <w:rPr>
          <w:rFonts w:hint="eastAsia" w:ascii="仿宋_GB2312" w:hAnsi="Segoe UI Symbol" w:cs="Segoe UI Symbol"/>
        </w:rPr>
        <w:t>根据《长乐区安置房源分割实施细则（试行）》（长建征</w:t>
      </w:r>
      <w:r>
        <w:rPr>
          <w:rFonts w:hint="eastAsia" w:ascii="仿宋_GB2312"/>
        </w:rPr>
        <w:t>〔2021〕</w:t>
      </w:r>
      <w:r>
        <w:rPr>
          <w:rFonts w:hint="eastAsia" w:ascii="仿宋_GB2312" w:hAnsi="Segoe UI Symbol" w:cs="Segoe UI Symbol"/>
        </w:rPr>
        <w:t>20号）有关规定，</w:t>
      </w:r>
      <w:r>
        <w:rPr>
          <w:rFonts w:hint="eastAsia" w:ascii="仿宋_GB2312"/>
        </w:rPr>
        <w:t>为做好</w:t>
      </w:r>
      <w:r>
        <w:rPr>
          <w:rFonts w:hint="eastAsia" w:ascii="方正小标宋简体" w:hAnsi="方正小标宋简体" w:cs="方正小标宋简体"/>
        </w:rPr>
        <w:t>福州滨海新城高速公路(一期)鹤上北山、沙京片区</w:t>
      </w:r>
      <w:r>
        <w:rPr>
          <w:rFonts w:hint="eastAsia" w:ascii="仿宋_GB2312"/>
        </w:rPr>
        <w:t>项目</w:t>
      </w:r>
      <w:r>
        <w:rPr>
          <w:rFonts w:hint="eastAsia" w:ascii="仿宋_GB2312"/>
          <w:lang w:val="en-US" w:eastAsia="zh-CN"/>
        </w:rPr>
        <w:t>中南樾府</w:t>
      </w:r>
      <w:r>
        <w:rPr>
          <w:rFonts w:hint="eastAsia" w:ascii="仿宋_GB2312"/>
        </w:rPr>
        <w:t>安置房源的分割工作，特制定本方案：</w:t>
      </w:r>
    </w:p>
    <w:p>
      <w:pPr>
        <w:pStyle w:val="24"/>
        <w:spacing w:line="520" w:lineRule="exact"/>
        <w:ind w:firstLine="640"/>
      </w:pPr>
      <w:r>
        <w:rPr>
          <w:rFonts w:hint="eastAsia"/>
        </w:rPr>
        <w:t>活动时间和地点：</w:t>
      </w:r>
    </w:p>
    <w:p>
      <w:pPr>
        <w:pStyle w:val="24"/>
        <w:numPr>
          <w:ilvl w:val="0"/>
          <w:numId w:val="5"/>
        </w:numPr>
        <w:spacing w:line="520" w:lineRule="exact"/>
        <w:ind w:firstLine="640" w:firstLineChars="200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</w:rPr>
        <w:t>时间：</w:t>
      </w:r>
      <w:r>
        <w:rPr>
          <w:rFonts w:ascii="仿宋_GB2312" w:eastAsia="仿宋_GB2312"/>
        </w:rPr>
        <w:t>202</w:t>
      </w:r>
      <w:r>
        <w:rPr>
          <w:rFonts w:hint="eastAsia" w:ascii="仿宋_GB2312" w:eastAsia="仿宋_GB2312"/>
          <w:lang w:val="en-US" w:eastAsia="zh-CN"/>
        </w:rPr>
        <w:t>4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lang w:val="en-US" w:eastAsia="zh-CN"/>
        </w:rPr>
        <w:t>4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lang w:val="en-US" w:eastAsia="zh-CN"/>
        </w:rPr>
        <w:t>29</w:t>
      </w:r>
      <w:r>
        <w:rPr>
          <w:rFonts w:ascii="仿宋_GB2312" w:eastAsia="仿宋_GB2312"/>
        </w:rPr>
        <w:t>日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eastAsia="仿宋_GB2312"/>
          <w:lang w:val="en-US" w:eastAsia="zh-CN"/>
        </w:rPr>
        <w:t>上午10：20</w:t>
      </w:r>
    </w:p>
    <w:p>
      <w:pPr>
        <w:pStyle w:val="24"/>
        <w:numPr>
          <w:ilvl w:val="0"/>
          <w:numId w:val="0"/>
        </w:numPr>
        <w:spacing w:line="520" w:lineRule="exact"/>
        <w:ind w:leftChars="200"/>
        <w:rPr>
          <w:rFonts w:hint="eastAsia" w:ascii="仿宋_GB2312" w:eastAsia="仿宋_GB2312"/>
          <w:color w:val="auto"/>
          <w:lang w:val="en-US" w:eastAsia="zh-CN"/>
        </w:rPr>
      </w:pPr>
      <w:r>
        <w:rPr>
          <w:rFonts w:ascii="仿宋_GB2312" w:eastAsia="仿宋_GB2312"/>
        </w:rPr>
        <w:t>2、</w:t>
      </w:r>
      <w:r>
        <w:rPr>
          <w:rFonts w:hint="eastAsia" w:ascii="仿宋_GB2312" w:eastAsia="仿宋_GB2312"/>
        </w:rPr>
        <w:t>活动地点：</w:t>
      </w:r>
      <w:r>
        <w:rPr>
          <w:rFonts w:hint="eastAsia" w:ascii="仿宋_GB2312" w:eastAsia="仿宋_GB2312"/>
          <w:color w:val="auto"/>
          <w:lang w:val="en-US" w:eastAsia="zh-CN"/>
        </w:rPr>
        <w:t>鹤上镇政府一楼大会议室</w:t>
      </w:r>
    </w:p>
    <w:p>
      <w:pPr>
        <w:pStyle w:val="24"/>
        <w:spacing w:line="520" w:lineRule="exact"/>
        <w:ind w:firstLine="640"/>
      </w:pPr>
      <w:r>
        <w:rPr>
          <w:rFonts w:hint="eastAsia"/>
        </w:rPr>
        <w:t>参加人员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区住建局、区财政局、区土地发展中心、福州滨海新城征迁安置指挥部、</w:t>
      </w:r>
      <w:r>
        <w:rPr>
          <w:rFonts w:hint="eastAsia" w:ascii="仿宋_GB2312"/>
          <w:lang w:val="en-US" w:eastAsia="zh-CN"/>
        </w:rPr>
        <w:t>鹤上镇</w:t>
      </w:r>
      <w:r>
        <w:rPr>
          <w:rFonts w:hint="eastAsia" w:ascii="仿宋_GB2312"/>
        </w:rPr>
        <w:t>、公证处、福州市长乐区航建房屋征收服务有限公司</w:t>
      </w:r>
      <w:r>
        <w:rPr>
          <w:rFonts w:hint="eastAsia" w:ascii="仿宋_GB2312"/>
          <w:lang w:eastAsia="zh-CN"/>
        </w:rPr>
        <w:t>、</w:t>
      </w:r>
      <w:r>
        <w:rPr>
          <w:rFonts w:hint="eastAsia" w:ascii="仿宋_GB2312"/>
        </w:rPr>
        <w:t>项目涉迁村两委、被征收人代表。</w:t>
      </w:r>
    </w:p>
    <w:p>
      <w:pPr>
        <w:pStyle w:val="24"/>
        <w:spacing w:line="520" w:lineRule="exact"/>
        <w:ind w:firstLine="640"/>
      </w:pPr>
      <w:r>
        <w:rPr>
          <w:rFonts w:hint="eastAsia"/>
        </w:rPr>
        <w:t>房源户型抽取统计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hint="eastAsia"/>
        </w:rPr>
        <w:t>按房屋征收项目的签约安置房套数1：1确定房屋征收项目的安置房抽取套数</w:t>
      </w:r>
      <w:r>
        <w:rPr>
          <w:rFonts w:hint="eastAsia" w:ascii="仿宋_GB2312"/>
        </w:rPr>
        <w:t>，具体抽取安置房数量如下：</w:t>
      </w:r>
    </w:p>
    <w:p>
      <w:pPr>
        <w:widowControl/>
        <w:spacing w:line="240" w:lineRule="auto"/>
        <w:jc w:val="left"/>
        <w:rPr>
          <w:rFonts w:ascii="仿宋_GB2312"/>
        </w:rPr>
      </w:pPr>
      <w:r>
        <w:rPr>
          <w:rFonts w:ascii="仿宋_GB2312"/>
        </w:rPr>
        <w:br w:type="page"/>
      </w:r>
    </w:p>
    <w:p>
      <w:pPr>
        <w:spacing w:line="520" w:lineRule="exact"/>
        <w:jc w:val="center"/>
        <w:rPr>
          <w:rFonts w:hint="default" w:ascii="仿宋_GB2312"/>
          <w:lang w:val="en-US"/>
        </w:rPr>
      </w:pPr>
      <w:r>
        <w:rPr>
          <w:rFonts w:hint="eastAsia" w:ascii="仿宋_GB2312"/>
          <w:lang w:val="en-US" w:eastAsia="zh-CN"/>
        </w:rPr>
        <w:t>中南樾府</w:t>
      </w:r>
    </w:p>
    <w:tbl>
      <w:tblPr>
        <w:tblStyle w:val="9"/>
        <w:tblW w:w="9009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528"/>
        <w:gridCol w:w="1929"/>
        <w:gridCol w:w="850"/>
        <w:gridCol w:w="40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房屋征收项目</w:t>
            </w:r>
          </w:p>
        </w:tc>
        <w:tc>
          <w:tcPr>
            <w:tcW w:w="1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正式签约期第一天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征收公司</w:t>
            </w:r>
          </w:p>
        </w:tc>
        <w:tc>
          <w:tcPr>
            <w:tcW w:w="4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户型抽取套数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㎡/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福州滨海高速一期鹤上北山、沙京段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航建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</w:tr>
    </w:tbl>
    <w:p>
      <w:pPr>
        <w:pStyle w:val="24"/>
        <w:spacing w:line="520" w:lineRule="exact"/>
        <w:ind w:firstLine="640"/>
      </w:pPr>
      <w:r>
        <w:rPr>
          <w:rFonts w:hint="eastAsia"/>
        </w:rPr>
        <w:t>房源分割准备工作：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ascii="仿宋_GB2312"/>
        </w:rPr>
        <w:t>（</w:t>
      </w:r>
      <w:r>
        <w:rPr>
          <w:rFonts w:hint="eastAsia" w:ascii="仿宋_GB2312"/>
        </w:rPr>
        <w:t>一</w:t>
      </w:r>
      <w:r>
        <w:rPr>
          <w:rFonts w:ascii="仿宋_GB2312"/>
        </w:rPr>
        <w:t>）</w:t>
      </w:r>
      <w:r>
        <w:rPr>
          <w:rFonts w:hint="eastAsia" w:ascii="仿宋_GB2312"/>
        </w:rPr>
        <w:t>抽签工具：摇球机。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ascii="仿宋_GB2312"/>
        </w:rPr>
        <w:t>（</w:t>
      </w:r>
      <w:r>
        <w:rPr>
          <w:rFonts w:hint="eastAsia" w:ascii="仿宋_GB2312"/>
        </w:rPr>
        <w:t>二）摇号球：摇号球由被征收人代表和公证处共同检查后方可使用。摇号球上的数字代表相应的楼栋、楼层。如</w:t>
      </w:r>
      <w:r>
        <w:rPr>
          <w:rFonts w:hint="eastAsia" w:ascii="仿宋_GB2312"/>
          <w:lang w:val="en-US" w:eastAsia="zh-CN"/>
        </w:rPr>
        <w:t>7</w:t>
      </w:r>
      <w:r>
        <w:rPr>
          <w:rFonts w:hint="eastAsia" w:ascii="仿宋_GB2312"/>
        </w:rPr>
        <w:t>#、</w:t>
      </w:r>
      <w:r>
        <w:rPr>
          <w:rFonts w:hint="eastAsia" w:ascii="仿宋_GB2312"/>
          <w:lang w:val="en-US" w:eastAsia="zh-CN"/>
        </w:rPr>
        <w:t>8</w:t>
      </w:r>
      <w:r>
        <w:rPr>
          <w:rFonts w:hint="eastAsia" w:ascii="仿宋_GB2312"/>
        </w:rPr>
        <w:t>#楼房源使用“</w:t>
      </w:r>
      <w:r>
        <w:rPr>
          <w:rFonts w:hint="eastAsia" w:ascii="仿宋_GB2312"/>
          <w:lang w:val="en-US" w:eastAsia="zh-CN"/>
        </w:rPr>
        <w:t>7</w:t>
      </w:r>
      <w:r>
        <w:rPr>
          <w:rFonts w:hint="eastAsia" w:ascii="仿宋_GB2312"/>
        </w:rPr>
        <w:t>号球”、“</w:t>
      </w:r>
      <w:r>
        <w:rPr>
          <w:rFonts w:hint="eastAsia" w:ascii="仿宋_GB2312"/>
          <w:lang w:val="en-US" w:eastAsia="zh-CN"/>
        </w:rPr>
        <w:t>8</w:t>
      </w:r>
      <w:r>
        <w:rPr>
          <w:rFonts w:hint="eastAsia" w:ascii="仿宋_GB2312"/>
        </w:rPr>
        <w:t>号球”代表；</w:t>
      </w:r>
      <w:r>
        <w:rPr>
          <w:rFonts w:hint="eastAsia" w:ascii="仿宋_GB2312"/>
          <w:lang w:val="en-US" w:eastAsia="zh-CN"/>
        </w:rPr>
        <w:t>16</w:t>
      </w:r>
      <w:r>
        <w:rPr>
          <w:rFonts w:hint="eastAsia" w:ascii="仿宋_GB2312"/>
        </w:rPr>
        <w:t>层、</w:t>
      </w:r>
      <w:r>
        <w:rPr>
          <w:rFonts w:hint="eastAsia" w:ascii="仿宋_GB2312"/>
          <w:lang w:val="en-US" w:eastAsia="zh-CN"/>
        </w:rPr>
        <w:t>18</w:t>
      </w:r>
      <w:r>
        <w:rPr>
          <w:rFonts w:hint="eastAsia" w:ascii="仿宋_GB2312"/>
        </w:rPr>
        <w:t>层房源使用“</w:t>
      </w:r>
      <w:r>
        <w:rPr>
          <w:rFonts w:hint="eastAsia" w:ascii="仿宋_GB2312"/>
          <w:lang w:val="en-US" w:eastAsia="zh-CN"/>
        </w:rPr>
        <w:t>16</w:t>
      </w:r>
      <w:r>
        <w:rPr>
          <w:rFonts w:hint="eastAsia" w:ascii="仿宋_GB2312"/>
        </w:rPr>
        <w:t>号球”、“</w:t>
      </w:r>
      <w:r>
        <w:rPr>
          <w:rFonts w:hint="eastAsia" w:ascii="仿宋_GB2312"/>
          <w:lang w:val="en-US" w:eastAsia="zh-CN"/>
        </w:rPr>
        <w:t>18</w:t>
      </w:r>
      <w:r>
        <w:rPr>
          <w:rFonts w:hint="eastAsia" w:ascii="仿宋_GB2312"/>
        </w:rPr>
        <w:t>号球”代表等等。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ascii="仿宋_GB2312"/>
        </w:rPr>
        <w:t>（</w:t>
      </w:r>
      <w:r>
        <w:rPr>
          <w:rFonts w:hint="eastAsia" w:ascii="仿宋_GB2312"/>
        </w:rPr>
        <w:t>三）现场房源抽取动态展示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现场布置楼盘表，由征收实施单位工作人员实时展示摇号结果以及房源被抽取情况。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（四）人员职责：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1、抽签人：涉迁村被征收人集体推选的代表。</w:t>
      </w:r>
      <w:r>
        <w:rPr>
          <w:rFonts w:hint="eastAsia"/>
        </w:rPr>
        <w:t>推选的被征收人代表</w:t>
      </w:r>
      <w:r>
        <w:rPr>
          <w:rFonts w:hint="eastAsia" w:ascii="仿宋_GB2312" w:hAnsi="仿宋_GB2312" w:cs="仿宋_GB2312"/>
        </w:rPr>
        <w:t>未到场参加和到场后拒绝抽签的，视为自动放弃自主抽签机会，将在</w:t>
      </w:r>
      <w:r>
        <w:rPr>
          <w:rFonts w:hint="eastAsia" w:ascii="仿宋_GB2312" w:hAnsi="仿宋_GB2312" w:cs="仿宋_GB2312"/>
          <w:lang w:val="en-US" w:eastAsia="zh-CN"/>
        </w:rPr>
        <w:t>见证</w:t>
      </w:r>
      <w:r>
        <w:rPr>
          <w:rFonts w:hint="eastAsia" w:ascii="仿宋_GB2312" w:hAnsi="仿宋_GB2312" w:cs="仿宋_GB2312"/>
        </w:rPr>
        <w:t>人员的</w:t>
      </w:r>
      <w:r>
        <w:rPr>
          <w:rFonts w:hint="eastAsia" w:ascii="仿宋_GB2312" w:hAnsi="仿宋_GB2312" w:cs="仿宋_GB2312"/>
          <w:lang w:val="en-US" w:eastAsia="zh-CN"/>
        </w:rPr>
        <w:t>见证</w:t>
      </w:r>
      <w:r>
        <w:rPr>
          <w:rFonts w:hint="eastAsia" w:ascii="仿宋_GB2312" w:hAnsi="仿宋_GB2312" w:cs="仿宋_GB2312"/>
        </w:rPr>
        <w:t>下，由被征收人所在村（居）干部直接代抽签。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2、记录人：长乐区</w:t>
      </w:r>
      <w:r>
        <w:rPr>
          <w:rFonts w:hint="eastAsia" w:ascii="仿宋_GB2312"/>
          <w:lang w:val="en-US" w:eastAsia="zh-CN"/>
        </w:rPr>
        <w:t>鹤上镇</w:t>
      </w:r>
      <w:r>
        <w:rPr>
          <w:rFonts w:hint="eastAsia" w:ascii="仿宋_GB2312"/>
        </w:rPr>
        <w:t>工作人员。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ascii="仿宋_GB2312"/>
        </w:rPr>
        <w:t>3、</w:t>
      </w:r>
      <w:r>
        <w:rPr>
          <w:rFonts w:hint="eastAsia" w:ascii="仿宋_GB2312"/>
          <w:lang w:val="en-US" w:eastAsia="zh-CN"/>
        </w:rPr>
        <w:t>鹤上镇政府</w:t>
      </w:r>
      <w:r>
        <w:rPr>
          <w:rFonts w:hint="eastAsia" w:ascii="仿宋_GB2312"/>
        </w:rPr>
        <w:t>安排人员做好全程录像，其他相关人员作为现场见证人。</w:t>
      </w:r>
    </w:p>
    <w:p>
      <w:pPr>
        <w:pStyle w:val="24"/>
        <w:spacing w:line="520" w:lineRule="exact"/>
        <w:ind w:firstLine="640"/>
      </w:pPr>
      <w:r>
        <w:rPr>
          <w:rFonts w:hint="eastAsia"/>
        </w:rPr>
        <w:t>房源抽取流程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各户型抽取按整幢为单位，在单次抽取过程中，若该幢的套数小于等于房屋征收项目剩余所需的套数，则该项目必须将该幢全部选走，不得拆分。若该幢的套数大于项目剩余所需的套数，则项目再通过摇号随机抽取该幢楼层，直至该项目该面积段的套数抽完。若抽取楼层的房源套数大于最后应抽取房源套数，则抽签人可直接选择该楼层所需房源，抽取完成后该幢继续作为独立的一幢参加下个项目的抽选，直至该幢所有套数被抽选完。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摇号机中出现少球或多球的情况，则该次摇号球结果作废，需重新摇号。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中南樾府</w:t>
      </w:r>
      <w:r>
        <w:rPr>
          <w:rFonts w:hint="eastAsia" w:ascii="仿宋_GB2312" w:hAnsi="仿宋_GB2312" w:cs="仿宋_GB2312"/>
        </w:rPr>
        <w:t>剩余安置房位于</w:t>
      </w:r>
      <w:r>
        <w:rPr>
          <w:rFonts w:hint="eastAsia" w:ascii="仿宋_GB2312" w:hAnsi="仿宋_GB2312" w:cs="仿宋_GB2312"/>
          <w:lang w:val="en-US" w:eastAsia="zh-CN"/>
        </w:rPr>
        <w:t>7</w:t>
      </w:r>
      <w:r>
        <w:rPr>
          <w:rFonts w:hint="eastAsia" w:ascii="仿宋_GB2312" w:hAnsi="仿宋_GB2312" w:cs="仿宋_GB2312"/>
        </w:rPr>
        <w:t>#</w:t>
      </w: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18</w:t>
      </w:r>
      <w:r>
        <w:rPr>
          <w:rFonts w:hint="eastAsia" w:ascii="仿宋_GB2312" w:hAnsi="仿宋_GB2312" w:cs="仿宋_GB2312"/>
        </w:rPr>
        <w:t>F</w:t>
      </w:r>
      <w:r>
        <w:rPr>
          <w:rFonts w:hint="eastAsia" w:ascii="仿宋_GB2312" w:hAnsi="仿宋_GB2312" w:cs="仿宋_GB2312"/>
          <w:lang w:eastAsia="zh-CN"/>
        </w:rPr>
        <w:t>）</w:t>
      </w:r>
      <w:r>
        <w:rPr>
          <w:rFonts w:hint="eastAsia" w:ascii="仿宋_GB2312" w:hAnsi="仿宋_GB2312" w:cs="仿宋_GB2312"/>
        </w:rPr>
        <w:t>、</w:t>
      </w:r>
      <w:r>
        <w:rPr>
          <w:rFonts w:hint="eastAsia" w:ascii="仿宋_GB2312" w:hAnsi="仿宋_GB2312" w:cs="仿宋_GB2312"/>
          <w:lang w:val="en-US" w:eastAsia="zh-CN"/>
        </w:rPr>
        <w:t>8</w:t>
      </w:r>
      <w:r>
        <w:rPr>
          <w:rFonts w:hint="eastAsia" w:ascii="仿宋_GB2312" w:hAnsi="仿宋_GB2312" w:cs="仿宋_GB2312"/>
        </w:rPr>
        <w:t>#</w:t>
      </w: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1F</w:t>
      </w:r>
      <w:r>
        <w:rPr>
          <w:rFonts w:hint="eastAsia" w:ascii="仿宋_GB2312" w:hAnsi="仿宋_GB2312" w:cs="仿宋_GB2312"/>
          <w:lang w:eastAsia="zh-CN"/>
        </w:rPr>
        <w:t>、</w:t>
      </w:r>
      <w:r>
        <w:rPr>
          <w:rFonts w:hint="eastAsia" w:ascii="仿宋_GB2312" w:hAnsi="仿宋_GB2312" w:cs="仿宋_GB2312"/>
          <w:lang w:val="en-US" w:eastAsia="zh-CN"/>
        </w:rPr>
        <w:t>7F</w:t>
      </w:r>
      <w:r>
        <w:rPr>
          <w:rFonts w:hint="eastAsia" w:ascii="仿宋_GB2312" w:hAnsi="仿宋_GB2312" w:cs="仿宋_GB2312"/>
          <w:lang w:eastAsia="zh-CN"/>
        </w:rPr>
        <w:t>、</w:t>
      </w:r>
      <w:r>
        <w:rPr>
          <w:rFonts w:hint="eastAsia" w:ascii="仿宋_GB2312" w:hAnsi="仿宋_GB2312" w:cs="仿宋_GB2312"/>
          <w:lang w:val="en-US" w:eastAsia="zh-CN"/>
        </w:rPr>
        <w:t>11F</w:t>
      </w:r>
      <w:r>
        <w:rPr>
          <w:rFonts w:hint="eastAsia" w:ascii="仿宋_GB2312" w:hAnsi="仿宋_GB2312" w:cs="仿宋_GB2312"/>
          <w:lang w:eastAsia="zh-CN"/>
        </w:rPr>
        <w:t>、</w:t>
      </w:r>
      <w:r>
        <w:rPr>
          <w:rFonts w:hint="eastAsia" w:ascii="仿宋_GB2312" w:hAnsi="仿宋_GB2312" w:cs="仿宋_GB2312"/>
          <w:lang w:val="en-US" w:eastAsia="zh-CN"/>
        </w:rPr>
        <w:t>16F</w:t>
      </w:r>
      <w:r>
        <w:rPr>
          <w:rFonts w:hint="eastAsia" w:ascii="仿宋_GB2312" w:hAnsi="仿宋_GB2312" w:cs="仿宋_GB2312"/>
          <w:lang w:eastAsia="zh-CN"/>
        </w:rPr>
        <w:t>、</w:t>
      </w:r>
      <w:r>
        <w:rPr>
          <w:rFonts w:hint="eastAsia" w:ascii="仿宋_GB2312" w:hAnsi="仿宋_GB2312" w:cs="仿宋_GB2312"/>
          <w:lang w:val="en-US" w:eastAsia="zh-CN"/>
        </w:rPr>
        <w:t>18F</w:t>
      </w:r>
      <w:r>
        <w:rPr>
          <w:rFonts w:hint="eastAsia" w:ascii="仿宋_GB2312" w:hAnsi="仿宋_GB2312" w:cs="仿宋_GB2312"/>
          <w:lang w:eastAsia="zh-CN"/>
        </w:rPr>
        <w:t>）</w:t>
      </w:r>
      <w:r>
        <w:rPr>
          <w:rFonts w:hint="eastAsia" w:ascii="仿宋_GB2312" w:hAnsi="仿宋_GB2312" w:cs="仿宋_GB2312"/>
        </w:rPr>
        <w:t>、</w:t>
      </w:r>
      <w:r>
        <w:rPr>
          <w:rFonts w:hint="eastAsia" w:ascii="仿宋_GB2312" w:hAnsi="仿宋_GB2312" w:cs="仿宋_GB2312"/>
          <w:lang w:val="en-US" w:eastAsia="zh-CN"/>
        </w:rPr>
        <w:t>10</w:t>
      </w:r>
      <w:r>
        <w:rPr>
          <w:rFonts w:hint="eastAsia" w:ascii="仿宋_GB2312" w:hAnsi="仿宋_GB2312" w:cs="仿宋_GB2312"/>
        </w:rPr>
        <w:t>#</w:t>
      </w: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2－3</w:t>
      </w:r>
      <w:r>
        <w:rPr>
          <w:rFonts w:hint="eastAsia" w:ascii="仿宋_GB2312" w:hAnsi="仿宋_GB2312" w:cs="仿宋_GB2312"/>
        </w:rPr>
        <w:t>F、</w:t>
      </w:r>
      <w:r>
        <w:rPr>
          <w:rFonts w:hint="eastAsia" w:ascii="仿宋_GB2312" w:hAnsi="仿宋_GB2312" w:cs="仿宋_GB2312"/>
          <w:lang w:eastAsia="zh-CN"/>
        </w:rPr>
        <w:t>５</w:t>
      </w:r>
      <w:r>
        <w:rPr>
          <w:rFonts w:hint="eastAsia" w:ascii="仿宋_GB2312" w:hAnsi="仿宋_GB2312" w:cs="仿宋_GB2312"/>
          <w:lang w:val="en-US" w:eastAsia="zh-CN"/>
        </w:rPr>
        <w:t>F</w:t>
      </w:r>
      <w:r>
        <w:rPr>
          <w:rFonts w:hint="eastAsia" w:ascii="仿宋_GB2312" w:hAnsi="仿宋_GB2312" w:cs="仿宋_GB2312"/>
        </w:rPr>
        <w:t>、</w:t>
      </w:r>
      <w:r>
        <w:rPr>
          <w:rFonts w:hint="eastAsia" w:ascii="仿宋_GB2312" w:hAnsi="仿宋_GB2312" w:cs="仿宋_GB2312"/>
          <w:lang w:val="en-US" w:eastAsia="zh-CN"/>
        </w:rPr>
        <w:t>9F</w:t>
      </w:r>
      <w:r>
        <w:rPr>
          <w:rFonts w:hint="eastAsia" w:ascii="仿宋_GB2312" w:hAnsi="仿宋_GB2312" w:cs="仿宋_GB2312"/>
        </w:rPr>
        <w:t>、</w:t>
      </w:r>
      <w:r>
        <w:rPr>
          <w:rFonts w:hint="eastAsia" w:ascii="仿宋_GB2312" w:hAnsi="仿宋_GB2312" w:cs="仿宋_GB2312"/>
          <w:lang w:val="en-US" w:eastAsia="zh-CN"/>
        </w:rPr>
        <w:t>13-14F</w:t>
      </w:r>
      <w:r>
        <w:rPr>
          <w:rFonts w:hint="eastAsia" w:ascii="仿宋_GB2312" w:hAnsi="仿宋_GB2312" w:cs="仿宋_GB2312"/>
          <w:lang w:eastAsia="zh-CN"/>
        </w:rPr>
        <w:t>）</w:t>
      </w:r>
      <w:r>
        <w:rPr>
          <w:rFonts w:hint="eastAsia" w:ascii="仿宋_GB2312" w:hAnsi="仿宋_GB2312" w:cs="仿宋_GB2312"/>
          <w:lang w:val="en-US" w:eastAsia="zh-CN"/>
        </w:rPr>
        <w:t>楼</w:t>
      </w:r>
      <w:r>
        <w:rPr>
          <w:rFonts w:hint="eastAsia" w:ascii="仿宋_GB2312" w:hAnsi="仿宋_GB2312" w:cs="仿宋_GB2312"/>
          <w:lang w:eastAsia="zh-CN"/>
        </w:rPr>
        <w:t>，</w:t>
      </w:r>
      <w:r>
        <w:rPr>
          <w:rFonts w:hint="eastAsia" w:ascii="仿宋_GB2312" w:hAnsi="仿宋_GB2312" w:cs="仿宋_GB2312"/>
          <w:lang w:val="en-US" w:eastAsia="zh-CN"/>
        </w:rPr>
        <w:t>直接</w:t>
      </w:r>
      <w:r>
        <w:rPr>
          <w:rFonts w:hint="eastAsia" w:ascii="仿宋_GB2312" w:hAnsi="仿宋_GB2312" w:cs="仿宋_GB2312"/>
        </w:rPr>
        <w:t>抽取户型</w:t>
      </w:r>
      <w:r>
        <w:rPr>
          <w:rFonts w:hint="eastAsia" w:ascii="仿宋_GB2312" w:hAnsi="仿宋_GB2312" w:cs="仿宋_GB2312"/>
          <w:lang w:val="en-US" w:eastAsia="zh-CN"/>
        </w:rPr>
        <w:t>135</w:t>
      </w:r>
      <w:r>
        <w:rPr>
          <w:rFonts w:hint="eastAsia" w:ascii="仿宋_GB2312" w:hAnsi="仿宋_GB2312" w:cs="仿宋_GB2312"/>
        </w:rPr>
        <w:t>㎡。其中：</w:t>
      </w:r>
    </w:p>
    <w:p>
      <w:pPr>
        <w:spacing w:line="520" w:lineRule="exact"/>
        <w:ind w:firstLine="640" w:firstLineChars="200"/>
        <w:rPr>
          <w:rFonts w:hint="default" w:ascii="仿宋_GB2312" w:hAnsi="仿宋_GB2312" w:cs="仿宋_GB2312"/>
          <w:lang w:val="en-US"/>
        </w:rPr>
      </w:pPr>
      <w:r>
        <w:rPr>
          <w:rFonts w:hint="eastAsia" w:ascii="仿宋_GB2312" w:hAnsi="仿宋_GB2312" w:cs="仿宋_GB2312"/>
        </w:rPr>
        <w:t>（</w:t>
      </w:r>
      <w:r>
        <w:rPr>
          <w:rFonts w:ascii="仿宋_GB2312" w:hAnsi="仿宋_GB2312" w:cs="仿宋_GB2312"/>
        </w:rPr>
        <w:t>1</w:t>
      </w:r>
      <w:r>
        <w:rPr>
          <w:rFonts w:hint="eastAsia" w:ascii="仿宋_GB2312" w:hAnsi="仿宋_GB2312" w:cs="仿宋_GB2312"/>
        </w:rPr>
        <w:t>）</w:t>
      </w:r>
      <w:r>
        <w:rPr>
          <w:rFonts w:hint="eastAsia" w:ascii="仿宋_GB2312" w:hAnsi="仿宋_GB2312" w:cs="仿宋_GB2312"/>
          <w:lang w:val="en-US" w:eastAsia="zh-CN"/>
        </w:rPr>
        <w:t>135</w:t>
      </w:r>
      <w:r>
        <w:rPr>
          <w:rFonts w:hint="eastAsia" w:ascii="仿宋_GB2312" w:hAnsi="仿宋_GB2312" w:cs="仿宋_GB2312"/>
        </w:rPr>
        <w:t>㎡户型</w:t>
      </w:r>
      <w:r>
        <w:rPr>
          <w:rFonts w:hint="eastAsia" w:ascii="仿宋_GB2312" w:hAnsi="仿宋_GB2312" w:cs="仿宋_GB2312"/>
          <w:lang w:val="en-US" w:eastAsia="zh-CN"/>
        </w:rPr>
        <w:t>位于8#楼（1F）仅1套、8#楼（7F</w:t>
      </w:r>
      <w:r>
        <w:rPr>
          <w:rFonts w:hint="eastAsia" w:ascii="仿宋_GB2312" w:hAnsi="仿宋_GB2312" w:cs="仿宋_GB2312"/>
          <w:lang w:eastAsia="zh-CN"/>
        </w:rPr>
        <w:t>、</w:t>
      </w:r>
      <w:r>
        <w:rPr>
          <w:rFonts w:hint="eastAsia" w:ascii="仿宋_GB2312" w:hAnsi="仿宋_GB2312" w:cs="仿宋_GB2312"/>
          <w:lang w:val="en-US" w:eastAsia="zh-CN"/>
        </w:rPr>
        <w:t>11F</w:t>
      </w:r>
      <w:r>
        <w:rPr>
          <w:rFonts w:hint="eastAsia" w:ascii="仿宋_GB2312" w:hAnsi="仿宋_GB2312" w:cs="仿宋_GB2312"/>
          <w:lang w:eastAsia="zh-CN"/>
        </w:rPr>
        <w:t>、</w:t>
      </w:r>
      <w:r>
        <w:rPr>
          <w:rFonts w:hint="eastAsia" w:ascii="仿宋_GB2312" w:hAnsi="仿宋_GB2312" w:cs="仿宋_GB2312"/>
          <w:lang w:val="en-US" w:eastAsia="zh-CN"/>
        </w:rPr>
        <w:t>16F</w:t>
      </w:r>
      <w:r>
        <w:rPr>
          <w:rFonts w:hint="eastAsia" w:ascii="仿宋_GB2312" w:hAnsi="仿宋_GB2312" w:cs="仿宋_GB2312"/>
          <w:lang w:eastAsia="zh-CN"/>
        </w:rPr>
        <w:t>、</w:t>
      </w:r>
      <w:r>
        <w:rPr>
          <w:rFonts w:hint="eastAsia" w:ascii="仿宋_GB2312" w:hAnsi="仿宋_GB2312" w:cs="仿宋_GB2312"/>
          <w:lang w:val="en-US" w:eastAsia="zh-CN"/>
        </w:rPr>
        <w:t>18F）每层２套。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  <w:color w:val="0000FF"/>
        </w:rPr>
      </w:pPr>
      <w:r>
        <w:rPr>
          <w:rFonts w:hint="eastAsia" w:ascii="仿宋_GB2312" w:hAnsi="仿宋_GB2312" w:cs="仿宋_GB2312"/>
        </w:rPr>
        <w:t>参加抽取的房屋征收项目为：</w:t>
      </w:r>
      <w:r>
        <w:rPr>
          <w:rFonts w:hint="eastAsia" w:ascii="方正小标宋简体" w:hAnsi="方正小标宋简体" w:cs="方正小标宋简体"/>
        </w:rPr>
        <w:t>福州滨海新城高速公路(一期)鹤上北山、沙京片区项目</w:t>
      </w:r>
      <w:r>
        <w:rPr>
          <w:rFonts w:hint="eastAsia" w:ascii="仿宋_GB2312" w:hAnsi="仿宋_GB2312" w:cs="仿宋_GB2312"/>
        </w:rPr>
        <w:t>。</w:t>
      </w: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现场工作人员根据房源抽取实时结果，及时在房源展示上进行标记。每个楼盘抽签完成后，抽签人、见证人、记录人应在对应楼盘《安置房源抽签结果登记确认表》上签字确认。相关参会单位及涉征村代表应在前述各征迁项目《安置房源分割结果登记确认表》上签字确认，完成房源分割工作。</w:t>
      </w:r>
    </w:p>
    <w:p>
      <w:pPr>
        <w:pStyle w:val="24"/>
        <w:spacing w:line="520" w:lineRule="exact"/>
        <w:ind w:firstLine="640"/>
      </w:pPr>
      <w:r>
        <w:rPr>
          <w:rFonts w:hint="eastAsia"/>
          <w:lang w:eastAsia="zh-CN"/>
        </w:rPr>
        <w:t>其他相关</w:t>
      </w:r>
      <w:r>
        <w:rPr>
          <w:rFonts w:hint="eastAsia"/>
        </w:rPr>
        <w:t>工作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hint="eastAsia" w:ascii="仿宋_GB2312"/>
          <w:lang w:val="en-US" w:eastAsia="zh-CN"/>
        </w:rPr>
        <w:t>住建局</w:t>
      </w:r>
      <w:r>
        <w:rPr>
          <w:rFonts w:hint="eastAsia" w:ascii="仿宋_GB2312"/>
        </w:rPr>
        <w:t>安排</w:t>
      </w:r>
      <w:r>
        <w:rPr>
          <w:rFonts w:hint="eastAsia" w:ascii="仿宋_GB2312"/>
          <w:lang w:val="en-US" w:eastAsia="zh-CN"/>
        </w:rPr>
        <w:t>鹤上镇</w:t>
      </w:r>
      <w:r>
        <w:rPr>
          <w:rFonts w:hint="eastAsia" w:ascii="仿宋_GB2312"/>
        </w:rPr>
        <w:t>做好现场布置工作。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chineseCountingThousand"/>
      <w:pStyle w:val="24"/>
      <w:suff w:val="nothing"/>
      <w:lvlText w:val="%1、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6"/>
    <w:multiLevelType w:val="multilevel"/>
    <w:tmpl w:val="00000006"/>
    <w:lvl w:ilvl="0" w:tentative="0">
      <w:start w:val="1"/>
      <w:numFmt w:val="chineseCountingThousand"/>
      <w:pStyle w:val="23"/>
      <w:suff w:val="nothing"/>
      <w:lvlText w:val="（%1）"/>
      <w:lvlJc w:val="left"/>
      <w:pPr>
        <w:ind w:left="0" w:firstLine="4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2">
    <w:nsid w:val="00000007"/>
    <w:multiLevelType w:val="multilevel"/>
    <w:tmpl w:val="00000007"/>
    <w:lvl w:ilvl="0" w:tentative="0">
      <w:start w:val="1"/>
      <w:numFmt w:val="decimal"/>
      <w:pStyle w:val="20"/>
      <w:suff w:val="nothing"/>
      <w:lvlText w:val="%1."/>
      <w:lvlJc w:val="left"/>
      <w:pPr>
        <w:ind w:left="0" w:firstLine="0"/>
      </w:pPr>
      <w:rPr>
        <w:rFonts w:hint="eastAsia" w:eastAsia="仿宋_GB2312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>
    <w:nsid w:val="0000000A"/>
    <w:multiLevelType w:val="multilevel"/>
    <w:tmpl w:val="0000000A"/>
    <w:lvl w:ilvl="0" w:tentative="0">
      <w:start w:val="1"/>
      <w:numFmt w:val="decimal"/>
      <w:pStyle w:val="13"/>
      <w:suff w:val="nothing"/>
      <w:lvlText w:val="（%1）"/>
      <w:lvlJc w:val="left"/>
      <w:pPr>
        <w:ind w:left="0" w:firstLine="2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4">
    <w:nsid w:val="7C920E04"/>
    <w:multiLevelType w:val="singleLevel"/>
    <w:tmpl w:val="7C920E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yMjNhY2JjY2E4MTIzOGIzM2ExMzUyMGQ2ZDM1OGEifQ=="/>
  </w:docVars>
  <w:rsids>
    <w:rsidRoot w:val="009D49A8"/>
    <w:rsid w:val="000223B5"/>
    <w:rsid w:val="00037F2B"/>
    <w:rsid w:val="000434D4"/>
    <w:rsid w:val="000466E1"/>
    <w:rsid w:val="000678D7"/>
    <w:rsid w:val="0007404E"/>
    <w:rsid w:val="00082565"/>
    <w:rsid w:val="00090411"/>
    <w:rsid w:val="000A20DE"/>
    <w:rsid w:val="000B38D2"/>
    <w:rsid w:val="000B5C77"/>
    <w:rsid w:val="000C657B"/>
    <w:rsid w:val="000C7388"/>
    <w:rsid w:val="00114306"/>
    <w:rsid w:val="00123A76"/>
    <w:rsid w:val="001B0144"/>
    <w:rsid w:val="001C1301"/>
    <w:rsid w:val="001D6295"/>
    <w:rsid w:val="001E303C"/>
    <w:rsid w:val="002457B0"/>
    <w:rsid w:val="002560F0"/>
    <w:rsid w:val="00271D3A"/>
    <w:rsid w:val="002727DB"/>
    <w:rsid w:val="002866E0"/>
    <w:rsid w:val="002A2140"/>
    <w:rsid w:val="002B2EE4"/>
    <w:rsid w:val="002C3365"/>
    <w:rsid w:val="002E1438"/>
    <w:rsid w:val="002E7EF2"/>
    <w:rsid w:val="00327865"/>
    <w:rsid w:val="00335035"/>
    <w:rsid w:val="003406CD"/>
    <w:rsid w:val="003556D3"/>
    <w:rsid w:val="0036264C"/>
    <w:rsid w:val="00364876"/>
    <w:rsid w:val="00366AAA"/>
    <w:rsid w:val="003801E1"/>
    <w:rsid w:val="00393C5D"/>
    <w:rsid w:val="003C5223"/>
    <w:rsid w:val="003C6EBA"/>
    <w:rsid w:val="003F68AC"/>
    <w:rsid w:val="004002A1"/>
    <w:rsid w:val="004018E2"/>
    <w:rsid w:val="0041045B"/>
    <w:rsid w:val="004218F6"/>
    <w:rsid w:val="00437941"/>
    <w:rsid w:val="00474A66"/>
    <w:rsid w:val="004F09C3"/>
    <w:rsid w:val="005147E1"/>
    <w:rsid w:val="005419D7"/>
    <w:rsid w:val="00544300"/>
    <w:rsid w:val="005445DB"/>
    <w:rsid w:val="00550DE6"/>
    <w:rsid w:val="00554E82"/>
    <w:rsid w:val="00577DBC"/>
    <w:rsid w:val="005A7304"/>
    <w:rsid w:val="005C4649"/>
    <w:rsid w:val="00603A9E"/>
    <w:rsid w:val="006165F1"/>
    <w:rsid w:val="00621990"/>
    <w:rsid w:val="006276FC"/>
    <w:rsid w:val="00650D26"/>
    <w:rsid w:val="00662CE2"/>
    <w:rsid w:val="006C77DD"/>
    <w:rsid w:val="006D605A"/>
    <w:rsid w:val="006E2CF5"/>
    <w:rsid w:val="00705A78"/>
    <w:rsid w:val="007210FF"/>
    <w:rsid w:val="00727F58"/>
    <w:rsid w:val="00776B24"/>
    <w:rsid w:val="007804E8"/>
    <w:rsid w:val="007A0094"/>
    <w:rsid w:val="007B29F0"/>
    <w:rsid w:val="007E1356"/>
    <w:rsid w:val="00805F46"/>
    <w:rsid w:val="008140A8"/>
    <w:rsid w:val="008169D7"/>
    <w:rsid w:val="0083072B"/>
    <w:rsid w:val="008413B9"/>
    <w:rsid w:val="008458EA"/>
    <w:rsid w:val="008668A5"/>
    <w:rsid w:val="00870C88"/>
    <w:rsid w:val="0087618E"/>
    <w:rsid w:val="008B5511"/>
    <w:rsid w:val="00924108"/>
    <w:rsid w:val="0093338D"/>
    <w:rsid w:val="00934C35"/>
    <w:rsid w:val="00936AD6"/>
    <w:rsid w:val="009577DD"/>
    <w:rsid w:val="009635A1"/>
    <w:rsid w:val="00967070"/>
    <w:rsid w:val="00975808"/>
    <w:rsid w:val="00976F7D"/>
    <w:rsid w:val="009944A8"/>
    <w:rsid w:val="009A73E1"/>
    <w:rsid w:val="009B6FA0"/>
    <w:rsid w:val="009C4C2B"/>
    <w:rsid w:val="009D49A8"/>
    <w:rsid w:val="009D5CE0"/>
    <w:rsid w:val="009E5E81"/>
    <w:rsid w:val="009F5BAF"/>
    <w:rsid w:val="00A335A5"/>
    <w:rsid w:val="00A47482"/>
    <w:rsid w:val="00A52F06"/>
    <w:rsid w:val="00A66C15"/>
    <w:rsid w:val="00A9772D"/>
    <w:rsid w:val="00AA3E07"/>
    <w:rsid w:val="00AB3170"/>
    <w:rsid w:val="00AB3D1B"/>
    <w:rsid w:val="00AB4D37"/>
    <w:rsid w:val="00AC1D44"/>
    <w:rsid w:val="00AD3D1D"/>
    <w:rsid w:val="00AE20CD"/>
    <w:rsid w:val="00AF6E4C"/>
    <w:rsid w:val="00B30ED7"/>
    <w:rsid w:val="00B34B54"/>
    <w:rsid w:val="00B638A0"/>
    <w:rsid w:val="00BE0A8E"/>
    <w:rsid w:val="00BE3EBC"/>
    <w:rsid w:val="00BE4EA1"/>
    <w:rsid w:val="00BF1E79"/>
    <w:rsid w:val="00BF4015"/>
    <w:rsid w:val="00C07AAE"/>
    <w:rsid w:val="00C221BA"/>
    <w:rsid w:val="00C3451C"/>
    <w:rsid w:val="00C356EC"/>
    <w:rsid w:val="00C44E90"/>
    <w:rsid w:val="00C51F3B"/>
    <w:rsid w:val="00C524C0"/>
    <w:rsid w:val="00C73C1E"/>
    <w:rsid w:val="00C828AB"/>
    <w:rsid w:val="00CA1D9E"/>
    <w:rsid w:val="00CE5671"/>
    <w:rsid w:val="00CE6DD7"/>
    <w:rsid w:val="00CE7088"/>
    <w:rsid w:val="00CF3F64"/>
    <w:rsid w:val="00D0349E"/>
    <w:rsid w:val="00D03D3A"/>
    <w:rsid w:val="00D05F91"/>
    <w:rsid w:val="00D5743B"/>
    <w:rsid w:val="00D65C04"/>
    <w:rsid w:val="00D74FD5"/>
    <w:rsid w:val="00D772E3"/>
    <w:rsid w:val="00D777DC"/>
    <w:rsid w:val="00D85906"/>
    <w:rsid w:val="00DA0B34"/>
    <w:rsid w:val="00DB052C"/>
    <w:rsid w:val="00DB342B"/>
    <w:rsid w:val="00DD311C"/>
    <w:rsid w:val="00DF2A60"/>
    <w:rsid w:val="00E14B4D"/>
    <w:rsid w:val="00E21C78"/>
    <w:rsid w:val="00E34F6B"/>
    <w:rsid w:val="00E6135E"/>
    <w:rsid w:val="00E72AEC"/>
    <w:rsid w:val="00E845EB"/>
    <w:rsid w:val="00E96C11"/>
    <w:rsid w:val="00EA7D7A"/>
    <w:rsid w:val="00EB3053"/>
    <w:rsid w:val="00EC029A"/>
    <w:rsid w:val="00EC4F55"/>
    <w:rsid w:val="00F055FC"/>
    <w:rsid w:val="00F271DF"/>
    <w:rsid w:val="00F3405F"/>
    <w:rsid w:val="00F34F91"/>
    <w:rsid w:val="00F35E6E"/>
    <w:rsid w:val="00F42D4A"/>
    <w:rsid w:val="00F43D12"/>
    <w:rsid w:val="00F542BF"/>
    <w:rsid w:val="00F56D8F"/>
    <w:rsid w:val="00F60C81"/>
    <w:rsid w:val="00F77E34"/>
    <w:rsid w:val="00FA487D"/>
    <w:rsid w:val="00FF1FDE"/>
    <w:rsid w:val="06140DAE"/>
    <w:rsid w:val="061C25CF"/>
    <w:rsid w:val="078D33BE"/>
    <w:rsid w:val="07C85AE2"/>
    <w:rsid w:val="0AE634F2"/>
    <w:rsid w:val="0C64726D"/>
    <w:rsid w:val="0E566698"/>
    <w:rsid w:val="11AA696E"/>
    <w:rsid w:val="11B25574"/>
    <w:rsid w:val="164D52F3"/>
    <w:rsid w:val="20C03C77"/>
    <w:rsid w:val="21835C59"/>
    <w:rsid w:val="22105656"/>
    <w:rsid w:val="242D51D9"/>
    <w:rsid w:val="29C53679"/>
    <w:rsid w:val="304F1C13"/>
    <w:rsid w:val="3B675F85"/>
    <w:rsid w:val="3E4343B3"/>
    <w:rsid w:val="403B05EF"/>
    <w:rsid w:val="48AA0E7A"/>
    <w:rsid w:val="532B3F3B"/>
    <w:rsid w:val="54FB0459"/>
    <w:rsid w:val="5B34533B"/>
    <w:rsid w:val="5C161D8C"/>
    <w:rsid w:val="63486ED4"/>
    <w:rsid w:val="70356605"/>
    <w:rsid w:val="75F41B11"/>
    <w:rsid w:val="7CCD0F06"/>
    <w:rsid w:val="7E9C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" w:semiHidden="0" w:name="header"/>
    <w:lsdException w:qFormat="1" w:unhideWhenUsed="0" w:uiPriority="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7"/>
    <w:autoRedefine/>
    <w:qFormat/>
    <w:uiPriority w:val="9"/>
    <w:pPr>
      <w:keepNext/>
      <w:keepLines/>
      <w:spacing w:before="260" w:after="260" w:line="416" w:lineRule="atLeast"/>
      <w:outlineLvl w:val="2"/>
    </w:pPr>
    <w:rPr>
      <w:b/>
      <w:bCs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5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21"/>
    <w:autoRedefine/>
    <w:qFormat/>
    <w:uiPriority w:val="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28"/>
      <w:szCs w:val="18"/>
    </w:rPr>
  </w:style>
  <w:style w:type="paragraph" w:styleId="6">
    <w:name w:val="header"/>
    <w:basedOn w:val="1"/>
    <w:link w:val="18"/>
    <w:autoRedefine/>
    <w:qFormat/>
    <w:uiPriority w:val="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Subtitle"/>
    <w:basedOn w:val="8"/>
    <w:next w:val="1"/>
    <w:link w:val="16"/>
    <w:autoRedefine/>
    <w:qFormat/>
    <w:uiPriority w:val="1"/>
    <w:pPr>
      <w:outlineLvl w:val="1"/>
    </w:pPr>
    <w:rPr>
      <w:rFonts w:eastAsia="楷体_GB2312"/>
      <w:kern w:val="28"/>
      <w:sz w:val="32"/>
    </w:rPr>
  </w:style>
  <w:style w:type="paragraph" w:styleId="8">
    <w:name w:val="Title"/>
    <w:basedOn w:val="2"/>
    <w:next w:val="1"/>
    <w:link w:val="14"/>
    <w:autoRedefine/>
    <w:qFormat/>
    <w:uiPriority w:val="0"/>
    <w:pPr>
      <w:spacing w:before="0" w:after="0" w:line="560" w:lineRule="exact"/>
      <w:jc w:val="center"/>
    </w:pPr>
    <w:rPr>
      <w:rFonts w:ascii="华文中宋" w:hAnsi="Cambria" w:eastAsia="方正小标宋简体"/>
      <w:b w:val="0"/>
      <w:kern w:val="2"/>
      <w:sz w:val="36"/>
      <w:szCs w:val="32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四级编号 Char"/>
    <w:link w:val="13"/>
    <w:autoRedefine/>
    <w:qFormat/>
    <w:uiPriority w:val="5"/>
    <w:rPr>
      <w:rFonts w:ascii="Times New Roman" w:hAnsi="Times New Roman" w:eastAsia="仿宋_GB2312"/>
      <w:b/>
      <w:kern w:val="2"/>
      <w:sz w:val="32"/>
      <w:szCs w:val="32"/>
    </w:rPr>
  </w:style>
  <w:style w:type="paragraph" w:customStyle="1" w:styleId="13">
    <w:name w:val="四级编号"/>
    <w:basedOn w:val="1"/>
    <w:link w:val="12"/>
    <w:autoRedefine/>
    <w:qFormat/>
    <w:uiPriority w:val="5"/>
    <w:pPr>
      <w:numPr>
        <w:ilvl w:val="0"/>
        <w:numId w:val="1"/>
      </w:numPr>
      <w:ind w:firstLineChars="200"/>
      <w:outlineLvl w:val="5"/>
    </w:pPr>
    <w:rPr>
      <w:b/>
    </w:rPr>
  </w:style>
  <w:style w:type="character" w:customStyle="1" w:styleId="14">
    <w:name w:val="标题 字符"/>
    <w:link w:val="8"/>
    <w:autoRedefine/>
    <w:qFormat/>
    <w:uiPriority w:val="0"/>
    <w:rPr>
      <w:rFonts w:ascii="华文中宋" w:hAnsi="Cambria" w:eastAsia="方正小标宋简体"/>
      <w:bCs/>
      <w:kern w:val="2"/>
      <w:sz w:val="36"/>
      <w:szCs w:val="32"/>
    </w:rPr>
  </w:style>
  <w:style w:type="character" w:customStyle="1" w:styleId="15">
    <w:name w:val="标题 1 字符"/>
    <w:link w:val="2"/>
    <w:autoRedefine/>
    <w:qFormat/>
    <w:uiPriority w:val="9"/>
    <w:rPr>
      <w:rFonts w:ascii="仿宋_GB2312" w:eastAsia="仿宋_GB2312"/>
      <w:b/>
      <w:bCs/>
      <w:kern w:val="44"/>
      <w:sz w:val="44"/>
      <w:szCs w:val="44"/>
    </w:rPr>
  </w:style>
  <w:style w:type="character" w:customStyle="1" w:styleId="16">
    <w:name w:val="副标题 字符"/>
    <w:link w:val="7"/>
    <w:autoRedefine/>
    <w:qFormat/>
    <w:uiPriority w:val="1"/>
    <w:rPr>
      <w:rFonts w:ascii="华文中宋" w:hAnsi="Cambria" w:eastAsia="楷体_GB2312"/>
      <w:bCs/>
      <w:kern w:val="28"/>
      <w:sz w:val="32"/>
      <w:szCs w:val="32"/>
    </w:rPr>
  </w:style>
  <w:style w:type="character" w:customStyle="1" w:styleId="17">
    <w:name w:val="标题 3 字符"/>
    <w:link w:val="3"/>
    <w:autoRedefine/>
    <w:qFormat/>
    <w:uiPriority w:val="9"/>
    <w:rPr>
      <w:rFonts w:ascii="仿宋_GB2312" w:eastAsia="仿宋_GB2312"/>
      <w:b/>
      <w:bCs/>
      <w:kern w:val="2"/>
      <w:sz w:val="32"/>
      <w:szCs w:val="32"/>
    </w:rPr>
  </w:style>
  <w:style w:type="character" w:customStyle="1" w:styleId="18">
    <w:name w:val="页眉 字符"/>
    <w:link w:val="6"/>
    <w:autoRedefine/>
    <w:qFormat/>
    <w:uiPriority w:val="9"/>
    <w:rPr>
      <w:rFonts w:ascii="仿宋_GB2312" w:eastAsia="仿宋_GB2312"/>
      <w:kern w:val="2"/>
      <w:sz w:val="18"/>
      <w:szCs w:val="18"/>
    </w:rPr>
  </w:style>
  <w:style w:type="character" w:customStyle="1" w:styleId="19">
    <w:name w:val="三级编号 Char"/>
    <w:link w:val="20"/>
    <w:autoRedefine/>
    <w:qFormat/>
    <w:uiPriority w:val="4"/>
    <w:rPr>
      <w:rFonts w:ascii="Times New Roman" w:hAnsi="Times New Roman" w:eastAsia="仿宋_GB2312"/>
      <w:b/>
      <w:kern w:val="2"/>
      <w:sz w:val="32"/>
      <w:szCs w:val="32"/>
    </w:rPr>
  </w:style>
  <w:style w:type="paragraph" w:customStyle="1" w:styleId="20">
    <w:name w:val="三级编号"/>
    <w:basedOn w:val="1"/>
    <w:link w:val="19"/>
    <w:autoRedefine/>
    <w:qFormat/>
    <w:uiPriority w:val="4"/>
    <w:pPr>
      <w:numPr>
        <w:ilvl w:val="0"/>
        <w:numId w:val="2"/>
      </w:numPr>
      <w:ind w:firstLine="200" w:firstLineChars="200"/>
      <w:outlineLvl w:val="4"/>
    </w:pPr>
    <w:rPr>
      <w:b/>
    </w:rPr>
  </w:style>
  <w:style w:type="character" w:customStyle="1" w:styleId="21">
    <w:name w:val="页脚 字符"/>
    <w:link w:val="5"/>
    <w:autoRedefine/>
    <w:qFormat/>
    <w:uiPriority w:val="9"/>
    <w:rPr>
      <w:rFonts w:ascii="Times New Roman" w:hAnsi="Times New Roman" w:eastAsia="仿宋_GB2312"/>
      <w:kern w:val="2"/>
      <w:sz w:val="28"/>
      <w:szCs w:val="18"/>
    </w:rPr>
  </w:style>
  <w:style w:type="paragraph" w:customStyle="1" w:styleId="22">
    <w:name w:val="列出段落1"/>
    <w:basedOn w:val="1"/>
    <w:autoRedefine/>
    <w:qFormat/>
    <w:uiPriority w:val="9"/>
    <w:pPr>
      <w:ind w:firstLine="420" w:firstLineChars="200"/>
    </w:pPr>
  </w:style>
  <w:style w:type="paragraph" w:customStyle="1" w:styleId="23">
    <w:name w:val="二级编号"/>
    <w:basedOn w:val="1"/>
    <w:autoRedefine/>
    <w:qFormat/>
    <w:uiPriority w:val="3"/>
    <w:pPr>
      <w:numPr>
        <w:ilvl w:val="0"/>
        <w:numId w:val="3"/>
      </w:numPr>
      <w:ind w:firstLine="200" w:firstLineChars="200"/>
      <w:outlineLvl w:val="3"/>
    </w:pPr>
    <w:rPr>
      <w:rFonts w:eastAsia="楷体_GB2312"/>
      <w:b/>
    </w:rPr>
  </w:style>
  <w:style w:type="paragraph" w:customStyle="1" w:styleId="24">
    <w:name w:val="一级编号"/>
    <w:basedOn w:val="1"/>
    <w:autoRedefine/>
    <w:qFormat/>
    <w:uiPriority w:val="2"/>
    <w:pPr>
      <w:numPr>
        <w:ilvl w:val="0"/>
        <w:numId w:val="4"/>
      </w:numPr>
      <w:ind w:left="0" w:firstLine="200" w:firstLineChars="200"/>
      <w:outlineLvl w:val="2"/>
    </w:pPr>
    <w:rPr>
      <w:rFonts w:eastAsia="黑体"/>
    </w:rPr>
  </w:style>
  <w:style w:type="character" w:customStyle="1" w:styleId="25">
    <w:name w:val="批注框文本 字符"/>
    <w:basedOn w:val="11"/>
    <w:link w:val="4"/>
    <w:autoRedefine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7B9F9-36EB-4F35-A794-8267A17883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长乐住建局</Company>
  <Pages>4</Pages>
  <Words>1524</Words>
  <Characters>1675</Characters>
  <Lines>12</Lines>
  <Paragraphs>3</Paragraphs>
  <TotalTime>3</TotalTime>
  <ScaleCrop>false</ScaleCrop>
  <LinksUpToDate>false</LinksUpToDate>
  <CharactersWithSpaces>1676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2021-08-02T01:08:00Z</dcterms:created>
  <dc:creator>Jinhui</dc:creator>
  <cp:lastModifiedBy>WPS_1569943637</cp:lastModifiedBy>
  <cp:lastPrinted>2023-12-12T07:51:00Z</cp:lastPrinted>
  <dcterms:modified xsi:type="dcterms:W3CDTF">2024-04-26T01:05:28Z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59A51E65DFAB43EDAEED9CE132A93440_13</vt:lpwstr>
  </property>
</Properties>
</file>