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pPr>
    </w:p>
    <w:p>
      <w:pPr>
        <w:widowControl/>
        <w:spacing w:line="240" w:lineRule="auto"/>
        <w:jc w:val="left"/>
        <w:rPr>
          <w:rFonts w:ascii="黑体" w:hAnsi="黑体" w:eastAsia="黑体"/>
        </w:rPr>
      </w:pPr>
    </w:p>
    <w:p>
      <w:pPr>
        <w:widowControl/>
        <w:spacing w:line="52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关于进一步规范安置房建设管理工作的补充通知</w:t>
      </w:r>
    </w:p>
    <w:p>
      <w:pPr>
        <w:jc w:val="center"/>
        <w:rPr>
          <w:rFonts w:ascii="仿宋_GB2312" w:hAnsi="宋体" w:cs="宋体"/>
          <w:kern w:val="0"/>
        </w:rPr>
      </w:pPr>
    </w:p>
    <w:p>
      <w:pPr>
        <w:spacing w:line="520" w:lineRule="exact"/>
        <w:ind w:firstLine="640" w:firstLineChars="200"/>
        <w:rPr>
          <w:rFonts w:ascii="仿宋_GB2312" w:hAnsi="宋体" w:cs="宋体"/>
          <w:kern w:val="0"/>
        </w:rPr>
      </w:pPr>
    </w:p>
    <w:p>
      <w:pPr>
        <w:spacing w:line="520" w:lineRule="exact"/>
        <w:ind w:firstLine="640" w:firstLineChars="200"/>
        <w:rPr>
          <w:rFonts w:ascii="仿宋_GB2312" w:hAnsi="宋体" w:cs="宋体"/>
          <w:kern w:val="0"/>
        </w:rPr>
      </w:pPr>
      <w:r>
        <w:rPr>
          <w:rFonts w:hint="eastAsia" w:ascii="仿宋_GB2312" w:hAnsi="宋体" w:cs="宋体"/>
          <w:kern w:val="0"/>
        </w:rPr>
        <w:t>为进一步规范安置房建设管理及配建房回购工作，加快推进安置户回迁结算，实现安置房或配建房得到及时妥善安置和利用，结合《福州市长乐区人民政府办公室关于印发进一步规范我区安置房管理的通知》（</w:t>
      </w:r>
      <w:r>
        <w:rPr>
          <w:rFonts w:hint="eastAsia" w:ascii="仿宋_GB2312" w:hAnsi="仿宋_GB2312" w:cs="仿宋_GB2312"/>
        </w:rPr>
        <w:t>长政办〔2021〕132号</w:t>
      </w:r>
      <w:r>
        <w:rPr>
          <w:rFonts w:hint="eastAsia" w:ascii="仿宋_GB2312" w:hAnsi="宋体" w:cs="宋体"/>
          <w:kern w:val="0"/>
        </w:rPr>
        <w:t>）文件有关要求，现就区级安置房建设、回迁、结算、管理等流程，做如下补充规定：</w:t>
      </w:r>
    </w:p>
    <w:p>
      <w:pPr>
        <w:numPr>
          <w:ilvl w:val="0"/>
          <w:numId w:val="5"/>
        </w:numPr>
        <w:spacing w:line="520" w:lineRule="exact"/>
        <w:ind w:firstLine="643" w:firstLineChars="200"/>
        <w:outlineLvl w:val="3"/>
        <w:rPr>
          <w:rFonts w:ascii="仿宋_GB2312" w:hAnsi="宋体" w:cs="宋体"/>
          <w:kern w:val="0"/>
        </w:rPr>
      </w:pPr>
      <w:r>
        <w:rPr>
          <w:rFonts w:hint="eastAsia"/>
          <w:b/>
        </w:rPr>
        <w:t>安置地块征收。</w:t>
      </w:r>
      <w:r>
        <w:rPr>
          <w:rFonts w:hint="eastAsia" w:ascii="仿宋_GB2312" w:hAnsi="宋体" w:cs="宋体"/>
          <w:kern w:val="0"/>
        </w:rPr>
        <w:t>为保证房屋征收项目能按时回迁安置，其对应的安置地块不能晚于该征收项目启动征迁交地工作，安置地块应在启动征迁（含提前签约期）后</w:t>
      </w:r>
      <w:r>
        <w:rPr>
          <w:rFonts w:ascii="仿宋_GB2312" w:hAnsi="宋体" w:cs="宋体"/>
          <w:kern w:val="0"/>
        </w:rPr>
        <w:t>3个月内完成征迁交地工作</w:t>
      </w:r>
      <w:r>
        <w:rPr>
          <w:rFonts w:hint="eastAsia" w:ascii="仿宋_GB2312" w:hAnsi="宋体" w:cs="宋体"/>
          <w:kern w:val="0"/>
        </w:rPr>
        <w:t>。各项目征迁指挥部在推进项目征收时，应同步谋划提出安置地块征收回购价款、回购方案、开竣工时间以及建设方案。</w:t>
      </w:r>
    </w:p>
    <w:p>
      <w:pPr>
        <w:numPr>
          <w:ilvl w:val="0"/>
          <w:numId w:val="5"/>
        </w:numPr>
        <w:spacing w:line="520" w:lineRule="exact"/>
        <w:ind w:left="0" w:leftChars="0" w:firstLine="643" w:firstLineChars="200"/>
        <w:outlineLvl w:val="3"/>
      </w:pPr>
      <w:r>
        <w:rPr>
          <w:rFonts w:hint="eastAsia"/>
          <w:b/>
        </w:rPr>
        <w:t>安置地块交地和出让。</w:t>
      </w:r>
      <w:r>
        <w:rPr>
          <w:rFonts w:hint="eastAsia" w:ascii="仿宋_GB2312"/>
          <w:bCs/>
        </w:rPr>
        <w:t>采用统建房安置的，由项目征迁指挥部牵头区资规局、区土发中心、安置房建设业主单位、属地乡镇（街道）落实完成安置地块用地报批和交地工作，区资规局在安置地块具备出让条件后</w:t>
      </w:r>
      <w:r>
        <w:rPr>
          <w:rFonts w:ascii="仿宋_GB2312"/>
          <w:bCs/>
        </w:rPr>
        <w:t>3</w:t>
      </w:r>
      <w:r>
        <w:rPr>
          <w:rFonts w:hint="eastAsia" w:ascii="仿宋_GB2312"/>
          <w:bCs/>
        </w:rPr>
        <w:t>个月内完成安置地块出让工作。采用配建房安置的，由区土发中心或区政府指定的国有企业（以下简称：配建房回购单位）负责和房屋开发建设单位在资规局与房屋开发建设单位签订土地出让合同的同时，签订配建房回购协议，明确回购时限、回购单位、价格及违约责任。</w:t>
      </w:r>
    </w:p>
    <w:p>
      <w:pPr>
        <w:pStyle w:val="25"/>
        <w:numPr>
          <w:ilvl w:val="0"/>
          <w:numId w:val="5"/>
        </w:numPr>
        <w:spacing w:line="520" w:lineRule="exact"/>
        <w:ind w:left="0" w:leftChars="0" w:firstLine="643" w:firstLineChars="200"/>
        <w:rPr>
          <w:rFonts w:ascii="仿宋_GB2312" w:hAnsi="Calibri" w:eastAsia="仿宋_GB2312" w:cs="Calibri"/>
          <w:b w:val="0"/>
        </w:rPr>
      </w:pPr>
      <w:r>
        <w:rPr>
          <w:rFonts w:hint="eastAsia" w:ascii="仿宋_GB2312" w:hAnsi="Calibri" w:eastAsia="仿宋_GB2312" w:cs="Calibri"/>
        </w:rPr>
        <w:t>安置房统建与配建。</w:t>
      </w:r>
      <w:r>
        <w:rPr>
          <w:rFonts w:hint="eastAsia" w:ascii="仿宋_GB2312" w:hAnsi="Calibri" w:eastAsia="仿宋_GB2312" w:cs="Calibri"/>
          <w:b w:val="0"/>
        </w:rPr>
        <w:t>采用统建房安置的，由项目征迁指挥部牵头区资规局、区财政局、区土发中心</w:t>
      </w:r>
      <w:r>
        <w:rPr>
          <w:rFonts w:ascii="仿宋_GB2312" w:hAnsi="Calibri" w:eastAsia="仿宋_GB2312" w:cs="Calibri"/>
          <w:b w:val="0"/>
        </w:rPr>
        <w:t>、安置房建设业主等单位</w:t>
      </w:r>
      <w:r>
        <w:rPr>
          <w:rFonts w:hint="eastAsia" w:ascii="仿宋_GB2312" w:hAnsi="Calibri" w:eastAsia="仿宋_GB2312" w:cs="Calibri"/>
          <w:b w:val="0"/>
        </w:rPr>
        <w:t>充分征求被征收房屋所在</w:t>
      </w:r>
      <w:r>
        <w:rPr>
          <w:rFonts w:hint="eastAsia" w:ascii="仿宋_GB2312" w:hAnsi="Calibri" w:eastAsia="仿宋_GB2312" w:cs="Calibri"/>
          <w:b w:val="0"/>
          <w:lang w:val="en-US" w:eastAsia="zh-CN"/>
        </w:rPr>
        <w:t>乡</w:t>
      </w:r>
      <w:r>
        <w:rPr>
          <w:rFonts w:hint="eastAsia" w:ascii="仿宋_GB2312" w:hAnsi="Calibri" w:eastAsia="仿宋_GB2312" w:cs="Calibri"/>
          <w:b w:val="0"/>
        </w:rPr>
        <w:t>镇（街道）、村集体组织意见后，由安置房建设业主单位在签约期结束后1个月内提出安置房初步户型配比方案</w:t>
      </w:r>
      <w:r>
        <w:rPr>
          <w:rFonts w:hint="eastAsia" w:ascii="仿宋_GB2312" w:hAnsi="Calibri" w:eastAsia="仿宋_GB2312" w:cs="Calibri"/>
          <w:b w:val="0"/>
          <w:lang w:eastAsia="zh-CN"/>
        </w:rPr>
        <w:t>，</w:t>
      </w:r>
      <w:r>
        <w:rPr>
          <w:rFonts w:hint="eastAsia" w:ascii="仿宋_GB2312" w:hAnsi="Calibri" w:eastAsia="仿宋_GB2312" w:cs="Calibri"/>
          <w:b w:val="0"/>
        </w:rPr>
        <w:t>经项目征迁指挥部研究后纳入土地出让条件。采用配建房安置的，在项目签约期结束后</w:t>
      </w:r>
      <w:r>
        <w:rPr>
          <w:rFonts w:ascii="仿宋_GB2312" w:hAnsi="Calibri" w:eastAsia="仿宋_GB2312" w:cs="Calibri"/>
          <w:b w:val="0"/>
        </w:rPr>
        <w:t>1</w:t>
      </w:r>
      <w:r>
        <w:rPr>
          <w:rFonts w:hint="eastAsia" w:ascii="仿宋_GB2312" w:hAnsi="Calibri" w:eastAsia="仿宋_GB2312" w:cs="Calibri"/>
          <w:b w:val="0"/>
        </w:rPr>
        <w:t>个月内，拟建配建房地块土地出让前</w:t>
      </w:r>
      <w:r>
        <w:rPr>
          <w:rFonts w:hint="eastAsia" w:ascii="仿宋_GB2312" w:hAnsi="Calibri" w:eastAsia="仿宋_GB2312" w:cs="Calibri"/>
          <w:b w:val="0"/>
          <w:lang w:eastAsia="zh-CN"/>
        </w:rPr>
        <w:t>，</w:t>
      </w:r>
      <w:r>
        <w:rPr>
          <w:rFonts w:hint="eastAsia" w:ascii="仿宋_GB2312" w:hAnsi="Calibri" w:eastAsia="仿宋_GB2312" w:cs="Calibri"/>
          <w:b w:val="0"/>
        </w:rPr>
        <w:t>由项目征迁指挥部牵头属地乡镇（街道）向区住建局出具征迁项目安置户型配比需求，区住建局再向土地发展中心出具征迁项目安置需求，由土地发展中心负责牵头制定具体的配建方案后纳入土地出让条件。</w:t>
      </w:r>
    </w:p>
    <w:p>
      <w:pPr>
        <w:numPr>
          <w:ilvl w:val="0"/>
          <w:numId w:val="5"/>
        </w:numPr>
        <w:spacing w:line="520" w:lineRule="exact"/>
        <w:ind w:firstLine="643" w:firstLineChars="200"/>
        <w:outlineLvl w:val="3"/>
      </w:pPr>
      <w:r>
        <w:rPr>
          <w:rFonts w:hint="eastAsia" w:ascii="仿宋_GB2312" w:hAnsi="Calibri" w:cs="Calibri"/>
          <w:b/>
        </w:rPr>
        <w:t>安置房设计与验收。</w:t>
      </w:r>
      <w:r>
        <w:rPr>
          <w:rFonts w:hint="eastAsia" w:ascii="仿宋_GB2312" w:hAnsi="Calibri" w:cs="Calibri"/>
        </w:rPr>
        <w:t>采用配建房安置的，区资规局负责对规划建筑设计方案评审把关，确保同一小区内安置房的主要技术指标、参数等设计品质不低于商品房。安置房交付过程中出现规划建筑设计方面投诉、整改的，由区资规局负责协调处理。配建房未达到配建房回购协议相关交房条件的，由配建房回购单位负责督促房屋建设单位整改到位</w:t>
      </w:r>
      <w:r>
        <w:t>。</w:t>
      </w:r>
    </w:p>
    <w:p>
      <w:pPr>
        <w:numPr>
          <w:ilvl w:val="0"/>
          <w:numId w:val="5"/>
        </w:numPr>
        <w:spacing w:line="520" w:lineRule="exact"/>
        <w:ind w:firstLine="643" w:firstLineChars="200"/>
        <w:outlineLvl w:val="3"/>
        <w:rPr>
          <w:rFonts w:ascii="仿宋_GB2312" w:hAnsi="宋体" w:cs="宋体"/>
          <w:kern w:val="0"/>
        </w:rPr>
      </w:pPr>
      <w:r>
        <w:rPr>
          <w:rFonts w:hint="eastAsia" w:ascii="仿宋_GB2312" w:hAnsi="Calibri" w:cs="Calibri"/>
          <w:b/>
        </w:rPr>
        <w:t>房源竣备移交。</w:t>
      </w:r>
      <w:r>
        <w:rPr>
          <w:rFonts w:hint="eastAsia" w:ascii="仿宋_GB2312" w:hAnsi="Calibri" w:cs="Calibri"/>
        </w:rPr>
        <w:t>采用统建房安置的，由房屋建设单位在项目竣备后1个月内将房源移交给接收单位，并告知项目征迁指挥部。采用配建房安置的，房屋建设单位要在配建房回购协议约定的交付日期前，将项目竣备后及时将安置房源移交配建房回购单位</w:t>
      </w:r>
      <w:r>
        <w:rPr>
          <w:rFonts w:ascii="仿宋_GB2312" w:hAnsi="宋体" w:cs="宋体"/>
          <w:kern w:val="0"/>
        </w:rPr>
        <w:t>。</w:t>
      </w:r>
    </w:p>
    <w:p>
      <w:pPr>
        <w:numPr>
          <w:ilvl w:val="0"/>
          <w:numId w:val="5"/>
        </w:numPr>
        <w:spacing w:line="520" w:lineRule="exact"/>
        <w:ind w:firstLine="643" w:firstLineChars="200"/>
        <w:outlineLvl w:val="3"/>
        <w:rPr>
          <w:rFonts w:ascii="仿宋_GB2312" w:hAnsi="宋体" w:cs="宋体"/>
          <w:kern w:val="0"/>
        </w:rPr>
      </w:pPr>
      <w:r>
        <w:rPr>
          <w:rFonts w:hint="eastAsia" w:ascii="仿宋_GB2312" w:hAnsi="Calibri" w:cs="Calibri"/>
          <w:b/>
        </w:rPr>
        <w:t>回购款拨付。</w:t>
      </w:r>
      <w:r>
        <w:rPr>
          <w:rFonts w:hint="eastAsia" w:ascii="仿宋_GB2312" w:hAnsi="Calibri" w:cs="Calibri"/>
        </w:rPr>
        <w:t>配建房回购单位应根据与安置房建设单位签订的配建房回购协议约定，分期拨付回购款。原则上在安置房建设单位完成配建房验收移交后</w:t>
      </w:r>
      <w:r>
        <w:rPr>
          <w:rFonts w:ascii="仿宋_GB2312" w:hAnsi="Calibri" w:cs="Calibri"/>
        </w:rPr>
        <w:t>1年内完成所有</w:t>
      </w:r>
      <w:r>
        <w:rPr>
          <w:rFonts w:hint="eastAsia" w:ascii="仿宋_GB2312" w:hAnsi="Calibri" w:cs="Calibri"/>
        </w:rPr>
        <w:t>回购款结算、拨付工作，结算、拨付回购尾款时配建房应已具备办理产权证条件。区财政局负责统筹安排拨付资金</w:t>
      </w:r>
      <w:r>
        <w:rPr>
          <w:rFonts w:ascii="仿宋_GB2312" w:hAnsi="宋体" w:cs="宋体"/>
          <w:kern w:val="0"/>
        </w:rPr>
        <w:t>。</w:t>
      </w:r>
    </w:p>
    <w:p>
      <w:pPr>
        <w:numPr>
          <w:ilvl w:val="0"/>
          <w:numId w:val="5"/>
        </w:numPr>
        <w:spacing w:line="520" w:lineRule="exact"/>
        <w:ind w:firstLine="643" w:firstLineChars="200"/>
        <w:outlineLvl w:val="3"/>
        <w:rPr>
          <w:rFonts w:ascii="仿宋_GB2312" w:hAnsi="宋体" w:cs="宋体"/>
          <w:kern w:val="0"/>
        </w:rPr>
      </w:pPr>
      <w:r>
        <w:rPr>
          <w:rFonts w:hint="eastAsia"/>
          <w:b/>
        </w:rPr>
        <w:t>安置房源分割。</w:t>
      </w:r>
      <w:r>
        <w:rPr>
          <w:rFonts w:hint="eastAsia" w:ascii="仿宋_GB2312" w:hAnsi="宋体" w:cs="宋体"/>
          <w:kern w:val="0"/>
        </w:rPr>
        <w:t>采用统建房安置的，由房屋建设业主单位在项目竣工验收前</w:t>
      </w:r>
      <w:r>
        <w:rPr>
          <w:rFonts w:ascii="仿宋_GB2312" w:hAnsi="宋体" w:cs="宋体"/>
          <w:kern w:val="0"/>
        </w:rPr>
        <w:t>6</w:t>
      </w:r>
      <w:r>
        <w:rPr>
          <w:rFonts w:hint="eastAsia" w:ascii="仿宋_GB2312" w:hAnsi="宋体" w:cs="宋体"/>
          <w:kern w:val="0"/>
        </w:rPr>
        <w:t>个月函告区住建局开展房源分割</w:t>
      </w:r>
      <w:r>
        <w:rPr>
          <w:rFonts w:ascii="仿宋_GB2312" w:hAnsi="宋体" w:cs="宋体"/>
          <w:kern w:val="0"/>
        </w:rPr>
        <w:t>。</w:t>
      </w:r>
      <w:r>
        <w:rPr>
          <w:rFonts w:hint="eastAsia" w:ascii="仿宋_GB2312" w:hAnsi="宋体" w:cs="宋体"/>
          <w:kern w:val="0"/>
        </w:rPr>
        <w:t>采用配建房安置的，由配建房回购单位负责在计划接收安置房源之日的前</w:t>
      </w:r>
      <w:r>
        <w:rPr>
          <w:rFonts w:ascii="仿宋_GB2312" w:hAnsi="宋体" w:cs="宋体"/>
          <w:kern w:val="0"/>
        </w:rPr>
        <w:t>6</w:t>
      </w:r>
      <w:r>
        <w:rPr>
          <w:rFonts w:hint="eastAsia" w:ascii="仿宋_GB2312" w:hAnsi="宋体" w:cs="宋体"/>
          <w:kern w:val="0"/>
        </w:rPr>
        <w:t>个月函告区住建局开展房源分割。区住建局在收到函告后3个月内应完成房源分割。</w:t>
      </w:r>
    </w:p>
    <w:p>
      <w:pPr>
        <w:numPr>
          <w:ilvl w:val="0"/>
          <w:numId w:val="5"/>
        </w:numPr>
        <w:spacing w:line="520" w:lineRule="exact"/>
        <w:ind w:firstLine="643" w:firstLineChars="200"/>
        <w:outlineLvl w:val="3"/>
        <w:rPr>
          <w:rFonts w:ascii="仿宋_GB2312" w:hAnsi="宋体" w:cs="宋体"/>
          <w:kern w:val="0"/>
        </w:rPr>
      </w:pPr>
      <w:r>
        <w:rPr>
          <w:rFonts w:hint="eastAsia"/>
          <w:b/>
        </w:rPr>
        <w:t>安置房回迁选房。</w:t>
      </w:r>
      <w:r>
        <w:rPr>
          <w:rFonts w:hint="eastAsia" w:ascii="仿宋_GB2312" w:hAnsi="宋体" w:cs="宋体"/>
          <w:kern w:val="0"/>
        </w:rPr>
        <w:t>征收项目所在乡镇（街道）在取得安置房源后，由项目征迁指挥部负责牵头乡镇（街道）、村集体组织在</w:t>
      </w:r>
      <w:r>
        <w:rPr>
          <w:rFonts w:ascii="仿宋_GB2312" w:hAnsi="宋体" w:cs="宋体"/>
          <w:kern w:val="0"/>
        </w:rPr>
        <w:t>3</w:t>
      </w:r>
      <w:r>
        <w:rPr>
          <w:rFonts w:hint="eastAsia" w:ascii="仿宋_GB2312" w:hAnsi="宋体" w:cs="宋体"/>
          <w:kern w:val="0"/>
          <w:lang w:val="en-US" w:eastAsia="zh-CN"/>
        </w:rPr>
        <w:t>个</w:t>
      </w:r>
      <w:r>
        <w:rPr>
          <w:rFonts w:hint="eastAsia" w:ascii="仿宋_GB2312" w:hAnsi="宋体" w:cs="宋体"/>
          <w:kern w:val="0"/>
        </w:rPr>
        <w:t>月内完成回迁选房</w:t>
      </w:r>
      <w:r>
        <w:rPr>
          <w:rFonts w:ascii="仿宋_GB2312" w:hAnsi="宋体" w:cs="宋体"/>
          <w:kern w:val="0"/>
        </w:rPr>
        <w:t>。</w:t>
      </w:r>
    </w:p>
    <w:p>
      <w:pPr>
        <w:numPr>
          <w:ilvl w:val="0"/>
          <w:numId w:val="5"/>
        </w:numPr>
        <w:spacing w:line="520" w:lineRule="exact"/>
        <w:ind w:firstLine="643" w:firstLineChars="200"/>
        <w:outlineLvl w:val="3"/>
        <w:rPr>
          <w:rFonts w:ascii="仿宋_GB2312" w:hAnsi="宋体" w:cs="宋体"/>
          <w:kern w:val="0"/>
        </w:rPr>
      </w:pPr>
      <w:r>
        <w:rPr>
          <w:rFonts w:hint="eastAsia" w:ascii="仿宋_GB2312" w:hAnsi="宋体" w:cs="宋体"/>
          <w:b/>
          <w:kern w:val="0"/>
        </w:rPr>
        <w:t>回迁结算。</w:t>
      </w:r>
      <w:r>
        <w:rPr>
          <w:rFonts w:hint="eastAsia" w:ascii="仿宋_GB2312" w:hAnsi="宋体" w:cs="宋体"/>
          <w:kern w:val="0"/>
        </w:rPr>
        <w:t>项目所在乡镇（街道）应以正式通知</w:t>
      </w:r>
      <w:r>
        <w:rPr>
          <w:rFonts w:hint="eastAsia" w:ascii="仿宋_GB2312" w:hAnsi="宋体" w:cs="宋体"/>
          <w:kern w:val="0"/>
          <w:lang w:val="en-US" w:eastAsia="zh-CN"/>
        </w:rPr>
        <w:t>的</w:t>
      </w:r>
      <w:r>
        <w:rPr>
          <w:rFonts w:hint="eastAsia" w:ascii="仿宋_GB2312" w:hAnsi="宋体" w:cs="宋体"/>
          <w:kern w:val="0"/>
        </w:rPr>
        <w:t>形式，积极动员并告知被征收人要在回迁选房后</w:t>
      </w:r>
      <w:r>
        <w:rPr>
          <w:rFonts w:ascii="仿宋_GB2312" w:hAnsi="宋体" w:cs="宋体"/>
          <w:kern w:val="0"/>
        </w:rPr>
        <w:t>1个月</w:t>
      </w:r>
      <w:r>
        <w:rPr>
          <w:rFonts w:hint="eastAsia" w:ascii="仿宋_GB2312" w:hAnsi="宋体" w:cs="宋体"/>
          <w:kern w:val="0"/>
        </w:rPr>
        <w:t>内完成回迁结算，并停止过渡费的发放。未按规定时间结算的，政府不再承担安置房物业费等房屋相关费用。</w:t>
      </w:r>
    </w:p>
    <w:p>
      <w:pPr>
        <w:numPr>
          <w:ilvl w:val="0"/>
          <w:numId w:val="5"/>
        </w:numPr>
        <w:spacing w:line="520" w:lineRule="exact"/>
        <w:ind w:firstLine="643" w:firstLineChars="200"/>
        <w:outlineLvl w:val="3"/>
        <w:rPr>
          <w:rFonts w:ascii="仿宋_GB2312" w:hAnsi="宋体" w:cs="宋体"/>
          <w:kern w:val="0"/>
        </w:rPr>
      </w:pPr>
      <w:r>
        <w:rPr>
          <w:rFonts w:hint="eastAsia" w:ascii="仿宋_GB2312" w:hAnsi="宋体" w:cs="宋体"/>
          <w:b/>
          <w:kern w:val="0"/>
        </w:rPr>
        <w:t>安置房交付。</w:t>
      </w:r>
      <w:r>
        <w:rPr>
          <w:rFonts w:hint="eastAsia" w:ascii="仿宋_GB2312" w:hAnsi="宋体" w:cs="宋体"/>
          <w:kern w:val="0"/>
        </w:rPr>
        <w:t>安置户在选定安置房并结算后，</w:t>
      </w:r>
      <w:r>
        <w:rPr>
          <w:rFonts w:hint="eastAsia" w:ascii="仿宋_GB2312" w:hAnsi="Calibri" w:cs="Calibri"/>
        </w:rPr>
        <w:t>采用统建房安置的，由项目征迁指挥部牵头乡镇（街道）、房屋建设单位做好交付安置房钥匙准备；采用配建房安置的，</w:t>
      </w:r>
      <w:r>
        <w:rPr>
          <w:rFonts w:hint="eastAsia" w:ascii="仿宋_GB2312" w:hAnsi="宋体" w:cs="宋体"/>
          <w:kern w:val="0"/>
        </w:rPr>
        <w:t>由配建房回购单位牵头安置房建设单位和安置房物业公司</w:t>
      </w:r>
      <w:r>
        <w:rPr>
          <w:rFonts w:hint="eastAsia" w:ascii="仿宋_GB2312" w:hAnsi="Calibri" w:cs="Calibri"/>
        </w:rPr>
        <w:t>做好交付安置房钥匙准备</w:t>
      </w:r>
      <w:r>
        <w:rPr>
          <w:rFonts w:ascii="仿宋_GB2312" w:hAnsi="宋体" w:cs="宋体"/>
          <w:kern w:val="0"/>
        </w:rPr>
        <w:t>。</w:t>
      </w:r>
      <w:r>
        <w:rPr>
          <w:rFonts w:hint="eastAsia" w:ascii="仿宋_GB2312" w:hAnsi="宋体" w:cs="宋体"/>
          <w:kern w:val="0"/>
        </w:rPr>
        <w:t>安置房回迁选房后应于1个月内具备交付钥匙的条件。</w:t>
      </w:r>
    </w:p>
    <w:p>
      <w:pPr>
        <w:numPr>
          <w:ilvl w:val="0"/>
          <w:numId w:val="5"/>
        </w:numPr>
        <w:spacing w:line="520" w:lineRule="exact"/>
        <w:ind w:firstLine="643" w:firstLineChars="200"/>
        <w:outlineLvl w:val="3"/>
        <w:rPr>
          <w:rFonts w:ascii="仿宋_GB2312" w:hAnsi="宋体" w:cs="宋体"/>
          <w:kern w:val="0"/>
        </w:rPr>
      </w:pPr>
      <w:r>
        <w:rPr>
          <w:rFonts w:hint="eastAsia" w:ascii="仿宋_GB2312" w:hAnsi="宋体" w:cs="宋体"/>
          <w:b/>
          <w:bCs/>
          <w:kern w:val="0"/>
        </w:rPr>
        <w:t>提前完成安置奖励。</w:t>
      </w:r>
      <w:r>
        <w:rPr>
          <w:rFonts w:hint="eastAsia" w:ascii="仿宋_GB2312" w:hAnsi="宋体" w:cs="宋体"/>
          <w:kern w:val="0"/>
        </w:rPr>
        <w:t>房屋征收项目提前完成回迁选房安置的，由乡镇（街道）按提前完成时间，计算出节省的过渡费金额，经项目征迁指挥部、区安置房管理工作领导小组办公室审核把关，报领导小组审定后，按节省过渡费金额的5</w:t>
      </w:r>
      <w:r>
        <w:rPr>
          <w:rFonts w:ascii="仿宋_GB2312" w:hAnsi="宋体" w:cs="宋体"/>
          <w:kern w:val="0"/>
        </w:rPr>
        <w:t>0%</w:t>
      </w:r>
      <w:r>
        <w:rPr>
          <w:rFonts w:hint="eastAsia" w:ascii="仿宋_GB2312" w:hAnsi="宋体" w:cs="宋体"/>
          <w:kern w:val="0"/>
        </w:rPr>
        <w:t>，奖励给乡镇（街道）作为工作经费；对在过渡期内交房并按时办结结算手续的，按节省过渡费金额的50</w:t>
      </w:r>
      <w:r>
        <w:rPr>
          <w:rFonts w:ascii="仿宋_GB2312" w:hAnsi="宋体" w:cs="宋体"/>
          <w:kern w:val="0"/>
        </w:rPr>
        <w:t>%</w:t>
      </w:r>
      <w:r>
        <w:rPr>
          <w:rFonts w:hint="eastAsia" w:ascii="仿宋_GB2312" w:hAnsi="宋体" w:cs="宋体"/>
          <w:kern w:val="0"/>
        </w:rPr>
        <w:t>，奖励给安置户用于冲抵</w:t>
      </w:r>
      <w:bookmarkStart w:id="0" w:name="_GoBack"/>
      <w:bookmarkEnd w:id="0"/>
      <w:r>
        <w:rPr>
          <w:rFonts w:hint="eastAsia" w:ascii="仿宋_GB2312" w:hAnsi="宋体" w:cs="宋体"/>
          <w:kern w:val="0"/>
        </w:rPr>
        <w:t>安置房物业费等用途。</w:t>
      </w:r>
    </w:p>
    <w:p>
      <w:pPr>
        <w:numPr>
          <w:ilvl w:val="0"/>
          <w:numId w:val="5"/>
        </w:numPr>
        <w:spacing w:line="520" w:lineRule="exact"/>
        <w:ind w:left="0" w:leftChars="0" w:firstLine="643" w:firstLineChars="200"/>
        <w:outlineLvl w:val="3"/>
        <w:rPr>
          <w:rFonts w:ascii="仿宋_GB2312" w:hAnsi="宋体" w:cs="宋体"/>
          <w:kern w:val="0"/>
        </w:rPr>
      </w:pPr>
      <w:r>
        <w:rPr>
          <w:rFonts w:hint="eastAsia" w:ascii="仿宋_GB2312" w:hAnsi="宋体" w:cs="宋体"/>
          <w:b/>
          <w:kern w:val="0"/>
        </w:rPr>
        <w:t>逾期安置责任梳理。</w:t>
      </w:r>
      <w:r>
        <w:rPr>
          <w:rFonts w:hint="eastAsia" w:ascii="仿宋_GB2312" w:hAnsi="宋体" w:cs="宋体"/>
          <w:kern w:val="0"/>
        </w:rPr>
        <w:t>房屋征收项目发生逾期安置情形的，项目征迁指挥部会同区资规局、区住建局、属地乡镇（街道）、配建房回购单位</w:t>
      </w:r>
      <w:r>
        <w:rPr>
          <w:rFonts w:hint="eastAsia" w:ascii="仿宋_GB2312" w:hAnsi="宋体" w:cs="宋体"/>
          <w:kern w:val="0"/>
          <w:lang w:eastAsia="zh-CN"/>
        </w:rPr>
        <w:t>，</w:t>
      </w:r>
      <w:r>
        <w:rPr>
          <w:rFonts w:hint="eastAsia" w:ascii="仿宋_GB2312" w:hAnsi="宋体" w:cs="宋体"/>
          <w:kern w:val="0"/>
        </w:rPr>
        <w:t>及时梳理逾期安置的原因，厘清责任，提出相关责任主体及其应承担的责任份额，经区安置房管理工作领导小组审核把关后，报区政府审定。各主管部门、乡镇（街道）要加强安置房建设项目的过程监督，留存档案资料，确保事后能厘清责任。</w:t>
      </w:r>
    </w:p>
    <w:p>
      <w:pPr>
        <w:numPr>
          <w:ilvl w:val="0"/>
          <w:numId w:val="5"/>
        </w:numPr>
        <w:spacing w:line="520" w:lineRule="exact"/>
        <w:ind w:firstLine="643" w:firstLineChars="200"/>
        <w:outlineLvl w:val="3"/>
        <w:rPr>
          <w:rFonts w:ascii="仿宋_GB2312" w:hAnsi="宋体" w:cs="宋体"/>
          <w:bCs/>
          <w:kern w:val="0"/>
        </w:rPr>
      </w:pPr>
      <w:r>
        <w:rPr>
          <w:rFonts w:hint="eastAsia" w:ascii="仿宋_GB2312" w:hAnsi="宋体" w:cs="宋体"/>
          <w:b/>
          <w:kern w:val="0"/>
        </w:rPr>
        <w:t>逾期过渡费发放规定。</w:t>
      </w:r>
      <w:r>
        <w:rPr>
          <w:rFonts w:hint="eastAsia" w:ascii="仿宋_GB2312" w:hAnsi="宋体" w:cs="宋体"/>
          <w:bCs/>
          <w:kern w:val="0"/>
        </w:rPr>
        <w:t>安置楼盘已达到回迁条件且已逾期的，如责任清晰，按责任落实资金，全额发放逾期过渡费；如责任未厘清，先由征收业主单位垫付发放常规过渡费，待厘清责任，由认定的责任方筹措落实资金后，再发放剩余部分逾期过渡费。</w:t>
      </w:r>
    </w:p>
    <w:p>
      <w:pPr>
        <w:numPr>
          <w:ilvl w:val="0"/>
          <w:numId w:val="5"/>
        </w:numPr>
        <w:spacing w:line="520" w:lineRule="exact"/>
        <w:ind w:firstLine="643" w:firstLineChars="200"/>
        <w:outlineLvl w:val="3"/>
        <w:rPr>
          <w:rFonts w:ascii="仿宋_GB2312" w:hAnsi="宋体" w:cs="宋体"/>
          <w:b/>
          <w:kern w:val="0"/>
        </w:rPr>
      </w:pPr>
      <w:r>
        <w:rPr>
          <w:rFonts w:hint="eastAsia" w:ascii="仿宋_GB2312" w:hAnsi="宋体" w:cs="宋体"/>
          <w:b/>
          <w:kern w:val="0"/>
        </w:rPr>
        <w:t>逾期责任认定及承担：</w:t>
      </w:r>
    </w:p>
    <w:p>
      <w:pPr>
        <w:spacing w:line="520" w:lineRule="exact"/>
        <w:ind w:firstLine="640" w:firstLineChars="200"/>
        <w:outlineLvl w:val="3"/>
        <w:rPr>
          <w:rFonts w:ascii="仿宋_GB2312" w:hAnsi="宋体" w:cs="宋体"/>
          <w:kern w:val="0"/>
        </w:rPr>
      </w:pPr>
      <w:r>
        <w:rPr>
          <w:rFonts w:hint="eastAsia" w:ascii="仿宋_GB2312" w:hAnsi="宋体" w:cs="宋体"/>
          <w:kern w:val="0"/>
        </w:rPr>
        <w:t>1、未在规定期限内完成土地出让、周边配套建设、房源移交、房源分割、交付入住等导致逾期安置，属部门责任的，按超过的时间分别计算</w:t>
      </w:r>
      <w:r>
        <w:rPr>
          <w:rFonts w:hint="eastAsia" w:ascii="仿宋" w:hAnsi="仿宋" w:eastAsia="仿宋" w:cs="仿宋"/>
        </w:rPr>
        <w:t>逾期过渡费，由建设项目业主单位支付，列入征迁成本，区政府追究相应单位的责任，对相关责任人予以效能追责</w:t>
      </w:r>
      <w:r>
        <w:rPr>
          <w:rFonts w:ascii="仿宋_GB2312" w:hAnsi="宋体" w:cs="宋体"/>
          <w:kern w:val="0"/>
        </w:rPr>
        <w:t>。</w:t>
      </w:r>
    </w:p>
    <w:p>
      <w:pPr>
        <w:spacing w:line="520" w:lineRule="exact"/>
        <w:ind w:firstLine="640" w:firstLineChars="200"/>
        <w:outlineLvl w:val="3"/>
        <w:rPr>
          <w:rFonts w:ascii="仿宋_GB2312" w:hAnsi="宋体" w:cs="宋体"/>
          <w:kern w:val="0"/>
        </w:rPr>
      </w:pPr>
      <w:r>
        <w:rPr>
          <w:rFonts w:hint="eastAsia" w:ascii="仿宋_GB2312" w:hAnsi="宋体" w:cs="宋体"/>
          <w:kern w:val="0"/>
        </w:rPr>
        <w:t>2、未在规定期限内完成</w:t>
      </w:r>
      <w:r>
        <w:rPr>
          <w:rFonts w:hint="eastAsia"/>
        </w:rPr>
        <w:t>征迁交地、</w:t>
      </w:r>
      <w:r>
        <w:rPr>
          <w:rFonts w:hint="eastAsia" w:ascii="仿宋_GB2312" w:hAnsi="宋体" w:cs="宋体"/>
          <w:kern w:val="0"/>
        </w:rPr>
        <w:t>回迁选房、补偿款结算等导致逾期安置，属乡镇（街道）责任的，按超过的时间分别计算</w:t>
      </w:r>
      <w:r>
        <w:rPr>
          <w:rFonts w:hint="eastAsia" w:ascii="仿宋" w:hAnsi="仿宋" w:eastAsia="仿宋" w:cs="仿宋"/>
        </w:rPr>
        <w:t>逾期过渡费，由</w:t>
      </w:r>
      <w:r>
        <w:rPr>
          <w:rFonts w:hint="eastAsia" w:ascii="仿宋_GB2312" w:hAnsi="宋体" w:cs="宋体"/>
          <w:kern w:val="0"/>
        </w:rPr>
        <w:t>乡镇（街道）承担。</w:t>
      </w:r>
    </w:p>
    <w:p>
      <w:pPr>
        <w:spacing w:line="520" w:lineRule="exact"/>
        <w:ind w:firstLine="640" w:firstLineChars="200"/>
        <w:outlineLvl w:val="3"/>
        <w:rPr>
          <w:rFonts w:ascii="仿宋_GB2312" w:hAnsi="宋体" w:cs="宋体"/>
          <w:kern w:val="0"/>
        </w:rPr>
      </w:pPr>
      <w:r>
        <w:rPr>
          <w:rFonts w:hint="eastAsia" w:ascii="仿宋_GB2312"/>
        </w:rPr>
        <w:t>3、因安置房建设单位原因，出现安置房建设超期、开发进度滞后、建设品质等原因未能按期验收，造成安置房源移交延迟，导致逾期安置的，根据建设单位签订的《国有建设用地使用权出让合同》、《配建住宅回购协议》等文件约定，由区资规局、配建房回购单位按照法定程序对建设单位追缴逾期交付违约金，并</w:t>
      </w:r>
      <w:r>
        <w:rPr>
          <w:rFonts w:hint="eastAsia" w:ascii="仿宋_GB2312"/>
          <w:lang w:val="en-US" w:eastAsia="zh-CN"/>
        </w:rPr>
        <w:t>要求其</w:t>
      </w:r>
      <w:r>
        <w:rPr>
          <w:rFonts w:hint="eastAsia" w:ascii="仿宋_GB2312"/>
        </w:rPr>
        <w:t>全额承担因建设原因造成的逾期安置</w:t>
      </w:r>
      <w:r>
        <w:rPr>
          <w:rFonts w:hint="eastAsia" w:ascii="仿宋_GB2312"/>
          <w:lang w:val="en-US" w:eastAsia="zh-CN"/>
        </w:rPr>
        <w:t>所</w:t>
      </w:r>
      <w:r>
        <w:rPr>
          <w:rFonts w:hint="eastAsia" w:ascii="仿宋_GB2312"/>
        </w:rPr>
        <w:t>产生的逾期安置过渡费</w:t>
      </w:r>
      <w:r>
        <w:rPr>
          <w:rFonts w:hint="eastAsia" w:ascii="仿宋_GB2312" w:hAnsi="宋体" w:cs="宋体"/>
          <w:kern w:val="0"/>
        </w:rPr>
        <w:t>。</w:t>
      </w:r>
    </w:p>
    <w:p>
      <w:pPr>
        <w:widowControl/>
        <w:spacing w:line="240" w:lineRule="auto"/>
        <w:jc w:val="left"/>
      </w:pPr>
    </w:p>
    <w:sectPr>
      <w:footerReference r:id="rId5" w:type="default"/>
      <w:pgSz w:w="11906" w:h="16838"/>
      <w:pgMar w:top="2098" w:right="1474" w:bottom="1985" w:left="1588"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5</w:t>
    </w:r>
    <w:r>
      <w:rPr>
        <w:rFonts w:hint="eastAsia" w:ascii="仿宋_GB2312"/>
        <w:sz w:val="28"/>
        <w:szCs w:val="28"/>
      </w:rPr>
      <w:fldChar w:fldCharType="end"/>
    </w:r>
    <w:r>
      <w:rPr>
        <w:rFonts w:hint="eastAsia" w:ascii="仿宋_GB231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26"/>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chineseCountingThousand"/>
      <w:pStyle w:val="25"/>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7"/>
    <w:multiLevelType w:val="multilevel"/>
    <w:tmpl w:val="00000007"/>
    <w:lvl w:ilvl="0" w:tentative="0">
      <w:start w:val="1"/>
      <w:numFmt w:val="decimal"/>
      <w:pStyle w:val="22"/>
      <w:lvlText w:val="%1."/>
      <w:lvlJc w:val="left"/>
      <w:pPr>
        <w:ind w:left="620"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0000000A"/>
    <w:multiLevelType w:val="multilevel"/>
    <w:tmpl w:val="0000000A"/>
    <w:lvl w:ilvl="0" w:tentative="0">
      <w:start w:val="1"/>
      <w:numFmt w:val="decimal"/>
      <w:pStyle w:val="15"/>
      <w:suff w:val="nothing"/>
      <w:lvlText w:val="（%1）"/>
      <w:lvlJc w:val="left"/>
      <w:pPr>
        <w:ind w:left="0" w:firstLine="20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61485160"/>
    <w:multiLevelType w:val="singleLevel"/>
    <w:tmpl w:val="61485160"/>
    <w:lvl w:ilvl="0" w:tentative="0">
      <w:start w:val="1"/>
      <w:numFmt w:val="chineseCounting"/>
      <w:suff w:val="nothing"/>
      <w:lvlText w:val="第%1条  "/>
      <w:lvlJc w:val="left"/>
      <w:pPr>
        <w:ind w:left="0" w:firstLine="420"/>
      </w:pPr>
      <w:rPr>
        <w:rFonts w:hint="eastAsia" w:ascii="黑体" w:hAnsi="黑体" w:eastAsia="黑体" w:cs="黑体"/>
        <w:szCs w:val="32"/>
        <w:lang w:val="en-U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lNWE3MTZkMTM5MWNmZDE3YTM4Y2U4YmFmMzZlZDYifQ=="/>
  </w:docVars>
  <w:rsids>
    <w:rsidRoot w:val="00C303FA"/>
    <w:rsid w:val="00006362"/>
    <w:rsid w:val="000223B5"/>
    <w:rsid w:val="00025A10"/>
    <w:rsid w:val="00054E1B"/>
    <w:rsid w:val="00090411"/>
    <w:rsid w:val="000959F2"/>
    <w:rsid w:val="000A30E0"/>
    <w:rsid w:val="000A5031"/>
    <w:rsid w:val="000B33AA"/>
    <w:rsid w:val="000B4DB7"/>
    <w:rsid w:val="00116CEC"/>
    <w:rsid w:val="001618C3"/>
    <w:rsid w:val="001B383D"/>
    <w:rsid w:val="001C40C7"/>
    <w:rsid w:val="001C661D"/>
    <w:rsid w:val="001F3B66"/>
    <w:rsid w:val="00234626"/>
    <w:rsid w:val="00250786"/>
    <w:rsid w:val="00262D04"/>
    <w:rsid w:val="002745F9"/>
    <w:rsid w:val="00291F89"/>
    <w:rsid w:val="002B6C72"/>
    <w:rsid w:val="002C5AFB"/>
    <w:rsid w:val="002E232C"/>
    <w:rsid w:val="002E7EF2"/>
    <w:rsid w:val="002F1D6D"/>
    <w:rsid w:val="003274D4"/>
    <w:rsid w:val="003556D3"/>
    <w:rsid w:val="00364C97"/>
    <w:rsid w:val="00380082"/>
    <w:rsid w:val="00391335"/>
    <w:rsid w:val="00392551"/>
    <w:rsid w:val="003A2CBE"/>
    <w:rsid w:val="003C6425"/>
    <w:rsid w:val="003F75CD"/>
    <w:rsid w:val="0040281D"/>
    <w:rsid w:val="00447D79"/>
    <w:rsid w:val="00473510"/>
    <w:rsid w:val="00482BDF"/>
    <w:rsid w:val="004A4D92"/>
    <w:rsid w:val="004D5124"/>
    <w:rsid w:val="004F2D72"/>
    <w:rsid w:val="00501136"/>
    <w:rsid w:val="005123A1"/>
    <w:rsid w:val="00521B61"/>
    <w:rsid w:val="00522A4F"/>
    <w:rsid w:val="00533830"/>
    <w:rsid w:val="00540B44"/>
    <w:rsid w:val="00544710"/>
    <w:rsid w:val="0055605E"/>
    <w:rsid w:val="005836E4"/>
    <w:rsid w:val="00591886"/>
    <w:rsid w:val="00592EE0"/>
    <w:rsid w:val="005C433C"/>
    <w:rsid w:val="005D4A45"/>
    <w:rsid w:val="005E3025"/>
    <w:rsid w:val="005F65B6"/>
    <w:rsid w:val="006165F1"/>
    <w:rsid w:val="00621990"/>
    <w:rsid w:val="00636022"/>
    <w:rsid w:val="00643BA3"/>
    <w:rsid w:val="00661DD7"/>
    <w:rsid w:val="006B2EF1"/>
    <w:rsid w:val="006C4E82"/>
    <w:rsid w:val="006C62BA"/>
    <w:rsid w:val="006C77DD"/>
    <w:rsid w:val="006E0131"/>
    <w:rsid w:val="006E28D4"/>
    <w:rsid w:val="006E2CF5"/>
    <w:rsid w:val="006F1245"/>
    <w:rsid w:val="006F375B"/>
    <w:rsid w:val="0071068A"/>
    <w:rsid w:val="0071598C"/>
    <w:rsid w:val="00715CD1"/>
    <w:rsid w:val="00733FFA"/>
    <w:rsid w:val="007356D2"/>
    <w:rsid w:val="00745FF4"/>
    <w:rsid w:val="00746C64"/>
    <w:rsid w:val="007B5A49"/>
    <w:rsid w:val="007D5189"/>
    <w:rsid w:val="007E7031"/>
    <w:rsid w:val="007F03B9"/>
    <w:rsid w:val="007F257A"/>
    <w:rsid w:val="007F576A"/>
    <w:rsid w:val="00811F9F"/>
    <w:rsid w:val="00827B92"/>
    <w:rsid w:val="008401B5"/>
    <w:rsid w:val="0089708E"/>
    <w:rsid w:val="008D1AAB"/>
    <w:rsid w:val="008D2DD9"/>
    <w:rsid w:val="008D6BBA"/>
    <w:rsid w:val="008F707A"/>
    <w:rsid w:val="00915E58"/>
    <w:rsid w:val="009274D0"/>
    <w:rsid w:val="00927C68"/>
    <w:rsid w:val="0094477B"/>
    <w:rsid w:val="009576D6"/>
    <w:rsid w:val="0096076E"/>
    <w:rsid w:val="00967070"/>
    <w:rsid w:val="0097008C"/>
    <w:rsid w:val="009737C2"/>
    <w:rsid w:val="00994A3A"/>
    <w:rsid w:val="009D69CB"/>
    <w:rsid w:val="009E4274"/>
    <w:rsid w:val="009E5CD5"/>
    <w:rsid w:val="00A121F3"/>
    <w:rsid w:val="00A338D8"/>
    <w:rsid w:val="00A33DC4"/>
    <w:rsid w:val="00A55874"/>
    <w:rsid w:val="00AD573F"/>
    <w:rsid w:val="00B07C47"/>
    <w:rsid w:val="00B15E49"/>
    <w:rsid w:val="00B26D8D"/>
    <w:rsid w:val="00B27D1E"/>
    <w:rsid w:val="00B33B83"/>
    <w:rsid w:val="00B35A92"/>
    <w:rsid w:val="00B362AD"/>
    <w:rsid w:val="00B545BA"/>
    <w:rsid w:val="00B65825"/>
    <w:rsid w:val="00B74157"/>
    <w:rsid w:val="00B75C3D"/>
    <w:rsid w:val="00B90984"/>
    <w:rsid w:val="00B9222C"/>
    <w:rsid w:val="00BA380F"/>
    <w:rsid w:val="00BE17A0"/>
    <w:rsid w:val="00BF331C"/>
    <w:rsid w:val="00C1339E"/>
    <w:rsid w:val="00C303FA"/>
    <w:rsid w:val="00C30535"/>
    <w:rsid w:val="00C82615"/>
    <w:rsid w:val="00C91D07"/>
    <w:rsid w:val="00CA2193"/>
    <w:rsid w:val="00CA57E2"/>
    <w:rsid w:val="00CD0535"/>
    <w:rsid w:val="00CD2A8F"/>
    <w:rsid w:val="00CE7088"/>
    <w:rsid w:val="00CF6E29"/>
    <w:rsid w:val="00D05F91"/>
    <w:rsid w:val="00D20702"/>
    <w:rsid w:val="00D41453"/>
    <w:rsid w:val="00D52957"/>
    <w:rsid w:val="00D74FD2"/>
    <w:rsid w:val="00DB052C"/>
    <w:rsid w:val="00DD456B"/>
    <w:rsid w:val="00DD5673"/>
    <w:rsid w:val="00DE227D"/>
    <w:rsid w:val="00E045A2"/>
    <w:rsid w:val="00E21C78"/>
    <w:rsid w:val="00E50468"/>
    <w:rsid w:val="00E722B8"/>
    <w:rsid w:val="00E769D2"/>
    <w:rsid w:val="00E84E54"/>
    <w:rsid w:val="00E91DAA"/>
    <w:rsid w:val="00EB3053"/>
    <w:rsid w:val="00ED523D"/>
    <w:rsid w:val="00EF265F"/>
    <w:rsid w:val="00EF740D"/>
    <w:rsid w:val="00F07192"/>
    <w:rsid w:val="00F43ED5"/>
    <w:rsid w:val="00F47A5E"/>
    <w:rsid w:val="00F625BC"/>
    <w:rsid w:val="00F74B1F"/>
    <w:rsid w:val="00F77E34"/>
    <w:rsid w:val="00F94D2E"/>
    <w:rsid w:val="00F95841"/>
    <w:rsid w:val="00FA50B3"/>
    <w:rsid w:val="00FA7023"/>
    <w:rsid w:val="00FB09F6"/>
    <w:rsid w:val="00FD0A88"/>
    <w:rsid w:val="00FD35F8"/>
    <w:rsid w:val="00FE2B62"/>
    <w:rsid w:val="00FE5285"/>
    <w:rsid w:val="0D3D0CDF"/>
    <w:rsid w:val="0E9D6BF5"/>
    <w:rsid w:val="101504EC"/>
    <w:rsid w:val="132A4888"/>
    <w:rsid w:val="1E7770F7"/>
    <w:rsid w:val="1F516AD4"/>
    <w:rsid w:val="22EA42E1"/>
    <w:rsid w:val="26522E0B"/>
    <w:rsid w:val="281A22DA"/>
    <w:rsid w:val="2D256324"/>
    <w:rsid w:val="2F9D7FF4"/>
    <w:rsid w:val="330D3344"/>
    <w:rsid w:val="33BB3214"/>
    <w:rsid w:val="37FF6B4A"/>
    <w:rsid w:val="3BC31C87"/>
    <w:rsid w:val="3C632CA6"/>
    <w:rsid w:val="490D6193"/>
    <w:rsid w:val="4FFB76B3"/>
    <w:rsid w:val="59D22C08"/>
    <w:rsid w:val="62D94040"/>
    <w:rsid w:val="65577A69"/>
    <w:rsid w:val="721F6348"/>
    <w:rsid w:val="73873DDB"/>
    <w:rsid w:val="78B0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 w:semiHidden="0" w:name="header"/>
    <w:lsdException w:qFormat="1" w:unhideWhenUsed="0" w:uiPriority="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4">
    <w:name w:val="heading 3"/>
    <w:basedOn w:val="1"/>
    <w:next w:val="1"/>
    <w:link w:val="19"/>
    <w:qFormat/>
    <w:uiPriority w:val="9"/>
    <w:pPr>
      <w:keepNext/>
      <w:keepLines/>
      <w:spacing w:before="260" w:after="260" w:line="416" w:lineRule="atLeast"/>
      <w:outlineLvl w:val="2"/>
    </w:pPr>
    <w:rPr>
      <w:b/>
      <w:bC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29"/>
    <w:unhideWhenUsed/>
    <w:qFormat/>
    <w:uiPriority w:val="0"/>
    <w:pPr>
      <w:spacing w:line="240" w:lineRule="auto"/>
    </w:pPr>
    <w:rPr>
      <w:sz w:val="18"/>
      <w:szCs w:val="18"/>
    </w:rPr>
  </w:style>
  <w:style w:type="paragraph" w:styleId="5">
    <w:name w:val="annotation text"/>
    <w:basedOn w:val="1"/>
    <w:link w:val="27"/>
    <w:unhideWhenUsed/>
    <w:qFormat/>
    <w:uiPriority w:val="99"/>
    <w:pPr>
      <w:jc w:val="left"/>
    </w:pPr>
  </w:style>
  <w:style w:type="paragraph" w:styleId="6">
    <w:name w:val="footer"/>
    <w:basedOn w:val="1"/>
    <w:link w:val="23"/>
    <w:qFormat/>
    <w:uiPriority w:val="9"/>
    <w:pPr>
      <w:tabs>
        <w:tab w:val="center" w:pos="4153"/>
        <w:tab w:val="right" w:pos="8306"/>
      </w:tabs>
      <w:snapToGrid w:val="0"/>
      <w:spacing w:line="240" w:lineRule="atLeast"/>
      <w:jc w:val="left"/>
    </w:pPr>
    <w:rPr>
      <w:sz w:val="18"/>
      <w:szCs w:val="18"/>
    </w:rPr>
  </w:style>
  <w:style w:type="paragraph" w:styleId="7">
    <w:name w:val="header"/>
    <w:basedOn w:val="1"/>
    <w:link w:val="20"/>
    <w:qFormat/>
    <w:uiPriority w:val="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9"/>
    <w:next w:val="1"/>
    <w:link w:val="18"/>
    <w:qFormat/>
    <w:uiPriority w:val="1"/>
    <w:pPr>
      <w:outlineLvl w:val="1"/>
    </w:pPr>
    <w:rPr>
      <w:rFonts w:eastAsia="楷体_GB2312"/>
      <w:kern w:val="28"/>
      <w:sz w:val="32"/>
    </w:rPr>
  </w:style>
  <w:style w:type="paragraph" w:styleId="9">
    <w:name w:val="Title"/>
    <w:basedOn w:val="3"/>
    <w:next w:val="1"/>
    <w:link w:val="16"/>
    <w:qFormat/>
    <w:uiPriority w:val="0"/>
    <w:pPr>
      <w:spacing w:before="0" w:after="0" w:line="560" w:lineRule="exact"/>
      <w:jc w:val="center"/>
    </w:pPr>
    <w:rPr>
      <w:rFonts w:ascii="华文中宋" w:hAnsi="Cambria" w:eastAsia="华文中宋"/>
      <w:b w:val="0"/>
      <w:kern w:val="2"/>
      <w:sz w:val="36"/>
      <w:szCs w:val="32"/>
    </w:rPr>
  </w:style>
  <w:style w:type="paragraph" w:styleId="10">
    <w:name w:val="annotation subject"/>
    <w:basedOn w:val="5"/>
    <w:next w:val="5"/>
    <w:link w:val="28"/>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四级编号 Char"/>
    <w:link w:val="15"/>
    <w:qFormat/>
    <w:uiPriority w:val="5"/>
    <w:rPr>
      <w:rFonts w:ascii="Times New Roman" w:hAnsi="Times New Roman" w:eastAsia="仿宋_GB2312"/>
      <w:kern w:val="2"/>
      <w:sz w:val="32"/>
      <w:szCs w:val="32"/>
    </w:rPr>
  </w:style>
  <w:style w:type="paragraph" w:customStyle="1" w:styleId="15">
    <w:name w:val="四级编号"/>
    <w:basedOn w:val="1"/>
    <w:link w:val="14"/>
    <w:qFormat/>
    <w:uiPriority w:val="5"/>
    <w:pPr>
      <w:numPr>
        <w:ilvl w:val="0"/>
        <w:numId w:val="1"/>
      </w:numPr>
      <w:ind w:firstLineChars="200"/>
      <w:outlineLvl w:val="5"/>
    </w:pPr>
  </w:style>
  <w:style w:type="character" w:customStyle="1" w:styleId="16">
    <w:name w:val="标题 字符"/>
    <w:link w:val="9"/>
    <w:qFormat/>
    <w:uiPriority w:val="0"/>
    <w:rPr>
      <w:rFonts w:ascii="华文中宋" w:hAnsi="Cambria" w:eastAsia="华文中宋"/>
      <w:bCs/>
      <w:kern w:val="2"/>
      <w:sz w:val="36"/>
      <w:szCs w:val="32"/>
    </w:rPr>
  </w:style>
  <w:style w:type="character" w:customStyle="1" w:styleId="17">
    <w:name w:val="标题 1 字符"/>
    <w:link w:val="3"/>
    <w:qFormat/>
    <w:uiPriority w:val="9"/>
    <w:rPr>
      <w:rFonts w:ascii="仿宋_GB2312" w:eastAsia="仿宋_GB2312"/>
      <w:b/>
      <w:bCs/>
      <w:kern w:val="44"/>
      <w:sz w:val="44"/>
      <w:szCs w:val="44"/>
    </w:rPr>
  </w:style>
  <w:style w:type="character" w:customStyle="1" w:styleId="18">
    <w:name w:val="副标题 字符"/>
    <w:link w:val="8"/>
    <w:qFormat/>
    <w:uiPriority w:val="1"/>
    <w:rPr>
      <w:rFonts w:ascii="华文中宋" w:hAnsi="Cambria" w:eastAsia="楷体_GB2312"/>
      <w:bCs/>
      <w:kern w:val="28"/>
      <w:sz w:val="32"/>
      <w:szCs w:val="32"/>
    </w:rPr>
  </w:style>
  <w:style w:type="character" w:customStyle="1" w:styleId="19">
    <w:name w:val="标题 3 字符"/>
    <w:link w:val="4"/>
    <w:qFormat/>
    <w:uiPriority w:val="9"/>
    <w:rPr>
      <w:rFonts w:ascii="仿宋_GB2312" w:eastAsia="仿宋_GB2312"/>
      <w:b/>
      <w:bCs/>
      <w:kern w:val="2"/>
      <w:sz w:val="32"/>
      <w:szCs w:val="32"/>
    </w:rPr>
  </w:style>
  <w:style w:type="character" w:customStyle="1" w:styleId="20">
    <w:name w:val="页眉 字符"/>
    <w:link w:val="7"/>
    <w:qFormat/>
    <w:uiPriority w:val="9"/>
    <w:rPr>
      <w:rFonts w:ascii="仿宋_GB2312" w:eastAsia="仿宋_GB2312"/>
      <w:kern w:val="2"/>
      <w:sz w:val="18"/>
      <w:szCs w:val="18"/>
    </w:rPr>
  </w:style>
  <w:style w:type="character" w:customStyle="1" w:styleId="21">
    <w:name w:val="三级编号 Char"/>
    <w:link w:val="22"/>
    <w:qFormat/>
    <w:uiPriority w:val="4"/>
    <w:rPr>
      <w:rFonts w:ascii="Times New Roman" w:hAnsi="Times New Roman" w:eastAsia="仿宋_GB2312"/>
      <w:kern w:val="2"/>
      <w:sz w:val="32"/>
      <w:szCs w:val="32"/>
    </w:rPr>
  </w:style>
  <w:style w:type="paragraph" w:customStyle="1" w:styleId="22">
    <w:name w:val="三级编号"/>
    <w:basedOn w:val="1"/>
    <w:link w:val="21"/>
    <w:qFormat/>
    <w:uiPriority w:val="4"/>
    <w:pPr>
      <w:numPr>
        <w:ilvl w:val="0"/>
        <w:numId w:val="2"/>
      </w:numPr>
      <w:ind w:left="0" w:firstLine="200" w:firstLineChars="200"/>
      <w:outlineLvl w:val="4"/>
    </w:pPr>
  </w:style>
  <w:style w:type="character" w:customStyle="1" w:styleId="23">
    <w:name w:val="页脚 字符"/>
    <w:link w:val="6"/>
    <w:qFormat/>
    <w:uiPriority w:val="9"/>
    <w:rPr>
      <w:rFonts w:ascii="仿宋_GB2312" w:eastAsia="仿宋_GB2312"/>
      <w:kern w:val="2"/>
      <w:sz w:val="18"/>
      <w:szCs w:val="18"/>
    </w:rPr>
  </w:style>
  <w:style w:type="paragraph" w:customStyle="1" w:styleId="24">
    <w:name w:val="列出段落1"/>
    <w:basedOn w:val="1"/>
    <w:qFormat/>
    <w:uiPriority w:val="9"/>
    <w:pPr>
      <w:ind w:firstLine="420" w:firstLineChars="200"/>
    </w:pPr>
  </w:style>
  <w:style w:type="paragraph" w:customStyle="1" w:styleId="25">
    <w:name w:val="二级编号"/>
    <w:basedOn w:val="1"/>
    <w:qFormat/>
    <w:uiPriority w:val="3"/>
    <w:pPr>
      <w:numPr>
        <w:ilvl w:val="0"/>
        <w:numId w:val="3"/>
      </w:numPr>
      <w:ind w:firstLine="200" w:firstLineChars="200"/>
      <w:outlineLvl w:val="3"/>
    </w:pPr>
    <w:rPr>
      <w:rFonts w:eastAsia="楷体_GB2312"/>
      <w:b/>
    </w:rPr>
  </w:style>
  <w:style w:type="paragraph" w:customStyle="1" w:styleId="26">
    <w:name w:val="一级编号"/>
    <w:basedOn w:val="1"/>
    <w:qFormat/>
    <w:uiPriority w:val="2"/>
    <w:pPr>
      <w:numPr>
        <w:ilvl w:val="0"/>
        <w:numId w:val="4"/>
      </w:numPr>
      <w:ind w:left="0" w:firstLine="200" w:firstLineChars="200"/>
      <w:outlineLvl w:val="2"/>
    </w:pPr>
    <w:rPr>
      <w:rFonts w:eastAsia="黑体"/>
    </w:rPr>
  </w:style>
  <w:style w:type="character" w:customStyle="1" w:styleId="27">
    <w:name w:val="批注文字 字符"/>
    <w:basedOn w:val="12"/>
    <w:link w:val="5"/>
    <w:semiHidden/>
    <w:qFormat/>
    <w:uiPriority w:val="99"/>
    <w:rPr>
      <w:rFonts w:ascii="Times New Roman" w:hAnsi="Times New Roman" w:eastAsia="仿宋_GB2312"/>
      <w:kern w:val="2"/>
      <w:sz w:val="32"/>
      <w:szCs w:val="32"/>
    </w:rPr>
  </w:style>
  <w:style w:type="character" w:customStyle="1" w:styleId="28">
    <w:name w:val="批注主题 字符"/>
    <w:basedOn w:val="27"/>
    <w:link w:val="10"/>
    <w:semiHidden/>
    <w:qFormat/>
    <w:uiPriority w:val="99"/>
    <w:rPr>
      <w:rFonts w:ascii="Times New Roman" w:hAnsi="Times New Roman" w:eastAsia="仿宋_GB2312"/>
      <w:b/>
      <w:bCs/>
      <w:kern w:val="2"/>
      <w:sz w:val="32"/>
      <w:szCs w:val="32"/>
    </w:rPr>
  </w:style>
  <w:style w:type="character" w:customStyle="1" w:styleId="29">
    <w:name w:val="批注框文本 字符"/>
    <w:basedOn w:val="12"/>
    <w:link w:val="2"/>
    <w:qFormat/>
    <w:uiPriority w:val="0"/>
    <w:rPr>
      <w:rFonts w:ascii="Times New Roman" w:hAnsi="Times New Roman" w:eastAsia="仿宋_GB2312"/>
      <w:kern w:val="2"/>
      <w:sz w:val="18"/>
      <w:szCs w:val="18"/>
    </w:rPr>
  </w:style>
  <w:style w:type="paragraph" w:customStyle="1" w:styleId="30">
    <w:name w:val="p0"/>
    <w:basedOn w:val="1"/>
    <w:qFormat/>
    <w:uiPriority w:val="0"/>
    <w:pPr>
      <w:widowControl/>
      <w:spacing w:line="240" w:lineRule="auto"/>
    </w:pPr>
    <w:rPr>
      <w:rFonts w:eastAsia="宋体"/>
      <w:kern w:val="0"/>
      <w:sz w:val="21"/>
      <w:szCs w:val="21"/>
    </w:rPr>
  </w:style>
  <w:style w:type="paragraph" w:customStyle="1" w:styleId="31">
    <w:name w:val="修订1"/>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长乐住建局</Company>
  <Pages>8</Pages>
  <Words>3307</Words>
  <Characters>3334</Characters>
  <Lines>24</Lines>
  <Paragraphs>6</Paragraphs>
  <TotalTime>12</TotalTime>
  <ScaleCrop>false</ScaleCrop>
  <LinksUpToDate>false</LinksUpToDate>
  <CharactersWithSpaces>3337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2022-11-21T03:31:00Z</dcterms:created>
  <dc:creator>Jinhui</dc:creator>
  <cp:lastModifiedBy>95</cp:lastModifiedBy>
  <cp:lastPrinted>2023-01-18T02:44:53Z</cp:lastPrinted>
  <dcterms:modified xsi:type="dcterms:W3CDTF">2023-01-18T02:51:15Z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8B863AD6112D434BB5465430B0769BCC</vt:lpwstr>
  </property>
</Properties>
</file>