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长乐区</w:t>
      </w:r>
      <w:bookmarkStart w:id="0" w:name="_Hlk80456979"/>
      <w:r>
        <w:rPr>
          <w:rFonts w:hint="eastAsia" w:ascii="方正小标宋简体" w:hAnsi="微软雅黑" w:eastAsia="方正小标宋简体"/>
          <w:sz w:val="44"/>
          <w:szCs w:val="44"/>
        </w:rPr>
        <w:t>玉田居住片区</w:t>
      </w:r>
      <w:bookmarkEnd w:id="0"/>
      <w:r>
        <w:rPr>
          <w:rFonts w:hint="eastAsia" w:ascii="方正小标宋简体" w:hAnsi="微软雅黑" w:eastAsia="方正小标宋简体"/>
          <w:sz w:val="44"/>
          <w:szCs w:val="44"/>
        </w:rPr>
        <w:t>土地征收成片开发方案</w:t>
      </w:r>
    </w:p>
    <w:p>
      <w:pPr>
        <w:spacing w:line="560" w:lineRule="exact"/>
        <w:jc w:val="center"/>
        <w:rPr>
          <w:rFonts w:ascii="方正小标宋简体" w:hAnsi="微软雅黑" w:eastAsia="方正小标宋简体"/>
          <w:sz w:val="44"/>
          <w:szCs w:val="44"/>
        </w:rPr>
      </w:pP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ind w:firstLine="640" w:firstLineChars="200"/>
        <w:rPr>
          <w:rFonts w:ascii="Times New Roman" w:hAnsi="Times New Roman" w:eastAsia="仿宋_GB2312"/>
          <w:sz w:val="32"/>
          <w:szCs w:val="32"/>
        </w:rPr>
      </w:pPr>
      <w:r>
        <w:rPr>
          <w:rFonts w:hint="eastAsia" w:ascii="仿宋_GB2312" w:hAnsi="宋体" w:eastAsia="仿宋_GB2312"/>
          <w:sz w:val="32"/>
          <w:szCs w:val="32"/>
        </w:rPr>
        <w:t>依据《中华人民共和国土地管理法》（2019年</w:t>
      </w:r>
      <w:r>
        <w:rPr>
          <w:rFonts w:ascii="仿宋_GB2312" w:hAnsi="宋体" w:eastAsia="仿宋_GB2312"/>
          <w:sz w:val="32"/>
          <w:szCs w:val="32"/>
        </w:rPr>
        <w:t>修正版</w:t>
      </w:r>
      <w:r>
        <w:rPr>
          <w:rFonts w:hint="eastAsia" w:ascii="仿宋_GB2312" w:hAnsi="宋体" w:eastAsia="仿宋_GB2312"/>
          <w:sz w:val="32"/>
          <w:szCs w:val="32"/>
        </w:rPr>
        <w:t>）、《自然资源部关于印发</w:t>
      </w:r>
      <w:r>
        <w:rPr>
          <w:rFonts w:ascii="仿宋_GB2312" w:hAnsi="宋体" w:eastAsia="仿宋_GB2312"/>
          <w:sz w:val="32"/>
          <w:szCs w:val="32"/>
        </w:rPr>
        <w:t>&lt;土地征收成片开发标准（试行）&gt;的通知》（自然资规〔2020〕5号）</w:t>
      </w:r>
      <w:r>
        <w:rPr>
          <w:rFonts w:hint="eastAsia" w:ascii="仿宋_GB2312" w:hAnsi="宋体" w:eastAsia="仿宋_GB2312"/>
          <w:sz w:val="32"/>
          <w:szCs w:val="32"/>
        </w:rPr>
        <w:t>、</w:t>
      </w:r>
      <w:bookmarkStart w:id="1" w:name="_Hlk62547865"/>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w:t>
      </w:r>
      <w:r>
        <w:rPr>
          <w:rFonts w:hint="eastAsia" w:ascii="Times New Roman" w:hAnsi="Times New Roman" w:eastAsia="仿宋_GB2312"/>
          <w:sz w:val="32"/>
          <w:szCs w:val="32"/>
        </w:rPr>
        <w:t>《自然资源部办公厅关于印发〈国土空间调查、规划、用途管制用地用海分类指南（试行）〉》（自然资办发〔</w:t>
      </w:r>
      <w:r>
        <w:rPr>
          <w:rFonts w:ascii="Times New Roman" w:hAnsi="Times New Roman" w:eastAsia="仿宋_GB2312"/>
          <w:sz w:val="32"/>
          <w:szCs w:val="32"/>
        </w:rPr>
        <w:t>2020〕51号）</w:t>
      </w:r>
      <w:r>
        <w:rPr>
          <w:rFonts w:hint="eastAsia" w:ascii="仿宋_GB2312" w:hAnsi="宋体" w:eastAsia="仿宋_GB2312"/>
          <w:sz w:val="32"/>
          <w:szCs w:val="32"/>
        </w:rPr>
        <w:t>、</w:t>
      </w:r>
      <w:bookmarkEnd w:id="1"/>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、《福建省土地征收成片开发方案编制参考指南</w:t>
      </w:r>
      <w:r>
        <w:rPr>
          <w:rFonts w:ascii="仿宋_GB2312" w:hAnsi="宋体" w:eastAsia="仿宋_GB2312"/>
          <w:sz w:val="32"/>
          <w:szCs w:val="32"/>
        </w:rPr>
        <w:t>(试行)》（闽自然资发〔2021〕6号）</w:t>
      </w:r>
      <w:r>
        <w:rPr>
          <w:rFonts w:hint="eastAsia" w:ascii="仿宋_GB2312" w:hAnsi="宋体" w:eastAsia="仿宋_GB2312"/>
          <w:sz w:val="32"/>
          <w:szCs w:val="32"/>
        </w:rPr>
        <w:t>、《长乐市土地利用总体规划（</w:t>
      </w:r>
      <w:r>
        <w:rPr>
          <w:rFonts w:ascii="仿宋_GB2312" w:hAnsi="宋体" w:eastAsia="仿宋_GB2312"/>
          <w:sz w:val="32"/>
          <w:szCs w:val="32"/>
        </w:rPr>
        <w:t>2006-2020年）调整完善方案》</w:t>
      </w:r>
      <w:r>
        <w:rPr>
          <w:rFonts w:hint="eastAsia" w:ascii="仿宋_GB2312" w:hAnsi="宋体" w:eastAsia="仿宋_GB2312"/>
          <w:sz w:val="32"/>
          <w:szCs w:val="32"/>
        </w:rPr>
        <w:t>编制《长乐区玉田居住片区土地征收成片开发方案》。</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玉田居住片区涉及长乐区玉田镇玉田村和东渡村，共</w:t>
      </w:r>
      <w:r>
        <w:rPr>
          <w:rFonts w:ascii="仿宋_GB2312" w:hAnsi="宋体" w:eastAsia="仿宋_GB2312"/>
          <w:sz w:val="32"/>
          <w:szCs w:val="32"/>
        </w:rPr>
        <w:t>1</w:t>
      </w:r>
      <w:r>
        <w:rPr>
          <w:rFonts w:hint="eastAsia" w:ascii="仿宋_GB2312" w:hAnsi="宋体" w:eastAsia="仿宋_GB2312"/>
          <w:sz w:val="32"/>
          <w:szCs w:val="32"/>
        </w:rPr>
        <w:t>个镇2个</w:t>
      </w:r>
      <w:r>
        <w:rPr>
          <w:rFonts w:ascii="仿宋_GB2312" w:hAnsi="宋体" w:eastAsia="仿宋_GB2312"/>
          <w:sz w:val="32"/>
          <w:szCs w:val="32"/>
        </w:rPr>
        <w:t>村</w:t>
      </w:r>
      <w:r>
        <w:rPr>
          <w:rFonts w:hint="eastAsia" w:ascii="仿宋_GB2312" w:hAnsi="宋体" w:eastAsia="仿宋_GB2312"/>
          <w:sz w:val="32"/>
          <w:szCs w:val="32"/>
        </w:rPr>
        <w:t>，涉及1个</w:t>
      </w:r>
      <w:r>
        <w:rPr>
          <w:rFonts w:ascii="仿宋_GB2312" w:hAnsi="宋体" w:eastAsia="仿宋_GB2312"/>
          <w:sz w:val="32"/>
          <w:szCs w:val="32"/>
        </w:rPr>
        <w:t>国有单位，不涉及省级和国家级开发单位。</w:t>
      </w:r>
      <w:r>
        <w:rPr>
          <w:rFonts w:hint="eastAsia" w:ascii="仿宋_GB2312" w:hAnsi="宋体" w:eastAsia="仿宋_GB2312"/>
          <w:sz w:val="32"/>
          <w:szCs w:val="32"/>
        </w:rPr>
        <w:t>该成片开发</w:t>
      </w:r>
      <w:r>
        <w:rPr>
          <w:rFonts w:ascii="仿宋_GB2312" w:hAnsi="宋体" w:eastAsia="仿宋_GB2312"/>
          <w:sz w:val="32"/>
          <w:szCs w:val="32"/>
        </w:rPr>
        <w:t>范围</w:t>
      </w:r>
      <w:r>
        <w:rPr>
          <w:rFonts w:hint="eastAsia" w:ascii="仿宋_GB2312" w:hAnsi="宋体" w:eastAsia="仿宋_GB2312"/>
          <w:sz w:val="32"/>
          <w:szCs w:val="32"/>
        </w:rPr>
        <w:t>总</w:t>
      </w:r>
      <w:r>
        <w:rPr>
          <w:rFonts w:ascii="仿宋_GB2312" w:hAnsi="宋体" w:eastAsia="仿宋_GB2312"/>
          <w:sz w:val="32"/>
          <w:szCs w:val="32"/>
        </w:rPr>
        <w:t>面积</w:t>
      </w:r>
      <w:r>
        <w:rPr>
          <w:rFonts w:hint="eastAsia" w:ascii="仿宋_GB2312" w:hAnsi="宋体" w:eastAsia="仿宋_GB2312"/>
          <w:sz w:val="32"/>
          <w:szCs w:val="32"/>
        </w:rPr>
        <w:t xml:space="preserve">11.0801 </w:t>
      </w:r>
      <w:r>
        <w:rPr>
          <w:rFonts w:ascii="仿宋_GB2312" w:hAnsi="宋体" w:eastAsia="仿宋_GB2312"/>
          <w:sz w:val="32"/>
          <w:szCs w:val="32"/>
        </w:rPr>
        <w:t>公顷</w:t>
      </w:r>
      <w:r>
        <w:rPr>
          <w:rFonts w:hint="eastAsia" w:ascii="仿宋_GB2312" w:hAnsi="宋体" w:eastAsia="仿宋_GB2312"/>
          <w:sz w:val="32"/>
          <w:szCs w:val="32"/>
        </w:rPr>
        <w:t>，其中</w:t>
      </w:r>
      <w:r>
        <w:rPr>
          <w:rFonts w:ascii="仿宋_GB2312" w:hAnsi="宋体" w:eastAsia="仿宋_GB2312"/>
          <w:sz w:val="32"/>
          <w:szCs w:val="32"/>
        </w:rPr>
        <w:t>集体土地面积</w:t>
      </w:r>
      <w:r>
        <w:rPr>
          <w:rFonts w:hint="eastAsia" w:ascii="仿宋_GB2312" w:hAnsi="宋体" w:eastAsia="仿宋_GB2312"/>
          <w:sz w:val="32"/>
          <w:szCs w:val="32"/>
        </w:rPr>
        <w:t>10.1901 公顷</w:t>
      </w:r>
      <w:r>
        <w:rPr>
          <w:rFonts w:ascii="仿宋_GB2312" w:hAnsi="宋体" w:eastAsia="仿宋_GB2312"/>
          <w:sz w:val="32"/>
          <w:szCs w:val="32"/>
        </w:rPr>
        <w:t>，国有</w:t>
      </w:r>
      <w:r>
        <w:rPr>
          <w:rFonts w:hint="eastAsia" w:ascii="仿宋_GB2312" w:hAnsi="宋体" w:eastAsia="仿宋_GB2312"/>
          <w:sz w:val="32"/>
          <w:szCs w:val="32"/>
          <w:lang w:eastAsia="zh-CN"/>
        </w:rPr>
        <w:t>建设用地</w:t>
      </w:r>
      <w:r>
        <w:rPr>
          <w:rFonts w:hint="eastAsia" w:ascii="仿宋_GB2312" w:hAnsi="宋体" w:eastAsia="仿宋_GB2312"/>
          <w:sz w:val="32"/>
          <w:szCs w:val="32"/>
        </w:rPr>
        <w:t>0.8900 公顷</w:t>
      </w:r>
      <w:r>
        <w:rPr>
          <w:rFonts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本方案涉及农用地8.1431 </w:t>
      </w:r>
      <w:r>
        <w:rPr>
          <w:rFonts w:ascii="仿宋_GB2312" w:hAnsi="宋体" w:eastAsia="仿宋_GB2312"/>
          <w:sz w:val="32"/>
          <w:szCs w:val="32"/>
        </w:rPr>
        <w:t>公顷（其中：耕地</w:t>
      </w:r>
      <w:r>
        <w:rPr>
          <w:rFonts w:hint="eastAsia" w:ascii="仿宋_GB2312" w:hAnsi="宋体" w:eastAsia="仿宋_GB2312"/>
          <w:sz w:val="32"/>
          <w:szCs w:val="32"/>
        </w:rPr>
        <w:t xml:space="preserve">7.8241 </w:t>
      </w:r>
      <w:r>
        <w:rPr>
          <w:rFonts w:ascii="仿宋_GB2312" w:hAnsi="宋体" w:eastAsia="仿宋_GB2312"/>
          <w:sz w:val="32"/>
          <w:szCs w:val="32"/>
        </w:rPr>
        <w:t>公顷），建设用地</w:t>
      </w:r>
      <w:r>
        <w:rPr>
          <w:rFonts w:hint="eastAsia" w:ascii="仿宋_GB2312" w:hAnsi="宋体" w:eastAsia="仿宋_GB2312"/>
          <w:sz w:val="32"/>
          <w:szCs w:val="32"/>
        </w:rPr>
        <w:t xml:space="preserve">2.2646 </w:t>
      </w:r>
      <w:r>
        <w:rPr>
          <w:rFonts w:ascii="仿宋_GB2312" w:hAnsi="宋体" w:eastAsia="仿宋_GB2312"/>
          <w:sz w:val="32"/>
          <w:szCs w:val="32"/>
        </w:rPr>
        <w:t>公顷，未利用地</w:t>
      </w:r>
      <w:r>
        <w:rPr>
          <w:rFonts w:hint="eastAsia" w:ascii="仿宋_GB2312" w:hAnsi="宋体" w:eastAsia="仿宋_GB2312"/>
          <w:sz w:val="32"/>
          <w:szCs w:val="32"/>
        </w:rPr>
        <w:t xml:space="preserve">0.6724 </w:t>
      </w:r>
      <w:r>
        <w:rPr>
          <w:rFonts w:ascii="仿宋_GB2312" w:hAnsi="宋体" w:eastAsia="仿宋_GB2312"/>
          <w:sz w:val="32"/>
          <w:szCs w:val="32"/>
        </w:rPr>
        <w:t>公顷。</w:t>
      </w:r>
    </w:p>
    <w:p>
      <w:pPr>
        <w:pStyle w:val="3"/>
        <w:numPr>
          <w:ilvl w:val="0"/>
          <w:numId w:val="0"/>
        </w:numPr>
        <w:spacing w:line="560" w:lineRule="exact"/>
        <w:ind w:firstLine="640" w:firstLineChars="200"/>
        <w:rPr>
          <w:rFonts w:ascii="黑体" w:hAnsi="黑体" w:eastAsia="黑体"/>
          <w:b w:val="0"/>
          <w:szCs w:val="32"/>
        </w:rPr>
      </w:pPr>
      <w:r>
        <w:rPr>
          <w:rFonts w:ascii="黑体" w:hAnsi="黑体" w:eastAsia="黑体"/>
          <w:b w:val="0"/>
          <w:szCs w:val="32"/>
        </w:rPr>
        <w:t xml:space="preserve"> </w:t>
      </w:r>
      <w:r>
        <w:rPr>
          <w:rFonts w:hint="eastAsia" w:ascii="黑体" w:hAnsi="黑体" w:eastAsia="黑体"/>
          <w:b w:val="0"/>
          <w:szCs w:val="32"/>
        </w:rPr>
        <w:t>三、项目的必要性</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本片区的开发建设是加快融入洞江湖融合发展区发展的重要举措，是加速玉田镇新型城镇化进程，推进和谐社会建设的需要，也是保障“十四五”期间土地资源要素供应的需要。</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widowControl/>
        <w:ind w:firstLine="640" w:firstLineChars="200"/>
        <w:rPr>
          <w:rFonts w:ascii="仿宋_GB2312" w:hAnsi="宋体" w:eastAsia="仿宋_GB2312"/>
          <w:sz w:val="32"/>
          <w:szCs w:val="32"/>
        </w:rPr>
      </w:pPr>
      <w:r>
        <w:rPr>
          <w:rFonts w:hint="eastAsia" w:ascii="仿宋_GB2312" w:hAnsi="宋体" w:eastAsia="仿宋_GB2312"/>
          <w:sz w:val="32"/>
          <w:szCs w:val="32"/>
        </w:rPr>
        <w:t>本方案包括</w:t>
      </w:r>
      <w:r>
        <w:rPr>
          <w:rFonts w:hint="eastAsia" w:ascii="Times New Roman" w:hAnsi="Times New Roman" w:eastAsia="仿宋_GB2312"/>
          <w:sz w:val="32"/>
          <w:szCs w:val="32"/>
        </w:rPr>
        <w:t>交通运输用地</w:t>
      </w:r>
      <w:r>
        <w:rPr>
          <w:rFonts w:hint="eastAsia" w:ascii="仿宋_GB2312" w:hAnsi="宋体" w:eastAsia="仿宋_GB2312"/>
          <w:sz w:val="32"/>
          <w:szCs w:val="32"/>
        </w:rPr>
        <w:t>4.4635</w:t>
      </w:r>
      <w:r>
        <w:rPr>
          <w:rFonts w:hint="eastAsia" w:ascii="Times New Roman" w:hAnsi="Times New Roman" w:eastAsia="仿宋_GB2312"/>
          <w:sz w:val="32"/>
          <w:szCs w:val="32"/>
        </w:rPr>
        <w:t>公顷；</w:t>
      </w:r>
      <w:r>
        <w:rPr>
          <w:rFonts w:hint="eastAsia" w:ascii="仿宋_GB2312" w:hAnsi="宋体" w:eastAsia="仿宋_GB2312"/>
          <w:sz w:val="32"/>
          <w:szCs w:val="32"/>
        </w:rPr>
        <w:t>居住用地3.5175公顷</w:t>
      </w:r>
      <w:r>
        <w:rPr>
          <w:rFonts w:hint="eastAsia" w:ascii="Times New Roman" w:hAnsi="Times New Roman" w:eastAsia="仿宋_GB2312"/>
          <w:sz w:val="32"/>
          <w:szCs w:val="32"/>
        </w:rPr>
        <w:t>；绿地与开敞空间用地</w:t>
      </w:r>
      <w:r>
        <w:rPr>
          <w:rFonts w:hint="eastAsia" w:ascii="仿宋_GB2312" w:hAnsi="宋体" w:eastAsia="仿宋_GB2312"/>
          <w:sz w:val="32"/>
          <w:szCs w:val="32"/>
        </w:rPr>
        <w:t>1.5318</w:t>
      </w:r>
      <w:r>
        <w:rPr>
          <w:rFonts w:hint="eastAsia" w:ascii="Times New Roman" w:hAnsi="Times New Roman" w:eastAsia="仿宋_GB2312"/>
          <w:sz w:val="32"/>
          <w:szCs w:val="32"/>
        </w:rPr>
        <w:t>公顷；公共管理与公共服务用地</w:t>
      </w:r>
      <w:r>
        <w:rPr>
          <w:rFonts w:hint="eastAsia" w:ascii="仿宋_GB2312" w:hAnsi="宋体" w:eastAsia="仿宋_GB2312"/>
          <w:sz w:val="32"/>
          <w:szCs w:val="32"/>
        </w:rPr>
        <w:t>1.08</w:t>
      </w:r>
      <w:r>
        <w:rPr>
          <w:rFonts w:hint="eastAsia" w:ascii="仿宋_GB2312" w:hAnsi="宋体" w:eastAsia="仿宋_GB2312"/>
          <w:sz w:val="32"/>
          <w:szCs w:val="32"/>
          <w:lang w:val="en-US" w:eastAsia="zh-CN"/>
        </w:rPr>
        <w:t>39</w:t>
      </w:r>
      <w:r>
        <w:rPr>
          <w:rFonts w:hint="eastAsia" w:ascii="Times New Roman" w:hAnsi="Times New Roman" w:eastAsia="仿宋_GB2312"/>
          <w:sz w:val="32"/>
          <w:szCs w:val="32"/>
        </w:rPr>
        <w:t>公顷；陆地水域</w:t>
      </w:r>
      <w:r>
        <w:rPr>
          <w:rFonts w:hint="eastAsia" w:ascii="仿宋_GB2312" w:hAnsi="宋体" w:eastAsia="仿宋_GB2312"/>
          <w:sz w:val="32"/>
          <w:szCs w:val="32"/>
        </w:rPr>
        <w:t>0.4834</w:t>
      </w:r>
      <w:r>
        <w:rPr>
          <w:rFonts w:hint="eastAsia" w:ascii="Times New Roman" w:hAnsi="Times New Roman" w:eastAsia="仿宋_GB2312"/>
          <w:sz w:val="32"/>
          <w:szCs w:val="32"/>
        </w:rPr>
        <w:t>公顷。</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ind w:firstLine="640" w:firstLineChars="200"/>
        <w:rPr>
          <w:rFonts w:ascii="仿宋_GB2312" w:hAnsi="宋体" w:eastAsia="仿宋_GB2312"/>
          <w:sz w:val="32"/>
          <w:szCs w:val="32"/>
        </w:rPr>
      </w:pPr>
      <w:r>
        <w:rPr>
          <w:rFonts w:hint="eastAsia" w:ascii="Times New Roman" w:hAnsi="Times New Roman" w:eastAsia="仿宋_GB2312"/>
          <w:sz w:val="32"/>
          <w:szCs w:val="32"/>
        </w:rPr>
        <w:t>公益性用地包含公共管理与公共服务用地、交通运输用地、绿地与开敞空间用地和陆地水域等，合计</w:t>
      </w:r>
      <w:r>
        <w:rPr>
          <w:rFonts w:hint="eastAsia" w:ascii="仿宋_GB2312" w:hAnsi="宋体" w:eastAsia="仿宋_GB2312"/>
          <w:sz w:val="32"/>
          <w:szCs w:val="32"/>
        </w:rPr>
        <w:t>7.</w:t>
      </w:r>
      <w:r>
        <w:rPr>
          <w:rFonts w:hint="eastAsia" w:ascii="仿宋_GB2312" w:hAnsi="宋体" w:eastAsia="仿宋_GB2312"/>
          <w:sz w:val="32"/>
          <w:szCs w:val="32"/>
          <w:lang w:val="en-US" w:eastAsia="zh-CN"/>
        </w:rPr>
        <w:t>5626</w:t>
      </w:r>
      <w:r>
        <w:rPr>
          <w:rFonts w:hint="eastAsia" w:ascii="Times New Roman" w:hAnsi="Times New Roman" w:eastAsia="仿宋_GB2312"/>
          <w:sz w:val="32"/>
          <w:szCs w:val="32"/>
        </w:rPr>
        <w:t>公顷，占总用地</w:t>
      </w:r>
      <w:r>
        <w:rPr>
          <w:rFonts w:hint="eastAsia" w:ascii="仿宋_GB2312" w:hAnsi="宋体" w:eastAsia="仿宋_GB2312"/>
          <w:sz w:val="32"/>
          <w:szCs w:val="32"/>
        </w:rPr>
        <w:t>面积的68.</w:t>
      </w:r>
      <w:r>
        <w:rPr>
          <w:rFonts w:hint="eastAsia" w:ascii="仿宋_GB2312" w:hAnsi="宋体" w:eastAsia="仿宋_GB2312"/>
          <w:sz w:val="32"/>
          <w:szCs w:val="32"/>
          <w:lang w:val="en-US" w:eastAsia="zh-CN"/>
        </w:rPr>
        <w:t>25</w:t>
      </w:r>
      <w:r>
        <w:rPr>
          <w:rFonts w:ascii="仿宋_GB2312" w:hAnsi="宋体" w:eastAsia="仿宋_GB2312"/>
          <w:sz w:val="32"/>
          <w:szCs w:val="32"/>
        </w:rPr>
        <w:t>%</w:t>
      </w:r>
      <w:r>
        <w:rPr>
          <w:rFonts w:hint="eastAsia" w:ascii="仿宋_GB2312" w:hAnsi="宋体" w:eastAsia="仿宋_GB2312"/>
          <w:sz w:val="32"/>
          <w:szCs w:val="32"/>
        </w:rPr>
        <w:t>，符合自然资规〔</w:t>
      </w:r>
      <w:r>
        <w:rPr>
          <w:rFonts w:ascii="仿宋_GB2312" w:hAnsi="宋体" w:eastAsia="仿宋_GB2312"/>
          <w:sz w:val="32"/>
          <w:szCs w:val="32"/>
        </w:rPr>
        <w:t>2020</w:t>
      </w: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号文件规定。</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560" w:lineRule="exact"/>
        <w:ind w:firstLine="640" w:firstLineChars="200"/>
        <w:rPr>
          <w:rFonts w:hint="eastAsia" w:ascii="仿宋_GB2312" w:hAnsi="宋体" w:eastAsia="仿宋_GB2312"/>
          <w:sz w:val="32"/>
          <w:szCs w:val="32"/>
          <w:lang w:eastAsia="zh-CN"/>
        </w:rPr>
      </w:pPr>
      <w:r>
        <w:rPr>
          <w:rFonts w:ascii="仿宋_GB2312" w:hAnsi="宋体" w:eastAsia="仿宋_GB2312"/>
          <w:sz w:val="32"/>
          <w:szCs w:val="32"/>
        </w:rPr>
        <w:t xml:space="preserve">本方案符合国民经济和社会发展规划的发展定位、要求，有 利于完成规划目标、任务，已纳入国民经济和社会发展年度计划。 </w:t>
      </w:r>
      <w:r>
        <w:rPr>
          <w:rFonts w:hint="eastAsia" w:ascii="仿宋_GB2312" w:hAnsi="宋体" w:eastAsia="仿宋_GB2312"/>
          <w:sz w:val="32"/>
          <w:szCs w:val="32"/>
        </w:rPr>
        <w:t>本方案已纳入上报的城镇开发边界集中建设区，</w:t>
      </w:r>
      <w:r>
        <w:rPr>
          <w:rFonts w:hint="eastAsia" w:ascii="仿宋_GB2312" w:hAnsi="宋体" w:eastAsia="仿宋_GB2312"/>
          <w:sz w:val="32"/>
          <w:szCs w:val="32"/>
          <w:lang w:val="en-US" w:eastAsia="zh-CN"/>
        </w:rPr>
        <w:t>长乐区</w:t>
      </w:r>
      <w:r>
        <w:rPr>
          <w:rFonts w:hint="eastAsia" w:ascii="仿宋_GB2312" w:hAnsi="宋体" w:eastAsia="仿宋_GB2312"/>
          <w:sz w:val="32"/>
          <w:szCs w:val="32"/>
        </w:rPr>
        <w:t>人民政府承诺将土地征收成片开发范围纳入国土空间规划最终确定的城镇开发边界内的集中建设区</w:t>
      </w:r>
      <w:r>
        <w:rPr>
          <w:rFonts w:hint="eastAsia" w:ascii="仿宋_GB2312" w:hAnsi="宋体" w:eastAsia="仿宋_GB2312"/>
          <w:sz w:val="32"/>
          <w:szCs w:val="32"/>
          <w:lang w:eastAsia="zh-CN"/>
        </w:rPr>
        <w:t>。</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成片开发范围内不涉及永久基本农田、陆域生态保护红线等，符合成片开发项目送审报批的要求。</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本方案</w:t>
      </w:r>
      <w:r>
        <w:rPr>
          <w:rFonts w:hint="eastAsia" w:ascii="仿宋_GB2312" w:hAnsi="宋体" w:eastAsia="仿宋_GB2312"/>
          <w:sz w:val="32"/>
          <w:szCs w:val="32"/>
          <w:lang w:val="en-US" w:eastAsia="zh-CN"/>
        </w:rPr>
        <w:t>用地总面积11.0801公顷，其中涉及已完成实施面积0.8900公顷，现状道路用地1.5667公顷暂</w:t>
      </w:r>
      <w:bookmarkStart w:id="2" w:name="_GoBack"/>
      <w:bookmarkEnd w:id="2"/>
      <w:r>
        <w:rPr>
          <w:rFonts w:hint="eastAsia" w:ascii="仿宋_GB2312" w:hAnsi="宋体" w:eastAsia="仿宋_GB2312"/>
          <w:sz w:val="32"/>
          <w:szCs w:val="32"/>
          <w:lang w:val="en-US" w:eastAsia="zh-CN"/>
        </w:rPr>
        <w:t>不实施，故拟安排实施项目面积8.6234公顷，</w:t>
      </w:r>
      <w:r>
        <w:rPr>
          <w:rFonts w:ascii="仿宋_GB2312" w:hAnsi="宋体" w:eastAsia="仿宋_GB2312"/>
          <w:sz w:val="32"/>
          <w:szCs w:val="32"/>
        </w:rPr>
        <w:t>计划实施周期为202</w:t>
      </w:r>
      <w:r>
        <w:rPr>
          <w:rFonts w:hint="eastAsia" w:ascii="仿宋_GB2312" w:hAnsi="宋体" w:eastAsia="仿宋_GB2312"/>
          <w:sz w:val="32"/>
          <w:szCs w:val="32"/>
          <w:lang w:val="en-US" w:eastAsia="zh-CN"/>
        </w:rPr>
        <w:t>2</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ascii="仿宋_GB2312" w:hAnsi="宋体" w:eastAsia="仿宋_GB2312"/>
          <w:sz w:val="32"/>
          <w:szCs w:val="32"/>
        </w:rPr>
        <w:t>年，</w:t>
      </w:r>
      <w:r>
        <w:rPr>
          <w:rFonts w:hint="eastAsia" w:ascii="仿宋_GB2312" w:hAnsi="宋体" w:eastAsia="仿宋_GB2312"/>
          <w:sz w:val="32"/>
          <w:szCs w:val="32"/>
          <w:lang w:val="en-US" w:eastAsia="zh-CN"/>
        </w:rPr>
        <w:t>3</w:t>
      </w:r>
      <w:r>
        <w:rPr>
          <w:rFonts w:ascii="仿宋_GB2312" w:hAnsi="宋体" w:eastAsia="仿宋_GB2312"/>
          <w:sz w:val="32"/>
          <w:szCs w:val="32"/>
        </w:rPr>
        <w:t>年内实施完毕</w:t>
      </w:r>
      <w:r>
        <w:rPr>
          <w:rFonts w:hint="eastAsia" w:ascii="仿宋_GB2312" w:hAnsi="宋体" w:eastAsia="仿宋_GB2312"/>
          <w:sz w:val="32"/>
          <w:szCs w:val="32"/>
        </w:rPr>
        <w:t>。</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九、效益评估</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（一）土地利用效益：有助于提高现有用地使用效益，实现土地利用由粗放型向集约型的根本转变。有利于优化建设用地空间布局，提高建设用地集约利用水平。</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（二）经济</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社会</w:t>
      </w:r>
      <w:r>
        <w:rPr>
          <w:rFonts w:hint="eastAsia" w:ascii="仿宋_GB2312" w:hAnsi="宋体" w:eastAsia="仿宋_GB2312"/>
          <w:bCs/>
          <w:sz w:val="32"/>
          <w:szCs w:val="32"/>
        </w:rPr>
        <w:t>效益：本片区位于玉田镇城镇中心，靠近营滨路和创业路，交通便利，居住环境较好，土地价值较高，</w:t>
      </w:r>
      <w:r>
        <w:rPr>
          <w:rFonts w:hint="eastAsia" w:ascii="仿宋_GB2312" w:hAnsi="宋体" w:eastAsia="仿宋_GB2312"/>
          <w:bCs/>
          <w:sz w:val="32"/>
          <w:szCs w:val="32"/>
          <w:lang w:val="en-US" w:eastAsia="zh-CN"/>
        </w:rPr>
        <w:t>有利于</w:t>
      </w:r>
      <w:r>
        <w:rPr>
          <w:rFonts w:hint="eastAsia" w:ascii="仿宋_GB2312" w:hAnsi="宋体" w:eastAsia="仿宋_GB2312"/>
          <w:bCs/>
          <w:sz w:val="32"/>
          <w:szCs w:val="32"/>
        </w:rPr>
        <w:t>进一步增强人口集聚效应，为城镇开发建设注入动能，助力片区发展进入快速发展通道</w:t>
      </w:r>
      <w:r>
        <w:rPr>
          <w:rFonts w:hint="eastAsia" w:ascii="仿宋_GB2312" w:hAnsi="宋体" w:eastAsia="仿宋_GB2312"/>
          <w:bCs/>
          <w:sz w:val="32"/>
          <w:szCs w:val="32"/>
          <w:lang w:eastAsia="zh-CN"/>
        </w:rPr>
        <w:t>。</w:t>
      </w:r>
      <w:r>
        <w:rPr>
          <w:rFonts w:hint="eastAsia" w:ascii="仿宋_GB2312" w:hAnsi="宋体" w:eastAsia="仿宋_GB2312"/>
          <w:bCs/>
          <w:sz w:val="32"/>
          <w:szCs w:val="32"/>
        </w:rPr>
        <w:t>居住人口的集聚将带动周边生活配套的完善和商业、商务的发展，拉动当地基础配套设施建设及相关行业的投入，</w:t>
      </w:r>
      <w:r>
        <w:rPr>
          <w:rFonts w:hint="eastAsia" w:ascii="仿宋_GB2312" w:hAnsi="宋体" w:eastAsia="仿宋_GB2312"/>
          <w:bCs/>
          <w:sz w:val="32"/>
          <w:szCs w:val="32"/>
          <w:lang w:val="en-US" w:eastAsia="zh-CN"/>
        </w:rPr>
        <w:t>有效促进</w:t>
      </w:r>
      <w:r>
        <w:rPr>
          <w:rFonts w:hint="eastAsia" w:ascii="仿宋_GB2312" w:hAnsi="宋体" w:eastAsia="仿宋_GB2312"/>
          <w:bCs/>
          <w:sz w:val="32"/>
          <w:szCs w:val="32"/>
        </w:rPr>
        <w:t>区域经济发展，增加</w:t>
      </w:r>
      <w:r>
        <w:rPr>
          <w:rFonts w:hint="eastAsia" w:ascii="仿宋_GB2312" w:hAnsi="宋体" w:eastAsia="仿宋_GB2312"/>
          <w:bCs/>
          <w:sz w:val="32"/>
          <w:szCs w:val="32"/>
          <w:lang w:val="en-US" w:eastAsia="zh-CN"/>
        </w:rPr>
        <w:t>财政收入</w:t>
      </w:r>
      <w:r>
        <w:rPr>
          <w:rFonts w:hint="eastAsia" w:ascii="仿宋_GB2312" w:hAnsi="宋体" w:eastAsia="仿宋_GB2312"/>
          <w:bCs/>
          <w:sz w:val="32"/>
          <w:szCs w:val="32"/>
        </w:rPr>
        <w:t>。</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三</w:t>
      </w:r>
      <w:r>
        <w:rPr>
          <w:rFonts w:hint="eastAsia" w:ascii="仿宋_GB2312" w:hAnsi="宋体" w:eastAsia="仿宋_GB2312"/>
          <w:bCs/>
          <w:sz w:val="32"/>
          <w:szCs w:val="32"/>
        </w:rPr>
        <w:t>）生态效益：对区域在大气环境、生态环境、地下水环境、土壤环境的影响较小。规划范围内城市绿地建设将有效提升人均绿地面积，改善人居环境。</w:t>
      </w:r>
    </w:p>
    <w:p>
      <w:pPr>
        <w:pStyle w:val="3"/>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十一、结论</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《玉田居住片区土地征收成片开发方案》符合土地征收成片开发的标准。</w:t>
      </w:r>
    </w:p>
    <w:p>
      <w:pPr>
        <w:widowControl/>
        <w:spacing w:line="560" w:lineRule="exact"/>
        <w:jc w:val="left"/>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spacing w:line="560" w:lineRule="exact"/>
        <w:rPr>
          <w:rFonts w:ascii="仿宋_GB2312" w:hAnsi="宋体" w:eastAsia="仿宋_GB2312"/>
          <w:bCs/>
          <w:sz w:val="32"/>
          <w:szCs w:val="32"/>
        </w:rPr>
      </w:pPr>
      <w:r>
        <w:pict>
          <v:shape id="_x0000_s1028" o:spid="_x0000_s1028" o:spt="75" alt="K:\2、2021年\01.成片开发\02长乐区\02片区\05玉田居住片区\02图件\1.长乐区2021年度第四十九批次土地征收成片开发方案（玉田居住片区）-成片开发位置示意图.jpg1.长乐区2021年度第四十九批次土地征收成片开发方案（玉田居住片区）-成片开发位置示意图" type="#_x0000_t75" style="position:absolute;left:0pt;margin-left:12.2pt;margin-top:9.5pt;height:544.65pt;width:385.05pt;mso-wrap-distance-bottom:0pt;mso-wrap-distance-top:0pt;z-index:251659264;mso-width-relative:page;mso-height-relative:page;" filled="f" o:preferrelative="t" stroked="f" coordsize="21600,21600">
            <v:path/>
            <v:fill on="f" focussize="0,0"/>
            <v:stroke on="f"/>
            <v:imagedata r:id="rId5" o:title="1.长乐区2021年度第四十九批次土地征收成片开发方案（玉田居住片区）-成片开发位置示意图"/>
            <o:lock v:ext="edit" aspectratio="t"/>
            <w10:wrap type="topAndBottom"/>
          </v:shape>
        </w:pict>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4 -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4 -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tentative="0">
      <w:start w:val="1"/>
      <w:numFmt w:val="chineseCountingThousand"/>
      <w:pStyle w:val="3"/>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CE"/>
    <w:rsid w:val="00092A71"/>
    <w:rsid w:val="000D625A"/>
    <w:rsid w:val="000E1D34"/>
    <w:rsid w:val="001003E4"/>
    <w:rsid w:val="001124C3"/>
    <w:rsid w:val="0017500E"/>
    <w:rsid w:val="00185ADC"/>
    <w:rsid w:val="00192A04"/>
    <w:rsid w:val="001B343A"/>
    <w:rsid w:val="001B3812"/>
    <w:rsid w:val="001E315C"/>
    <w:rsid w:val="001E3A33"/>
    <w:rsid w:val="00203CA3"/>
    <w:rsid w:val="00205DAA"/>
    <w:rsid w:val="00281003"/>
    <w:rsid w:val="002900E7"/>
    <w:rsid w:val="002C118E"/>
    <w:rsid w:val="002D182C"/>
    <w:rsid w:val="002D63E5"/>
    <w:rsid w:val="002D695C"/>
    <w:rsid w:val="00303285"/>
    <w:rsid w:val="00324166"/>
    <w:rsid w:val="00362F0D"/>
    <w:rsid w:val="0039709A"/>
    <w:rsid w:val="003C013F"/>
    <w:rsid w:val="003C1698"/>
    <w:rsid w:val="003D5CCE"/>
    <w:rsid w:val="003D6A6A"/>
    <w:rsid w:val="003F2701"/>
    <w:rsid w:val="004115CE"/>
    <w:rsid w:val="004222B9"/>
    <w:rsid w:val="0045559D"/>
    <w:rsid w:val="0047022B"/>
    <w:rsid w:val="004B3819"/>
    <w:rsid w:val="004B4B5E"/>
    <w:rsid w:val="004C3CEC"/>
    <w:rsid w:val="004E52D9"/>
    <w:rsid w:val="004F7B5C"/>
    <w:rsid w:val="00592D1D"/>
    <w:rsid w:val="005C46A5"/>
    <w:rsid w:val="005F2900"/>
    <w:rsid w:val="0062343E"/>
    <w:rsid w:val="0068432A"/>
    <w:rsid w:val="006A1E58"/>
    <w:rsid w:val="006E058D"/>
    <w:rsid w:val="006E54EA"/>
    <w:rsid w:val="00741F64"/>
    <w:rsid w:val="007C1789"/>
    <w:rsid w:val="007C664D"/>
    <w:rsid w:val="007D0369"/>
    <w:rsid w:val="007E5E8F"/>
    <w:rsid w:val="007F5F66"/>
    <w:rsid w:val="0080566A"/>
    <w:rsid w:val="0081107F"/>
    <w:rsid w:val="00816F3B"/>
    <w:rsid w:val="008206CE"/>
    <w:rsid w:val="00837B0E"/>
    <w:rsid w:val="00840B86"/>
    <w:rsid w:val="00854B1E"/>
    <w:rsid w:val="00875513"/>
    <w:rsid w:val="00876F89"/>
    <w:rsid w:val="008C2457"/>
    <w:rsid w:val="008D15AD"/>
    <w:rsid w:val="008D681F"/>
    <w:rsid w:val="008E4700"/>
    <w:rsid w:val="00941EF4"/>
    <w:rsid w:val="00980643"/>
    <w:rsid w:val="009E7626"/>
    <w:rsid w:val="00A3488C"/>
    <w:rsid w:val="00A70559"/>
    <w:rsid w:val="00AA3880"/>
    <w:rsid w:val="00AA6605"/>
    <w:rsid w:val="00AB0671"/>
    <w:rsid w:val="00AC134A"/>
    <w:rsid w:val="00B157D8"/>
    <w:rsid w:val="00B16B51"/>
    <w:rsid w:val="00B35D53"/>
    <w:rsid w:val="00B37B2B"/>
    <w:rsid w:val="00B40891"/>
    <w:rsid w:val="00B44426"/>
    <w:rsid w:val="00B4767A"/>
    <w:rsid w:val="00BC391E"/>
    <w:rsid w:val="00BE3644"/>
    <w:rsid w:val="00C220EA"/>
    <w:rsid w:val="00C24E90"/>
    <w:rsid w:val="00C5065C"/>
    <w:rsid w:val="00C91473"/>
    <w:rsid w:val="00C968E3"/>
    <w:rsid w:val="00CC6411"/>
    <w:rsid w:val="00CD02E1"/>
    <w:rsid w:val="00CF55B1"/>
    <w:rsid w:val="00D32A4E"/>
    <w:rsid w:val="00D42F39"/>
    <w:rsid w:val="00D83EC3"/>
    <w:rsid w:val="00D87007"/>
    <w:rsid w:val="00D936B6"/>
    <w:rsid w:val="00E01AF7"/>
    <w:rsid w:val="00E814F1"/>
    <w:rsid w:val="00E95CDA"/>
    <w:rsid w:val="00EA51D6"/>
    <w:rsid w:val="00EA7E2C"/>
    <w:rsid w:val="00F14B00"/>
    <w:rsid w:val="00F57216"/>
    <w:rsid w:val="00F72FDB"/>
    <w:rsid w:val="00F744E6"/>
    <w:rsid w:val="00F76A8F"/>
    <w:rsid w:val="00F86FAC"/>
    <w:rsid w:val="00FB42D5"/>
    <w:rsid w:val="00FE4166"/>
    <w:rsid w:val="04334088"/>
    <w:rsid w:val="054B5FCE"/>
    <w:rsid w:val="09336DF1"/>
    <w:rsid w:val="167209C3"/>
    <w:rsid w:val="1DE1064A"/>
    <w:rsid w:val="21E80C39"/>
    <w:rsid w:val="267257F8"/>
    <w:rsid w:val="27A80F84"/>
    <w:rsid w:val="28A663D3"/>
    <w:rsid w:val="2AD14BC8"/>
    <w:rsid w:val="2DA827C7"/>
    <w:rsid w:val="37C45E5B"/>
    <w:rsid w:val="40330F8F"/>
    <w:rsid w:val="40632264"/>
    <w:rsid w:val="454D177B"/>
    <w:rsid w:val="4565533F"/>
    <w:rsid w:val="4E267909"/>
    <w:rsid w:val="54662084"/>
    <w:rsid w:val="549D1B20"/>
    <w:rsid w:val="55B41646"/>
    <w:rsid w:val="581353A3"/>
    <w:rsid w:val="5A6C3485"/>
    <w:rsid w:val="682956B5"/>
    <w:rsid w:val="6D2D2FD2"/>
    <w:rsid w:val="791C7CEC"/>
    <w:rsid w:val="7AE865FB"/>
    <w:rsid w:val="7BCA6E9A"/>
    <w:rsid w:val="7BD32849"/>
    <w:rsid w:val="7C61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4">
    <w:name w:val="annotation text"/>
    <w:basedOn w:val="1"/>
    <w:link w:val="16"/>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3"/>
    <w:qFormat/>
    <w:uiPriority w:val="9"/>
    <w:rPr>
      <w:rFonts w:eastAsia="微软雅黑"/>
      <w:b/>
      <w:bCs/>
      <w:kern w:val="44"/>
      <w:sz w:val="32"/>
      <w:szCs w:val="44"/>
    </w:rPr>
  </w:style>
  <w:style w:type="character" w:customStyle="1" w:styleId="14">
    <w:name w:val="页脚 字符"/>
    <w:basedOn w:val="11"/>
    <w:link w:val="5"/>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批注文字 字符"/>
    <w:basedOn w:val="11"/>
    <w:link w:val="4"/>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character" w:customStyle="1" w:styleId="18">
    <w:name w:val="批注框文本 字符"/>
    <w:basedOn w:val="11"/>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9BD8A-6F4F-4567-ACDA-0777B6FC1A56}">
  <ds:schemaRefs/>
</ds:datastoreItem>
</file>

<file path=docProps/app.xml><?xml version="1.0" encoding="utf-8"?>
<Properties xmlns="http://schemas.openxmlformats.org/officeDocument/2006/extended-properties" xmlns:vt="http://schemas.openxmlformats.org/officeDocument/2006/docPropsVTypes">
  <Template>Normal.dotm</Template>
  <Company>fzghy</Company>
  <Pages>5</Pages>
  <Words>234</Words>
  <Characters>1340</Characters>
  <Lines>11</Lines>
  <Paragraphs>3</Paragraphs>
  <TotalTime>57</TotalTime>
  <ScaleCrop>false</ScaleCrop>
  <LinksUpToDate>false</LinksUpToDate>
  <CharactersWithSpaces>1571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2021-06-20T07:55:00Z</dcterms:created>
  <dc:creator>刘龙华</dc:creator>
  <cp:lastModifiedBy>Administrator</cp:lastModifiedBy>
  <cp:lastPrinted>2022-01-27T06:13:43Z</cp:lastPrinted>
  <dcterms:modified xsi:type="dcterms:W3CDTF">2022-01-27T06:14:54Z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BD5B0E55D2A14ACBB81D171634AB0228</vt:lpwstr>
  </property>
</Properties>
</file>