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eastAsia="方正小标宋简体"/>
          <w:sz w:val="44"/>
          <w:szCs w:val="44"/>
        </w:rPr>
        <w:t>福建省燃气报警装置</w:t>
      </w:r>
    </w:p>
    <w:p>
      <w:pPr>
        <w:spacing w:line="560" w:lineRule="exact"/>
        <w:jc w:val="center"/>
        <w:rPr>
          <w:rFonts w:eastAsia="方正小标宋简体"/>
          <w:sz w:val="44"/>
          <w:szCs w:val="44"/>
        </w:rPr>
      </w:pPr>
      <w:r>
        <w:rPr>
          <w:rFonts w:eastAsia="方正小标宋简体"/>
          <w:sz w:val="44"/>
          <w:szCs w:val="44"/>
        </w:rPr>
        <w:t>及安全设施选型基本要求</w:t>
      </w:r>
    </w:p>
    <w:p>
      <w:pPr>
        <w:spacing w:line="560" w:lineRule="exact"/>
        <w:rPr>
          <w:szCs w:val="32"/>
        </w:rPr>
      </w:pPr>
      <w:r>
        <w:rPr>
          <w:szCs w:val="32"/>
        </w:rPr>
        <w:t>　　</w:t>
      </w:r>
    </w:p>
    <w:p>
      <w:pPr>
        <w:spacing w:line="600" w:lineRule="exact"/>
        <w:ind w:firstLine="640" w:firstLineChars="200"/>
        <w:rPr>
          <w:rFonts w:eastAsia="黑体"/>
          <w:szCs w:val="32"/>
        </w:rPr>
      </w:pPr>
      <w:r>
        <w:rPr>
          <w:rFonts w:eastAsia="黑体"/>
          <w:szCs w:val="32"/>
        </w:rPr>
        <w:t>一、燃气报警装置</w:t>
      </w:r>
    </w:p>
    <w:p>
      <w:pPr>
        <w:spacing w:line="600" w:lineRule="exact"/>
        <w:ind w:firstLine="640" w:firstLineChars="200"/>
        <w:rPr>
          <w:szCs w:val="32"/>
        </w:rPr>
      </w:pPr>
      <w:r>
        <w:rPr>
          <w:szCs w:val="32"/>
        </w:rPr>
        <w:t>按照应用场景，应当符合《城镇燃气报警控制系统技术规程》CJJ/T146—2011、《可燃气体报警控制器》GB16808</w:t>
      </w:r>
      <w:r>
        <w:rPr>
          <w:rFonts w:hint="eastAsia"/>
          <w:szCs w:val="32"/>
        </w:rPr>
        <w:t>-</w:t>
      </w:r>
      <w:r>
        <w:rPr>
          <w:szCs w:val="32"/>
        </w:rPr>
        <w:t>2008、《工业及商业用途点型可燃气体探测器》GB15322.1</w:t>
      </w:r>
      <w:r>
        <w:rPr>
          <w:rFonts w:hint="eastAsia"/>
          <w:szCs w:val="32"/>
        </w:rPr>
        <w:t>-</w:t>
      </w:r>
      <w:r>
        <w:rPr>
          <w:szCs w:val="32"/>
        </w:rPr>
        <w:t>2019、《家用可燃气体探测器》GB15322.2</w:t>
      </w:r>
      <w:r>
        <w:rPr>
          <w:rFonts w:hint="eastAsia"/>
          <w:szCs w:val="32"/>
        </w:rPr>
        <w:t>-</w:t>
      </w:r>
      <w:r>
        <w:rPr>
          <w:szCs w:val="32"/>
        </w:rPr>
        <w:t>2019、《家用和小型餐饮厨房用燃气报警器及传感器》GB/T34004</w:t>
      </w:r>
      <w:r>
        <w:rPr>
          <w:rFonts w:hint="eastAsia"/>
          <w:szCs w:val="32"/>
        </w:rPr>
        <w:t>-</w:t>
      </w:r>
      <w:r>
        <w:rPr>
          <w:szCs w:val="32"/>
        </w:rPr>
        <w:t>2017等标准。</w:t>
      </w:r>
    </w:p>
    <w:p>
      <w:pPr>
        <w:spacing w:line="600" w:lineRule="exact"/>
        <w:ind w:firstLine="643" w:firstLineChars="200"/>
        <w:rPr>
          <w:szCs w:val="32"/>
        </w:rPr>
      </w:pPr>
      <w:r>
        <w:rPr>
          <w:rFonts w:eastAsia="楷体_GB2312"/>
          <w:b/>
          <w:szCs w:val="32"/>
        </w:rPr>
        <w:t>（一）居民。</w:t>
      </w:r>
      <w:r>
        <w:rPr>
          <w:szCs w:val="32"/>
        </w:rPr>
        <w:t>应符合《家用和小型餐饮厨房用燃气报警器及传感器》GB/T34004-2017、《家用可燃气体探测器》GB15322.2</w:t>
      </w:r>
      <w:r>
        <w:rPr>
          <w:rFonts w:hint="eastAsia"/>
          <w:szCs w:val="32"/>
        </w:rPr>
        <w:t>-</w:t>
      </w:r>
      <w:r>
        <w:rPr>
          <w:szCs w:val="32"/>
        </w:rPr>
        <w:t>2019等标准。装置表面应具有工作状态指示灯，指示其正常监视、故障、报警工作状态。</w:t>
      </w:r>
    </w:p>
    <w:p>
      <w:pPr>
        <w:spacing w:line="600" w:lineRule="exact"/>
        <w:ind w:firstLine="643" w:firstLineChars="200"/>
        <w:rPr>
          <w:rFonts w:eastAsia="楷体_GB2312"/>
          <w:b/>
          <w:szCs w:val="32"/>
        </w:rPr>
      </w:pPr>
      <w:r>
        <w:rPr>
          <w:rFonts w:eastAsia="楷体_GB2312"/>
          <w:b/>
          <w:szCs w:val="32"/>
        </w:rPr>
        <w:t>（二）餐饮等行业生产经营单位</w:t>
      </w:r>
    </w:p>
    <w:p>
      <w:pPr>
        <w:spacing w:line="600" w:lineRule="exact"/>
        <w:ind w:firstLine="640" w:firstLineChars="200"/>
        <w:rPr>
          <w:szCs w:val="32"/>
        </w:rPr>
      </w:pPr>
      <w:r>
        <w:rPr>
          <w:szCs w:val="32"/>
        </w:rPr>
        <w:t>燃气报警装置应由具备燃气工程设计资质的单位设计，取得防爆电气设备安装能力、修理能力、维护能力认定证书的单位安装维护。</w:t>
      </w:r>
    </w:p>
    <w:p>
      <w:pPr>
        <w:spacing w:line="600" w:lineRule="exact"/>
        <w:ind w:firstLine="640" w:firstLineChars="200"/>
        <w:rPr>
          <w:szCs w:val="32"/>
        </w:rPr>
      </w:pPr>
      <w:r>
        <w:rPr>
          <w:szCs w:val="32"/>
        </w:rPr>
        <w:t>1．小型餐饮厨房（使用的燃具为单个燃烧器额定热负荷不超过46KW，额定热负荷总量不超过139 KW的用于餐饮业提供烹饪服务的厨房），可采用符合《家用和小型餐饮厨房用燃气报警器及传感器》GB/T34004</w:t>
      </w:r>
      <w:r>
        <w:rPr>
          <w:rFonts w:hint="eastAsia"/>
          <w:szCs w:val="32"/>
        </w:rPr>
        <w:t>-</w:t>
      </w:r>
      <w:r>
        <w:rPr>
          <w:szCs w:val="32"/>
        </w:rPr>
        <w:t>2017的小型餐饮厨房用燃气报警器。</w:t>
      </w:r>
    </w:p>
    <w:p>
      <w:pPr>
        <w:spacing w:line="600" w:lineRule="exact"/>
        <w:ind w:firstLine="640" w:firstLineChars="200"/>
        <w:rPr>
          <w:szCs w:val="32"/>
        </w:rPr>
      </w:pPr>
      <w:r>
        <w:rPr>
          <w:szCs w:val="32"/>
        </w:rPr>
        <w:t>2．餐饮厨房。选择由可燃气体探测器、可燃气体报警控制器、紧急切断阀等组成的燃气报警装置。应符合《工业及商业用途点型可燃气体探测器》GB15322.1</w:t>
      </w:r>
      <w:r>
        <w:rPr>
          <w:rFonts w:hint="eastAsia"/>
          <w:szCs w:val="32"/>
        </w:rPr>
        <w:t>-</w:t>
      </w:r>
      <w:r>
        <w:rPr>
          <w:szCs w:val="32"/>
        </w:rPr>
        <w:t>2019标准。探测器应为防爆型，在被监测区域内的可燃气体浓度达到报警设定值时应能发出报警信号。</w:t>
      </w:r>
    </w:p>
    <w:p>
      <w:pPr>
        <w:spacing w:line="600" w:lineRule="exact"/>
        <w:ind w:firstLine="640" w:firstLineChars="200"/>
        <w:rPr>
          <w:szCs w:val="32"/>
        </w:rPr>
      </w:pPr>
      <w:r>
        <w:rPr>
          <w:szCs w:val="32"/>
        </w:rPr>
        <w:t>3．推荐管道燃气用户安装集中燃气报警控制系统，实现将燃气泄漏自动报警、自动切断、报警等信息传输到燃气企业燃气报警监测管理信息平台。</w:t>
      </w:r>
    </w:p>
    <w:p>
      <w:pPr>
        <w:spacing w:line="600" w:lineRule="exact"/>
        <w:ind w:firstLine="640" w:firstLineChars="200"/>
        <w:rPr>
          <w:szCs w:val="32"/>
        </w:rPr>
      </w:pPr>
      <w:r>
        <w:rPr>
          <w:rFonts w:eastAsia="黑体"/>
          <w:szCs w:val="32"/>
        </w:rPr>
        <w:t>二、自闭阀</w:t>
      </w:r>
    </w:p>
    <w:p>
      <w:pPr>
        <w:spacing w:line="600" w:lineRule="exact"/>
        <w:ind w:firstLine="640" w:firstLineChars="200"/>
        <w:rPr>
          <w:szCs w:val="32"/>
        </w:rPr>
      </w:pPr>
      <w:r>
        <w:rPr>
          <w:szCs w:val="32"/>
        </w:rPr>
        <w:t>自闭阀应符合《建筑用手动燃气阀门》CJ/T180</w:t>
      </w:r>
      <w:r>
        <w:rPr>
          <w:rFonts w:hint="eastAsia"/>
          <w:szCs w:val="32"/>
        </w:rPr>
        <w:t>-</w:t>
      </w:r>
      <w:r>
        <w:rPr>
          <w:szCs w:val="32"/>
        </w:rPr>
        <w:t>2014、《管道燃气自闭阀》CJ/T 447</w:t>
      </w:r>
      <w:r>
        <w:rPr>
          <w:rFonts w:hint="eastAsia"/>
          <w:szCs w:val="32"/>
        </w:rPr>
        <w:t>-</w:t>
      </w:r>
      <w:r>
        <w:rPr>
          <w:szCs w:val="32"/>
        </w:rPr>
        <w:t>2014等要求。当管道供气压力出现欠压、超压时可以自动关闭，并须手动开启功能。</w:t>
      </w:r>
    </w:p>
    <w:p>
      <w:pPr>
        <w:spacing w:line="600" w:lineRule="exact"/>
        <w:ind w:firstLine="640" w:firstLineChars="200"/>
        <w:rPr>
          <w:rFonts w:eastAsia="黑体"/>
          <w:szCs w:val="32"/>
        </w:rPr>
      </w:pPr>
      <w:r>
        <w:rPr>
          <w:rFonts w:eastAsia="黑体"/>
          <w:szCs w:val="32"/>
        </w:rPr>
        <w:t>三、紧急切断装置</w:t>
      </w:r>
    </w:p>
    <w:p>
      <w:pPr>
        <w:spacing w:line="600" w:lineRule="exact"/>
        <w:ind w:firstLine="640" w:firstLineChars="200"/>
        <w:rPr>
          <w:sz w:val="28"/>
          <w:szCs w:val="28"/>
        </w:rPr>
      </w:pPr>
      <w:bookmarkStart w:id="1" w:name="_GoBack"/>
      <w:bookmarkEnd w:id="1"/>
      <w:r>
        <w:rPr>
          <w:szCs w:val="32"/>
        </w:rPr>
        <w:t>紧急切断阀应符合《电磁式燃气紧急切断阀》CJ/T 394</w:t>
      </w:r>
      <w:r>
        <w:rPr>
          <w:rFonts w:hint="eastAsia"/>
          <w:szCs w:val="32"/>
        </w:rPr>
        <w:t>-</w:t>
      </w:r>
      <w:r>
        <w:rPr>
          <w:szCs w:val="32"/>
        </w:rPr>
        <w:t>2018等要求。当接收到控制信号时能自动切断气源，并须手动复位。</w:t>
      </w:r>
      <w:bookmarkStart w:id="0" w:name="img"/>
      <w:bookmarkEnd w:id="0"/>
    </w:p>
    <w:p/>
    <w:sectPr>
      <w:headerReference r:id="rId3" w:type="default"/>
      <w:footerReference r:id="rId5" w:type="default"/>
      <w:headerReference r:id="rId4" w:type="even"/>
      <w:footerReference r:id="rId6" w:type="even"/>
      <w:pgSz w:w="11906" w:h="16838"/>
      <w:pgMar w:top="2098" w:right="1474" w:bottom="1985" w:left="1474"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rFonts w:hint="eastAsia" w:ascii="宋体"/>
        <w:sz w:val="28"/>
        <w:szCs w:val="28"/>
      </w:rPr>
    </w:pPr>
    <w:r>
      <w:rPr>
        <w:rFonts w:hint="eastAsia" w:ascii="宋体"/>
        <w:sz w:val="28"/>
        <w:szCs w:val="28"/>
      </w:rPr>
      <w:fldChar w:fldCharType="begin"/>
    </w:r>
    <w:r>
      <w:rPr>
        <w:rStyle w:val="6"/>
        <w:rFonts w:hint="eastAsia" w:ascii="宋体"/>
        <w:sz w:val="28"/>
        <w:szCs w:val="28"/>
      </w:rPr>
      <w:instrText xml:space="preserve">PAGE  </w:instrText>
    </w:r>
    <w:r>
      <w:rPr>
        <w:rFonts w:hint="eastAsia" w:ascii="宋体"/>
        <w:sz w:val="28"/>
        <w:szCs w:val="28"/>
      </w:rPr>
      <w:fldChar w:fldCharType="separate"/>
    </w:r>
    <w:r>
      <w:rPr>
        <w:rStyle w:val="6"/>
        <w:rFonts w:ascii="宋体"/>
        <w:sz w:val="28"/>
        <w:szCs w:val="28"/>
      </w:rPr>
      <w:t>- 1 -</w:t>
    </w:r>
    <w:r>
      <w:rPr>
        <w:rFonts w:hint="eastAsia" w:asci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6"/>
        <w:rFonts w:hint="eastAsia" w:ascii="宋体"/>
        <w:sz w:val="28"/>
        <w:szCs w:val="28"/>
      </w:rPr>
    </w:pPr>
    <w:r>
      <w:rPr>
        <w:rFonts w:hint="eastAsia" w:ascii="宋体"/>
        <w:sz w:val="28"/>
        <w:szCs w:val="28"/>
      </w:rPr>
      <w:fldChar w:fldCharType="begin"/>
    </w:r>
    <w:r>
      <w:rPr>
        <w:rStyle w:val="6"/>
        <w:rFonts w:hint="eastAsia" w:ascii="宋体"/>
        <w:sz w:val="28"/>
        <w:szCs w:val="28"/>
      </w:rPr>
      <w:instrText xml:space="preserve">PAGE  </w:instrText>
    </w:r>
    <w:r>
      <w:rPr>
        <w:rFonts w:hint="eastAsia" w:ascii="宋体"/>
        <w:sz w:val="28"/>
        <w:szCs w:val="28"/>
      </w:rPr>
      <w:fldChar w:fldCharType="separate"/>
    </w:r>
    <w:r>
      <w:rPr>
        <w:rStyle w:val="6"/>
        <w:rFonts w:ascii="宋体"/>
        <w:sz w:val="28"/>
        <w:szCs w:val="28"/>
      </w:rPr>
      <w:t>- 2 -</w:t>
    </w:r>
    <w:r>
      <w:rPr>
        <w:rFonts w:hint="eastAsia" w:asci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50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lang w:bidi="ar-SA"/>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2022-06-28T08:20:42Z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